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2F009" w14:textId="77777777" w:rsidR="003422BE" w:rsidRDefault="003422BE" w:rsidP="003422BE">
      <w:r>
        <w:t>Memorandum</w:t>
      </w:r>
    </w:p>
    <w:p w14:paraId="74BF73BD" w14:textId="76C6B3FD" w:rsidR="003422BE" w:rsidRDefault="003422BE" w:rsidP="003422BE">
      <w:r>
        <w:t xml:space="preserve">Date: </w:t>
      </w:r>
      <w:r w:rsidR="005303A1">
        <w:t xml:space="preserve">April </w:t>
      </w:r>
      <w:r w:rsidR="001B4B41">
        <w:t>2</w:t>
      </w:r>
      <w:r w:rsidR="00996A62">
        <w:t>1</w:t>
      </w:r>
      <w:r w:rsidR="005303A1">
        <w:t>, 2026</w:t>
      </w:r>
    </w:p>
    <w:p w14:paraId="6FC81E35" w14:textId="5BA8A0E3" w:rsidR="003422BE" w:rsidRDefault="003422BE" w:rsidP="003422BE">
      <w:r>
        <w:t xml:space="preserve">To: Project File, </w:t>
      </w:r>
      <w:r w:rsidR="005303A1">
        <w:t>Irwin Hodson</w:t>
      </w:r>
      <w:r>
        <w:t xml:space="preserve">, ECSI </w:t>
      </w:r>
      <w:r w:rsidR="000A404D">
        <w:t>6399</w:t>
      </w:r>
    </w:p>
    <w:p w14:paraId="6B3BBD87" w14:textId="4B7F7164" w:rsidR="003422BE" w:rsidRDefault="003422BE" w:rsidP="003422BE">
      <w:r>
        <w:t xml:space="preserve">From: </w:t>
      </w:r>
      <w:r w:rsidR="00D66482">
        <w:t>Jim Orr</w:t>
      </w:r>
      <w:r>
        <w:t xml:space="preserve">, Project Manager, </w:t>
      </w:r>
      <w:r w:rsidR="00D66482">
        <w:t>Northw</w:t>
      </w:r>
      <w:r>
        <w:t>est Region Cleanup Program</w:t>
      </w:r>
    </w:p>
    <w:p w14:paraId="3404DA84" w14:textId="0A0F30CB" w:rsidR="003422BE" w:rsidRDefault="003422BE" w:rsidP="003422BE">
      <w:r>
        <w:t xml:space="preserve">Subject: No Longer Contained-In Determination for </w:t>
      </w:r>
      <w:r w:rsidR="009216D1">
        <w:t xml:space="preserve">Irwin Hodson Property, </w:t>
      </w:r>
      <w:r w:rsidR="003A056A">
        <w:t>2828-2838 SE 9</w:t>
      </w:r>
      <w:r w:rsidR="003A056A" w:rsidRPr="003A056A">
        <w:rPr>
          <w:vertAlign w:val="superscript"/>
        </w:rPr>
        <w:t>th</w:t>
      </w:r>
      <w:r w:rsidR="003A056A">
        <w:t xml:space="preserve"> Avenue, Portland</w:t>
      </w:r>
      <w:r w:rsidR="00EE36D4">
        <w:t xml:space="preserve">, Oregon </w:t>
      </w:r>
      <w:r>
        <w:t>ECSI</w:t>
      </w:r>
      <w:r w:rsidR="002C44F0">
        <w:t xml:space="preserve"> 6399</w:t>
      </w:r>
    </w:p>
    <w:p w14:paraId="5A7F7C27" w14:textId="53B59192" w:rsidR="003422BE" w:rsidRDefault="003422BE" w:rsidP="003422BE">
      <w:r>
        <w:t xml:space="preserve">DEQ’s </w:t>
      </w:r>
      <w:r w:rsidR="002C44F0">
        <w:t>Northwest</w:t>
      </w:r>
      <w:r>
        <w:t xml:space="preserve"> Region Environmental Cleanup and Hazardous Waste programs have prepared this No Longer Contained-In Determination for soil cuttings </w:t>
      </w:r>
      <w:r w:rsidR="00A732E8">
        <w:t xml:space="preserve">investigation-derived waste soil generated during the </w:t>
      </w:r>
      <w:r w:rsidR="00032102">
        <w:t>installation of a monitoring well</w:t>
      </w:r>
      <w:r w:rsidR="00616D92">
        <w:t>.</w:t>
      </w:r>
    </w:p>
    <w:p w14:paraId="0B0B8057" w14:textId="7D6331BB" w:rsidR="002855E5" w:rsidRDefault="005D7540" w:rsidP="00144597">
      <w:pPr>
        <w:autoSpaceDE w:val="0"/>
        <w:autoSpaceDN w:val="0"/>
        <w:adjustRightInd w:val="0"/>
        <w:spacing w:after="0" w:line="240" w:lineRule="auto"/>
      </w:pPr>
      <w:r>
        <w:rPr>
          <w:rFonts w:ascii="Calibri" w:hAnsi="Calibri" w:cs="Calibri"/>
          <w:kern w:val="0"/>
          <w:sz w:val="22"/>
          <w:szCs w:val="22"/>
        </w:rPr>
        <w:t xml:space="preserve">The </w:t>
      </w:r>
      <w:r w:rsidR="00F55A98">
        <w:rPr>
          <w:rFonts w:ascii="Calibri" w:hAnsi="Calibri" w:cs="Calibri"/>
          <w:kern w:val="0"/>
          <w:sz w:val="22"/>
          <w:szCs w:val="22"/>
        </w:rPr>
        <w:t xml:space="preserve">Irwin Hodson </w:t>
      </w:r>
      <w:r>
        <w:rPr>
          <w:rFonts w:ascii="Calibri" w:hAnsi="Calibri" w:cs="Calibri"/>
          <w:kern w:val="0"/>
          <w:sz w:val="22"/>
          <w:szCs w:val="22"/>
        </w:rPr>
        <w:t xml:space="preserve">Site </w:t>
      </w:r>
      <w:r w:rsidR="00F55A98">
        <w:rPr>
          <w:rFonts w:ascii="Calibri" w:hAnsi="Calibri" w:cs="Calibri"/>
          <w:kern w:val="0"/>
          <w:sz w:val="22"/>
          <w:szCs w:val="22"/>
        </w:rPr>
        <w:t xml:space="preserve">(Site) </w:t>
      </w:r>
      <w:r>
        <w:rPr>
          <w:rFonts w:ascii="Calibri" w:hAnsi="Calibri" w:cs="Calibri"/>
          <w:kern w:val="0"/>
          <w:sz w:val="22"/>
          <w:szCs w:val="22"/>
        </w:rPr>
        <w:t>is an industrial property located in an industrial area of SE Portland. Industrial</w:t>
      </w:r>
      <w:r w:rsidR="00F55A98">
        <w:rPr>
          <w:rFonts w:ascii="Calibri" w:hAnsi="Calibri" w:cs="Calibri"/>
          <w:kern w:val="0"/>
          <w:sz w:val="22"/>
          <w:szCs w:val="22"/>
        </w:rPr>
        <w:t xml:space="preserve"> </w:t>
      </w:r>
      <w:r>
        <w:rPr>
          <w:rFonts w:ascii="Calibri" w:hAnsi="Calibri" w:cs="Calibri"/>
          <w:kern w:val="0"/>
          <w:sz w:val="22"/>
          <w:szCs w:val="22"/>
        </w:rPr>
        <w:t xml:space="preserve">land use of the </w:t>
      </w:r>
      <w:r w:rsidR="00F55A98">
        <w:rPr>
          <w:rFonts w:ascii="Calibri" w:hAnsi="Calibri" w:cs="Calibri"/>
          <w:kern w:val="0"/>
          <w:sz w:val="22"/>
          <w:szCs w:val="22"/>
        </w:rPr>
        <w:t>S</w:t>
      </w:r>
      <w:r>
        <w:rPr>
          <w:rFonts w:ascii="Calibri" w:hAnsi="Calibri" w:cs="Calibri"/>
          <w:kern w:val="0"/>
          <w:sz w:val="22"/>
          <w:szCs w:val="22"/>
        </w:rPr>
        <w:t xml:space="preserve">ite and </w:t>
      </w:r>
      <w:r w:rsidR="00F55A98">
        <w:rPr>
          <w:rFonts w:ascii="Calibri" w:hAnsi="Calibri" w:cs="Calibri"/>
          <w:kern w:val="0"/>
          <w:sz w:val="22"/>
          <w:szCs w:val="22"/>
        </w:rPr>
        <w:t xml:space="preserve">the </w:t>
      </w:r>
      <w:r>
        <w:rPr>
          <w:rFonts w:ascii="Calibri" w:hAnsi="Calibri" w:cs="Calibri"/>
          <w:kern w:val="0"/>
          <w:sz w:val="22"/>
          <w:szCs w:val="22"/>
        </w:rPr>
        <w:t xml:space="preserve">surrounding area </w:t>
      </w:r>
      <w:r w:rsidR="001A2568">
        <w:rPr>
          <w:rFonts w:ascii="Calibri" w:hAnsi="Calibri" w:cs="Calibri"/>
          <w:kern w:val="0"/>
          <w:sz w:val="22"/>
          <w:szCs w:val="22"/>
        </w:rPr>
        <w:t>dates to</w:t>
      </w:r>
      <w:r>
        <w:rPr>
          <w:rFonts w:ascii="Calibri" w:hAnsi="Calibri" w:cs="Calibri"/>
          <w:kern w:val="0"/>
          <w:sz w:val="22"/>
          <w:szCs w:val="22"/>
        </w:rPr>
        <w:t xml:space="preserve"> the early 1900s. Previous operations on</w:t>
      </w:r>
      <w:r w:rsidR="00F55A98">
        <w:rPr>
          <w:rFonts w:ascii="Calibri" w:hAnsi="Calibri" w:cs="Calibri"/>
          <w:kern w:val="0"/>
          <w:sz w:val="22"/>
          <w:szCs w:val="22"/>
        </w:rPr>
        <w:t xml:space="preserve"> </w:t>
      </w:r>
      <w:r>
        <w:rPr>
          <w:rFonts w:ascii="Calibri" w:hAnsi="Calibri" w:cs="Calibri"/>
          <w:kern w:val="0"/>
          <w:sz w:val="22"/>
          <w:szCs w:val="22"/>
        </w:rPr>
        <w:t xml:space="preserve">and adjacent to the Subject Site include North West </w:t>
      </w:r>
      <w:proofErr w:type="spellStart"/>
      <w:r>
        <w:rPr>
          <w:rFonts w:ascii="Calibri" w:hAnsi="Calibri" w:cs="Calibri"/>
          <w:kern w:val="0"/>
          <w:sz w:val="22"/>
          <w:szCs w:val="22"/>
        </w:rPr>
        <w:t>Planing</w:t>
      </w:r>
      <w:proofErr w:type="spellEnd"/>
      <w:r>
        <w:rPr>
          <w:rFonts w:ascii="Calibri" w:hAnsi="Calibri" w:cs="Calibri"/>
          <w:kern w:val="0"/>
          <w:sz w:val="22"/>
          <w:szCs w:val="22"/>
        </w:rPr>
        <w:t xml:space="preserve"> Mills Company, a former coal gas</w:t>
      </w:r>
      <w:r w:rsidR="00F55A98">
        <w:rPr>
          <w:rFonts w:ascii="Calibri" w:hAnsi="Calibri" w:cs="Calibri"/>
          <w:kern w:val="0"/>
          <w:sz w:val="22"/>
          <w:szCs w:val="22"/>
        </w:rPr>
        <w:t xml:space="preserve"> </w:t>
      </w:r>
      <w:r>
        <w:rPr>
          <w:rFonts w:ascii="Calibri" w:hAnsi="Calibri" w:cs="Calibri"/>
          <w:kern w:val="0"/>
          <w:sz w:val="22"/>
          <w:szCs w:val="22"/>
        </w:rPr>
        <w:t xml:space="preserve">facility and the Iron Fireman Manufacturing Company. Irwin Hodson </w:t>
      </w:r>
      <w:proofErr w:type="gramStart"/>
      <w:r>
        <w:rPr>
          <w:rFonts w:ascii="Calibri" w:hAnsi="Calibri" w:cs="Calibri"/>
          <w:kern w:val="0"/>
          <w:sz w:val="22"/>
          <w:szCs w:val="22"/>
        </w:rPr>
        <w:t>has occupied</w:t>
      </w:r>
      <w:proofErr w:type="gramEnd"/>
      <w:r>
        <w:rPr>
          <w:rFonts w:ascii="Calibri" w:hAnsi="Calibri" w:cs="Calibri"/>
          <w:kern w:val="0"/>
          <w:sz w:val="22"/>
          <w:szCs w:val="22"/>
        </w:rPr>
        <w:t xml:space="preserve"> the site since</w:t>
      </w:r>
      <w:r w:rsidR="001A2568">
        <w:rPr>
          <w:rFonts w:ascii="Calibri" w:hAnsi="Calibri" w:cs="Calibri"/>
          <w:kern w:val="0"/>
          <w:sz w:val="22"/>
          <w:szCs w:val="22"/>
        </w:rPr>
        <w:t xml:space="preserve"> </w:t>
      </w:r>
      <w:r>
        <w:rPr>
          <w:rFonts w:ascii="Calibri" w:hAnsi="Calibri" w:cs="Calibri"/>
          <w:kern w:val="0"/>
          <w:sz w:val="22"/>
          <w:szCs w:val="22"/>
        </w:rPr>
        <w:t>the mid-1960s, operating a metal sign and printing company out of four warehouse buildings on</w:t>
      </w:r>
      <w:r w:rsidR="001A2568">
        <w:rPr>
          <w:rFonts w:ascii="Calibri" w:hAnsi="Calibri" w:cs="Calibri"/>
          <w:kern w:val="0"/>
          <w:sz w:val="22"/>
          <w:szCs w:val="22"/>
        </w:rPr>
        <w:t xml:space="preserve"> </w:t>
      </w:r>
      <w:r>
        <w:rPr>
          <w:rFonts w:ascii="Calibri" w:hAnsi="Calibri" w:cs="Calibri"/>
          <w:kern w:val="0"/>
          <w:sz w:val="22"/>
          <w:szCs w:val="22"/>
        </w:rPr>
        <w:t>the property. Irwin Hodson currently shares the buildings with other small light industrial</w:t>
      </w:r>
      <w:r w:rsidR="001A2568">
        <w:rPr>
          <w:rFonts w:ascii="Calibri" w:hAnsi="Calibri" w:cs="Calibri"/>
          <w:kern w:val="0"/>
          <w:sz w:val="22"/>
          <w:szCs w:val="22"/>
        </w:rPr>
        <w:t xml:space="preserve"> </w:t>
      </w:r>
      <w:r>
        <w:rPr>
          <w:rFonts w:ascii="Calibri" w:hAnsi="Calibri" w:cs="Calibri"/>
          <w:kern w:val="0"/>
          <w:sz w:val="22"/>
          <w:szCs w:val="22"/>
        </w:rPr>
        <w:t>businesses.</w:t>
      </w:r>
      <w:r w:rsidR="00CD5AA9">
        <w:rPr>
          <w:rFonts w:ascii="Calibri" w:hAnsi="Calibri" w:cs="Calibri"/>
          <w:kern w:val="0"/>
          <w:sz w:val="22"/>
          <w:szCs w:val="22"/>
        </w:rPr>
        <w:t xml:space="preserve"> </w:t>
      </w:r>
      <w:r>
        <w:rPr>
          <w:rFonts w:ascii="Calibri" w:hAnsi="Calibri" w:cs="Calibri"/>
          <w:kern w:val="0"/>
          <w:sz w:val="22"/>
          <w:szCs w:val="22"/>
        </w:rPr>
        <w:t xml:space="preserve">As part of recent operations, Irwin Hodson has generated spent solvent waste listed </w:t>
      </w:r>
      <w:r w:rsidR="00806E4F">
        <w:rPr>
          <w:rFonts w:ascii="Calibri" w:hAnsi="Calibri" w:cs="Calibri"/>
          <w:kern w:val="0"/>
          <w:sz w:val="22"/>
          <w:szCs w:val="22"/>
        </w:rPr>
        <w:t xml:space="preserve">as </w:t>
      </w:r>
      <w:r>
        <w:rPr>
          <w:rFonts w:ascii="Calibri" w:hAnsi="Calibri" w:cs="Calibri"/>
          <w:kern w:val="0"/>
          <w:sz w:val="22"/>
          <w:szCs w:val="22"/>
        </w:rPr>
        <w:t>EPA</w:t>
      </w:r>
      <w:r w:rsidR="00186DA2">
        <w:rPr>
          <w:rFonts w:ascii="Calibri" w:hAnsi="Calibri" w:cs="Calibri"/>
          <w:kern w:val="0"/>
          <w:sz w:val="22"/>
          <w:szCs w:val="22"/>
        </w:rPr>
        <w:t xml:space="preserve"> </w:t>
      </w:r>
      <w:r>
        <w:rPr>
          <w:rFonts w:ascii="Calibri" w:hAnsi="Calibri" w:cs="Calibri"/>
          <w:kern w:val="0"/>
          <w:sz w:val="22"/>
          <w:szCs w:val="22"/>
        </w:rPr>
        <w:t xml:space="preserve">Hazardous Waste Numbers F003 and F005. </w:t>
      </w:r>
      <w:r w:rsidR="00144597">
        <w:rPr>
          <w:rFonts w:ascii="Calibri" w:hAnsi="Calibri" w:cs="Calibri"/>
          <w:kern w:val="0"/>
          <w:sz w:val="22"/>
          <w:szCs w:val="22"/>
        </w:rPr>
        <w:br/>
      </w:r>
    </w:p>
    <w:p w14:paraId="6A45B1E9" w14:textId="39D5F8DD" w:rsidR="003422BE" w:rsidRDefault="003422BE" w:rsidP="003422BE">
      <w:r>
        <w:t>This determination is for</w:t>
      </w:r>
      <w:r w:rsidR="00BF54D9">
        <w:t xml:space="preserve"> one </w:t>
      </w:r>
      <w:r w:rsidR="002855E5">
        <w:t>55-gallon</w:t>
      </w:r>
      <w:r w:rsidR="00BF54D9">
        <w:t xml:space="preserve"> drum of</w:t>
      </w:r>
      <w:r>
        <w:t xml:space="preserve"> soil that was </w:t>
      </w:r>
      <w:r w:rsidR="00813635">
        <w:t xml:space="preserve">generated </w:t>
      </w:r>
      <w:r>
        <w:t xml:space="preserve">in </w:t>
      </w:r>
      <w:r w:rsidR="00813635">
        <w:t xml:space="preserve">March </w:t>
      </w:r>
      <w:r w:rsidR="00941EA2">
        <w:t xml:space="preserve">2026 </w:t>
      </w:r>
      <w:r>
        <w:t xml:space="preserve">during </w:t>
      </w:r>
      <w:r w:rsidR="00144597">
        <w:t xml:space="preserve">the </w:t>
      </w:r>
      <w:r w:rsidR="00941EA2">
        <w:t xml:space="preserve">installation of a </w:t>
      </w:r>
      <w:r>
        <w:t>monitoring well</w:t>
      </w:r>
      <w:r w:rsidR="00AD2F97">
        <w:t xml:space="preserve"> at the Site</w:t>
      </w:r>
      <w:r>
        <w:t xml:space="preserve">. The </w:t>
      </w:r>
      <w:r w:rsidR="009B4F41">
        <w:t>investigation-derived waste was generated during drilling activities and is</w:t>
      </w:r>
      <w:r>
        <w:t xml:space="preserve"> currently stored on-site in </w:t>
      </w:r>
      <w:r w:rsidR="009A04AE">
        <w:t xml:space="preserve">a </w:t>
      </w:r>
      <w:r>
        <w:t xml:space="preserve">labeled drum. </w:t>
      </w:r>
      <w:r w:rsidR="00F13DC2">
        <w:t xml:space="preserve">Drummed </w:t>
      </w:r>
      <w:r>
        <w:t xml:space="preserve">soil </w:t>
      </w:r>
      <w:r w:rsidR="00A645B5">
        <w:t>is</w:t>
      </w:r>
      <w:r>
        <w:t xml:space="preserve"> stored within the on-site area of contamination.</w:t>
      </w:r>
    </w:p>
    <w:p w14:paraId="1C313DD7" w14:textId="09DA053F" w:rsidR="003422BE" w:rsidRDefault="00A645B5" w:rsidP="003422BE">
      <w:r>
        <w:t>A r</w:t>
      </w:r>
      <w:r w:rsidR="003422BE">
        <w:t xml:space="preserve">epresentative </w:t>
      </w:r>
      <w:r>
        <w:t xml:space="preserve">sample was collected from </w:t>
      </w:r>
      <w:r w:rsidR="003422BE">
        <w:t xml:space="preserve">the drummed IDW soil. Soil analysis was conducted as “totals”, not TCLP. Low levels of PCE were detected in the </w:t>
      </w:r>
      <w:r w:rsidR="00402E14">
        <w:t>drum soils</w:t>
      </w:r>
      <w:r w:rsidR="003422BE">
        <w:t>. The results of the chemical analysis are tabulated below. Only chemicals detected by analysis are shown in the table.</w:t>
      </w:r>
    </w:p>
    <w:p w14:paraId="1A1A25EB" w14:textId="77777777" w:rsidR="009B37AB" w:rsidRPr="009B37AB" w:rsidRDefault="009B37AB" w:rsidP="009B37AB">
      <w:pPr>
        <w:kinsoku w:val="0"/>
        <w:overflowPunct w:val="0"/>
        <w:autoSpaceDE w:val="0"/>
        <w:autoSpaceDN w:val="0"/>
        <w:adjustRightInd w:val="0"/>
        <w:spacing w:before="181" w:after="0" w:line="240" w:lineRule="auto"/>
        <w:ind w:right="1"/>
        <w:jc w:val="center"/>
        <w:rPr>
          <w:rFonts w:ascii="Calibri" w:hAnsi="Calibri" w:cs="Calibri"/>
          <w:b/>
          <w:bCs/>
          <w:kern w:val="0"/>
          <w:sz w:val="22"/>
          <w:szCs w:val="22"/>
        </w:rPr>
      </w:pPr>
      <w:r w:rsidRPr="009B37AB">
        <w:rPr>
          <w:rFonts w:ascii="Calibri" w:hAnsi="Calibri" w:cs="Calibri"/>
          <w:b/>
          <w:bCs/>
          <w:kern w:val="0"/>
          <w:sz w:val="22"/>
          <w:szCs w:val="22"/>
        </w:rPr>
        <w:t>Summary Table. Soil Characterization</w:t>
      </w:r>
    </w:p>
    <w:p w14:paraId="782D68BB" w14:textId="77777777" w:rsidR="009B37AB" w:rsidRPr="009B37AB" w:rsidRDefault="009B37AB" w:rsidP="009B37AB">
      <w:pPr>
        <w:kinsoku w:val="0"/>
        <w:overflowPunct w:val="0"/>
        <w:autoSpaceDE w:val="0"/>
        <w:autoSpaceDN w:val="0"/>
        <w:adjustRightInd w:val="0"/>
        <w:spacing w:before="4" w:after="0" w:line="240" w:lineRule="auto"/>
        <w:rPr>
          <w:rFonts w:ascii="Calibri" w:hAnsi="Calibri" w:cs="Calibri"/>
          <w:b/>
          <w:bCs/>
          <w:kern w:val="0"/>
          <w:sz w:val="20"/>
          <w:szCs w:val="20"/>
        </w:rPr>
      </w:pPr>
    </w:p>
    <w:tbl>
      <w:tblPr>
        <w:tblW w:w="0" w:type="auto"/>
        <w:tblInd w:w="405" w:type="dxa"/>
        <w:tblLayout w:type="fixed"/>
        <w:tblCellMar>
          <w:left w:w="0" w:type="dxa"/>
          <w:right w:w="0" w:type="dxa"/>
        </w:tblCellMar>
        <w:tblLook w:val="0000" w:firstRow="0" w:lastRow="0" w:firstColumn="0" w:lastColumn="0" w:noHBand="0" w:noVBand="0"/>
      </w:tblPr>
      <w:tblGrid>
        <w:gridCol w:w="3058"/>
        <w:gridCol w:w="1576"/>
        <w:gridCol w:w="1576"/>
        <w:gridCol w:w="1569"/>
      </w:tblGrid>
      <w:tr w:rsidR="009B37AB" w:rsidRPr="009B37AB" w14:paraId="533AADDD" w14:textId="77777777">
        <w:trPr>
          <w:trHeight w:val="988"/>
        </w:trPr>
        <w:tc>
          <w:tcPr>
            <w:tcW w:w="3058" w:type="dxa"/>
            <w:tcBorders>
              <w:top w:val="single" w:sz="6" w:space="0" w:color="000000"/>
              <w:left w:val="single" w:sz="6" w:space="0" w:color="000000"/>
              <w:bottom w:val="single" w:sz="6" w:space="0" w:color="000000"/>
              <w:right w:val="single" w:sz="6" w:space="0" w:color="000000"/>
            </w:tcBorders>
          </w:tcPr>
          <w:p w14:paraId="0117CF44" w14:textId="77777777" w:rsidR="009B37AB" w:rsidRPr="009B37AB" w:rsidRDefault="009B37AB" w:rsidP="009B37AB">
            <w:pPr>
              <w:kinsoku w:val="0"/>
              <w:overflowPunct w:val="0"/>
              <w:autoSpaceDE w:val="0"/>
              <w:autoSpaceDN w:val="0"/>
              <w:adjustRightInd w:val="0"/>
              <w:spacing w:before="120" w:after="0" w:line="240" w:lineRule="auto"/>
              <w:rPr>
                <w:rFonts w:ascii="Calibri" w:hAnsi="Calibri" w:cs="Calibri"/>
                <w:b/>
                <w:bCs/>
                <w:kern w:val="0"/>
                <w:sz w:val="21"/>
                <w:szCs w:val="21"/>
              </w:rPr>
            </w:pPr>
          </w:p>
          <w:p w14:paraId="0977049A" w14:textId="77777777" w:rsidR="009B37AB" w:rsidRPr="009B37AB" w:rsidRDefault="009B37AB" w:rsidP="009B37AB">
            <w:pPr>
              <w:kinsoku w:val="0"/>
              <w:overflowPunct w:val="0"/>
              <w:autoSpaceDE w:val="0"/>
              <w:autoSpaceDN w:val="0"/>
              <w:adjustRightInd w:val="0"/>
              <w:spacing w:after="0" w:line="240" w:lineRule="auto"/>
              <w:ind w:left="551"/>
              <w:rPr>
                <w:rFonts w:ascii="Arial" w:hAnsi="Arial" w:cs="Arial"/>
                <w:kern w:val="0"/>
                <w:sz w:val="21"/>
                <w:szCs w:val="21"/>
              </w:rPr>
            </w:pPr>
            <w:r w:rsidRPr="009B37AB">
              <w:rPr>
                <w:rFonts w:ascii="Arial" w:hAnsi="Arial" w:cs="Arial"/>
                <w:kern w:val="0"/>
                <w:sz w:val="21"/>
                <w:szCs w:val="21"/>
              </w:rPr>
              <w:t>Soil</w:t>
            </w:r>
            <w:r w:rsidRPr="009B37AB">
              <w:rPr>
                <w:rFonts w:ascii="Arial" w:hAnsi="Arial" w:cs="Arial"/>
                <w:spacing w:val="-6"/>
                <w:kern w:val="0"/>
                <w:sz w:val="21"/>
                <w:szCs w:val="21"/>
              </w:rPr>
              <w:t xml:space="preserve"> </w:t>
            </w:r>
            <w:r w:rsidRPr="009B37AB">
              <w:rPr>
                <w:rFonts w:ascii="Arial" w:hAnsi="Arial" w:cs="Arial"/>
                <w:kern w:val="0"/>
                <w:sz w:val="21"/>
                <w:szCs w:val="21"/>
              </w:rPr>
              <w:t>Characterization</w:t>
            </w:r>
          </w:p>
        </w:tc>
        <w:tc>
          <w:tcPr>
            <w:tcW w:w="1576" w:type="dxa"/>
            <w:tcBorders>
              <w:top w:val="single" w:sz="6" w:space="0" w:color="000000"/>
              <w:left w:val="single" w:sz="6" w:space="0" w:color="000000"/>
              <w:bottom w:val="single" w:sz="6" w:space="0" w:color="000000"/>
              <w:right w:val="single" w:sz="6" w:space="0" w:color="000000"/>
            </w:tcBorders>
          </w:tcPr>
          <w:p w14:paraId="35F83175" w14:textId="77777777" w:rsidR="009B37AB" w:rsidRPr="009B37AB" w:rsidRDefault="009B37AB" w:rsidP="009B37AB">
            <w:pPr>
              <w:kinsoku w:val="0"/>
              <w:overflowPunct w:val="0"/>
              <w:autoSpaceDE w:val="0"/>
              <w:autoSpaceDN w:val="0"/>
              <w:adjustRightInd w:val="0"/>
              <w:spacing w:before="183" w:after="0"/>
              <w:ind w:left="29" w:right="3"/>
              <w:jc w:val="center"/>
              <w:rPr>
                <w:rFonts w:ascii="Arial" w:hAnsi="Arial" w:cs="Arial"/>
                <w:spacing w:val="-2"/>
                <w:kern w:val="0"/>
                <w:sz w:val="16"/>
                <w:szCs w:val="16"/>
              </w:rPr>
            </w:pPr>
            <w:r w:rsidRPr="009B37AB">
              <w:rPr>
                <w:rFonts w:ascii="Arial" w:hAnsi="Arial" w:cs="Arial"/>
                <w:kern w:val="0"/>
                <w:sz w:val="16"/>
                <w:szCs w:val="16"/>
              </w:rPr>
              <w:t xml:space="preserve">Concentration in Drummed Soil </w:t>
            </w:r>
            <w:r w:rsidRPr="009B37AB">
              <w:rPr>
                <w:rFonts w:ascii="Arial" w:hAnsi="Arial" w:cs="Arial"/>
                <w:spacing w:val="-2"/>
                <w:kern w:val="0"/>
                <w:sz w:val="16"/>
                <w:szCs w:val="16"/>
              </w:rPr>
              <w:t>(mg/Kg)</w:t>
            </w:r>
          </w:p>
        </w:tc>
        <w:tc>
          <w:tcPr>
            <w:tcW w:w="1576" w:type="dxa"/>
            <w:tcBorders>
              <w:top w:val="single" w:sz="6" w:space="0" w:color="000000"/>
              <w:left w:val="single" w:sz="6" w:space="0" w:color="000000"/>
              <w:bottom w:val="single" w:sz="6" w:space="0" w:color="000000"/>
              <w:right w:val="single" w:sz="6" w:space="0" w:color="000000"/>
            </w:tcBorders>
          </w:tcPr>
          <w:p w14:paraId="0D8E2C9D" w14:textId="77777777" w:rsidR="009B37AB" w:rsidRPr="009B37AB" w:rsidRDefault="009B37AB" w:rsidP="009B37AB">
            <w:pPr>
              <w:kinsoku w:val="0"/>
              <w:overflowPunct w:val="0"/>
              <w:autoSpaceDE w:val="0"/>
              <w:autoSpaceDN w:val="0"/>
              <w:adjustRightInd w:val="0"/>
              <w:spacing w:before="183" w:after="0"/>
              <w:ind w:left="484" w:hanging="189"/>
              <w:rPr>
                <w:rFonts w:ascii="Arial" w:hAnsi="Arial" w:cs="Arial"/>
                <w:spacing w:val="-2"/>
                <w:kern w:val="0"/>
                <w:sz w:val="16"/>
                <w:szCs w:val="16"/>
              </w:rPr>
            </w:pPr>
            <w:r w:rsidRPr="009B37AB">
              <w:rPr>
                <w:rFonts w:ascii="Arial" w:hAnsi="Arial" w:cs="Arial"/>
                <w:kern w:val="0"/>
                <w:sz w:val="16"/>
                <w:szCs w:val="16"/>
              </w:rPr>
              <w:t xml:space="preserve">RBC (Dermal </w:t>
            </w:r>
            <w:r w:rsidRPr="009B37AB">
              <w:rPr>
                <w:rFonts w:ascii="Arial" w:hAnsi="Arial" w:cs="Arial"/>
                <w:spacing w:val="-2"/>
                <w:kern w:val="0"/>
                <w:sz w:val="16"/>
                <w:szCs w:val="16"/>
              </w:rPr>
              <w:t>Contact) (mg/Kg)</w:t>
            </w:r>
          </w:p>
        </w:tc>
        <w:tc>
          <w:tcPr>
            <w:tcW w:w="1569" w:type="dxa"/>
            <w:tcBorders>
              <w:top w:val="single" w:sz="6" w:space="0" w:color="000000"/>
              <w:left w:val="single" w:sz="6" w:space="0" w:color="000000"/>
              <w:bottom w:val="single" w:sz="6" w:space="0" w:color="000000"/>
              <w:right w:val="single" w:sz="12" w:space="0" w:color="000000"/>
            </w:tcBorders>
          </w:tcPr>
          <w:p w14:paraId="22522967" w14:textId="77777777" w:rsidR="009B37AB" w:rsidRPr="009B37AB" w:rsidRDefault="009B37AB" w:rsidP="009B37AB">
            <w:pPr>
              <w:kinsoku w:val="0"/>
              <w:overflowPunct w:val="0"/>
              <w:autoSpaceDE w:val="0"/>
              <w:autoSpaceDN w:val="0"/>
              <w:adjustRightInd w:val="0"/>
              <w:spacing w:before="183" w:after="0"/>
              <w:ind w:left="90" w:right="53"/>
              <w:jc w:val="center"/>
              <w:rPr>
                <w:rFonts w:ascii="Arial" w:hAnsi="Arial" w:cs="Arial"/>
                <w:spacing w:val="-2"/>
                <w:kern w:val="0"/>
                <w:sz w:val="16"/>
                <w:szCs w:val="16"/>
              </w:rPr>
            </w:pPr>
            <w:r w:rsidRPr="009B37AB">
              <w:rPr>
                <w:rFonts w:ascii="Arial" w:hAnsi="Arial" w:cs="Arial"/>
                <w:kern w:val="0"/>
                <w:sz w:val="16"/>
                <w:szCs w:val="16"/>
              </w:rPr>
              <w:t>20x</w:t>
            </w:r>
            <w:r w:rsidRPr="009B37AB">
              <w:rPr>
                <w:rFonts w:ascii="Arial" w:hAnsi="Arial" w:cs="Arial"/>
                <w:spacing w:val="-12"/>
                <w:kern w:val="0"/>
                <w:sz w:val="16"/>
                <w:szCs w:val="16"/>
              </w:rPr>
              <w:t xml:space="preserve"> </w:t>
            </w:r>
            <w:r w:rsidRPr="009B37AB">
              <w:rPr>
                <w:rFonts w:ascii="Arial" w:hAnsi="Arial" w:cs="Arial"/>
                <w:kern w:val="0"/>
                <w:sz w:val="16"/>
                <w:szCs w:val="16"/>
              </w:rPr>
              <w:t xml:space="preserve">TCLP Limit </w:t>
            </w:r>
            <w:r w:rsidRPr="009B37AB">
              <w:rPr>
                <w:rFonts w:ascii="Arial" w:hAnsi="Arial" w:cs="Arial"/>
                <w:spacing w:val="-2"/>
                <w:kern w:val="0"/>
                <w:sz w:val="16"/>
                <w:szCs w:val="16"/>
              </w:rPr>
              <w:t>(Soil)</w:t>
            </w:r>
          </w:p>
          <w:p w14:paraId="450B07E5" w14:textId="77777777" w:rsidR="009B37AB" w:rsidRPr="009B37AB" w:rsidRDefault="009B37AB" w:rsidP="009B37AB">
            <w:pPr>
              <w:kinsoku w:val="0"/>
              <w:overflowPunct w:val="0"/>
              <w:autoSpaceDE w:val="0"/>
              <w:autoSpaceDN w:val="0"/>
              <w:adjustRightInd w:val="0"/>
              <w:spacing w:before="1" w:after="0" w:line="240" w:lineRule="auto"/>
              <w:ind w:left="96" w:right="53"/>
              <w:jc w:val="center"/>
              <w:rPr>
                <w:rFonts w:ascii="Arial" w:hAnsi="Arial" w:cs="Arial"/>
                <w:spacing w:val="-2"/>
                <w:kern w:val="0"/>
                <w:sz w:val="16"/>
                <w:szCs w:val="16"/>
              </w:rPr>
            </w:pPr>
            <w:r w:rsidRPr="009B37AB">
              <w:rPr>
                <w:rFonts w:ascii="Arial" w:hAnsi="Arial" w:cs="Arial"/>
                <w:spacing w:val="-2"/>
                <w:kern w:val="0"/>
                <w:sz w:val="16"/>
                <w:szCs w:val="16"/>
              </w:rPr>
              <w:t>(mg/Kg)</w:t>
            </w:r>
          </w:p>
        </w:tc>
      </w:tr>
      <w:tr w:rsidR="009B37AB" w:rsidRPr="009B37AB" w14:paraId="7649DD9B" w14:textId="77777777">
        <w:trPr>
          <w:trHeight w:val="252"/>
        </w:trPr>
        <w:tc>
          <w:tcPr>
            <w:tcW w:w="3058" w:type="dxa"/>
            <w:tcBorders>
              <w:top w:val="single" w:sz="6" w:space="0" w:color="000000"/>
              <w:left w:val="single" w:sz="6" w:space="0" w:color="000000"/>
              <w:bottom w:val="single" w:sz="6" w:space="0" w:color="000000"/>
              <w:right w:val="single" w:sz="6" w:space="0" w:color="000000"/>
            </w:tcBorders>
            <w:shd w:val="clear" w:color="auto" w:fill="ECECEC"/>
          </w:tcPr>
          <w:p w14:paraId="0D2CD0AE" w14:textId="77777777" w:rsidR="009B37AB" w:rsidRPr="009B37AB" w:rsidRDefault="009B37AB" w:rsidP="009B37AB">
            <w:pPr>
              <w:kinsoku w:val="0"/>
              <w:overflowPunct w:val="0"/>
              <w:autoSpaceDE w:val="0"/>
              <w:autoSpaceDN w:val="0"/>
              <w:adjustRightInd w:val="0"/>
              <w:spacing w:before="36" w:after="0" w:line="240" w:lineRule="auto"/>
              <w:ind w:left="39"/>
              <w:rPr>
                <w:rFonts w:ascii="Arial" w:hAnsi="Arial" w:cs="Arial"/>
                <w:b/>
                <w:bCs/>
                <w:color w:val="000080"/>
                <w:kern w:val="0"/>
                <w:sz w:val="16"/>
                <w:szCs w:val="16"/>
              </w:rPr>
            </w:pPr>
            <w:r w:rsidRPr="009B37AB">
              <w:rPr>
                <w:rFonts w:ascii="Arial" w:hAnsi="Arial" w:cs="Arial"/>
                <w:b/>
                <w:bCs/>
                <w:color w:val="000080"/>
                <w:kern w:val="0"/>
                <w:sz w:val="16"/>
                <w:szCs w:val="16"/>
              </w:rPr>
              <w:t>Volatile Organic Constituents</w:t>
            </w:r>
          </w:p>
        </w:tc>
        <w:tc>
          <w:tcPr>
            <w:tcW w:w="1576" w:type="dxa"/>
            <w:tcBorders>
              <w:top w:val="single" w:sz="6" w:space="0" w:color="000000"/>
              <w:left w:val="single" w:sz="6" w:space="0" w:color="000000"/>
              <w:bottom w:val="single" w:sz="6" w:space="0" w:color="000000"/>
              <w:right w:val="single" w:sz="6" w:space="0" w:color="000000"/>
            </w:tcBorders>
            <w:shd w:val="clear" w:color="auto" w:fill="ECECEC"/>
          </w:tcPr>
          <w:p w14:paraId="0B4E4B14" w14:textId="77777777" w:rsidR="009B37AB" w:rsidRPr="009B37AB" w:rsidRDefault="009B37AB" w:rsidP="009B37AB">
            <w:pPr>
              <w:kinsoku w:val="0"/>
              <w:overflowPunct w:val="0"/>
              <w:autoSpaceDE w:val="0"/>
              <w:autoSpaceDN w:val="0"/>
              <w:adjustRightInd w:val="0"/>
              <w:spacing w:after="0" w:line="240" w:lineRule="auto"/>
              <w:rPr>
                <w:rFonts w:ascii="Times New Roman" w:hAnsi="Times New Roman" w:cs="Times New Roman"/>
                <w:kern w:val="0"/>
                <w:sz w:val="16"/>
                <w:szCs w:val="16"/>
              </w:rPr>
            </w:pPr>
          </w:p>
        </w:tc>
        <w:tc>
          <w:tcPr>
            <w:tcW w:w="1576" w:type="dxa"/>
            <w:tcBorders>
              <w:top w:val="single" w:sz="6" w:space="0" w:color="000000"/>
              <w:left w:val="single" w:sz="6" w:space="0" w:color="000000"/>
              <w:bottom w:val="single" w:sz="6" w:space="0" w:color="000000"/>
              <w:right w:val="single" w:sz="6" w:space="0" w:color="000000"/>
            </w:tcBorders>
            <w:shd w:val="clear" w:color="auto" w:fill="ECECEC"/>
          </w:tcPr>
          <w:p w14:paraId="55A2E3A7" w14:textId="77777777" w:rsidR="009B37AB" w:rsidRPr="009B37AB" w:rsidRDefault="009B37AB" w:rsidP="009B37AB">
            <w:pPr>
              <w:kinsoku w:val="0"/>
              <w:overflowPunct w:val="0"/>
              <w:autoSpaceDE w:val="0"/>
              <w:autoSpaceDN w:val="0"/>
              <w:adjustRightInd w:val="0"/>
              <w:spacing w:after="0" w:line="240" w:lineRule="auto"/>
              <w:rPr>
                <w:rFonts w:ascii="Times New Roman" w:hAnsi="Times New Roman" w:cs="Times New Roman"/>
                <w:kern w:val="0"/>
                <w:sz w:val="16"/>
                <w:szCs w:val="16"/>
              </w:rPr>
            </w:pPr>
          </w:p>
        </w:tc>
        <w:tc>
          <w:tcPr>
            <w:tcW w:w="1569" w:type="dxa"/>
            <w:tcBorders>
              <w:top w:val="single" w:sz="6" w:space="0" w:color="000000"/>
              <w:left w:val="single" w:sz="6" w:space="0" w:color="000000"/>
              <w:bottom w:val="single" w:sz="6" w:space="0" w:color="000000"/>
              <w:right w:val="single" w:sz="12" w:space="0" w:color="000000"/>
            </w:tcBorders>
            <w:shd w:val="clear" w:color="auto" w:fill="ECECEC"/>
          </w:tcPr>
          <w:p w14:paraId="65047002" w14:textId="77777777" w:rsidR="009B37AB" w:rsidRPr="009B37AB" w:rsidRDefault="009B37AB" w:rsidP="009B37AB">
            <w:pPr>
              <w:kinsoku w:val="0"/>
              <w:overflowPunct w:val="0"/>
              <w:autoSpaceDE w:val="0"/>
              <w:autoSpaceDN w:val="0"/>
              <w:adjustRightInd w:val="0"/>
              <w:spacing w:after="0" w:line="240" w:lineRule="auto"/>
              <w:rPr>
                <w:rFonts w:ascii="Times New Roman" w:hAnsi="Times New Roman" w:cs="Times New Roman"/>
                <w:kern w:val="0"/>
                <w:sz w:val="16"/>
                <w:szCs w:val="16"/>
              </w:rPr>
            </w:pPr>
          </w:p>
        </w:tc>
      </w:tr>
      <w:tr w:rsidR="009B37AB" w:rsidRPr="009B37AB" w14:paraId="5664A673" w14:textId="77777777">
        <w:trPr>
          <w:trHeight w:val="251"/>
        </w:trPr>
        <w:tc>
          <w:tcPr>
            <w:tcW w:w="3058" w:type="dxa"/>
            <w:tcBorders>
              <w:top w:val="single" w:sz="6" w:space="0" w:color="000000"/>
              <w:left w:val="single" w:sz="6" w:space="0" w:color="000000"/>
              <w:bottom w:val="single" w:sz="12" w:space="0" w:color="000000"/>
              <w:right w:val="single" w:sz="6" w:space="0" w:color="000000"/>
            </w:tcBorders>
          </w:tcPr>
          <w:p w14:paraId="0AC77E32" w14:textId="77777777" w:rsidR="009B37AB" w:rsidRPr="009B37AB" w:rsidRDefault="009B37AB" w:rsidP="009B37AB">
            <w:pPr>
              <w:kinsoku w:val="0"/>
              <w:overflowPunct w:val="0"/>
              <w:autoSpaceDE w:val="0"/>
              <w:autoSpaceDN w:val="0"/>
              <w:adjustRightInd w:val="0"/>
              <w:spacing w:before="36" w:after="0" w:line="240" w:lineRule="auto"/>
              <w:ind w:left="160"/>
              <w:rPr>
                <w:rFonts w:ascii="Arial" w:hAnsi="Arial" w:cs="Arial"/>
                <w:color w:val="000080"/>
                <w:spacing w:val="-2"/>
                <w:kern w:val="0"/>
                <w:sz w:val="16"/>
                <w:szCs w:val="16"/>
              </w:rPr>
            </w:pPr>
            <w:r w:rsidRPr="009B37AB">
              <w:rPr>
                <w:rFonts w:ascii="Arial" w:hAnsi="Arial" w:cs="Arial"/>
                <w:color w:val="000080"/>
                <w:spacing w:val="-2"/>
                <w:kern w:val="0"/>
                <w:sz w:val="16"/>
                <w:szCs w:val="16"/>
              </w:rPr>
              <w:t>Trichloroethene</w:t>
            </w:r>
          </w:p>
        </w:tc>
        <w:tc>
          <w:tcPr>
            <w:tcW w:w="1576" w:type="dxa"/>
            <w:tcBorders>
              <w:top w:val="single" w:sz="6" w:space="0" w:color="000000"/>
              <w:left w:val="single" w:sz="6" w:space="0" w:color="000000"/>
              <w:bottom w:val="single" w:sz="12" w:space="0" w:color="000000"/>
              <w:right w:val="single" w:sz="6" w:space="0" w:color="000000"/>
            </w:tcBorders>
          </w:tcPr>
          <w:p w14:paraId="2240F372" w14:textId="77777777" w:rsidR="009B37AB" w:rsidRPr="009B37AB" w:rsidRDefault="009B37AB" w:rsidP="009B37AB">
            <w:pPr>
              <w:kinsoku w:val="0"/>
              <w:overflowPunct w:val="0"/>
              <w:autoSpaceDE w:val="0"/>
              <w:autoSpaceDN w:val="0"/>
              <w:adjustRightInd w:val="0"/>
              <w:spacing w:before="50" w:after="0" w:line="182" w:lineRule="exact"/>
              <w:ind w:left="30" w:right="3"/>
              <w:jc w:val="center"/>
              <w:rPr>
                <w:rFonts w:ascii="Arial" w:hAnsi="Arial" w:cs="Arial"/>
                <w:spacing w:val="-4"/>
                <w:kern w:val="0"/>
                <w:sz w:val="16"/>
                <w:szCs w:val="16"/>
              </w:rPr>
            </w:pPr>
            <w:r w:rsidRPr="009B37AB">
              <w:rPr>
                <w:rFonts w:ascii="Arial" w:hAnsi="Arial" w:cs="Arial"/>
                <w:spacing w:val="-4"/>
                <w:kern w:val="0"/>
                <w:sz w:val="16"/>
                <w:szCs w:val="16"/>
              </w:rPr>
              <w:t>0.37</w:t>
            </w:r>
          </w:p>
        </w:tc>
        <w:tc>
          <w:tcPr>
            <w:tcW w:w="1576" w:type="dxa"/>
            <w:tcBorders>
              <w:top w:val="single" w:sz="6" w:space="0" w:color="000000"/>
              <w:left w:val="single" w:sz="6" w:space="0" w:color="000000"/>
              <w:bottom w:val="single" w:sz="12" w:space="0" w:color="000000"/>
              <w:right w:val="single" w:sz="6" w:space="0" w:color="000000"/>
            </w:tcBorders>
          </w:tcPr>
          <w:p w14:paraId="30C8277E" w14:textId="77777777" w:rsidR="009B37AB" w:rsidRPr="009B37AB" w:rsidRDefault="009B37AB" w:rsidP="009B37AB">
            <w:pPr>
              <w:kinsoku w:val="0"/>
              <w:overflowPunct w:val="0"/>
              <w:autoSpaceDE w:val="0"/>
              <w:autoSpaceDN w:val="0"/>
              <w:adjustRightInd w:val="0"/>
              <w:spacing w:before="50" w:after="0" w:line="182" w:lineRule="exact"/>
              <w:ind w:left="31" w:right="3"/>
              <w:jc w:val="center"/>
              <w:rPr>
                <w:rFonts w:ascii="Arial" w:hAnsi="Arial" w:cs="Arial"/>
                <w:spacing w:val="-6"/>
                <w:kern w:val="0"/>
                <w:sz w:val="16"/>
                <w:szCs w:val="16"/>
              </w:rPr>
            </w:pPr>
            <w:r w:rsidRPr="009B37AB">
              <w:rPr>
                <w:rFonts w:ascii="Arial" w:hAnsi="Arial" w:cs="Arial"/>
                <w:spacing w:val="-6"/>
                <w:kern w:val="0"/>
                <w:sz w:val="16"/>
                <w:szCs w:val="16"/>
              </w:rPr>
              <w:t>51</w:t>
            </w:r>
          </w:p>
        </w:tc>
        <w:tc>
          <w:tcPr>
            <w:tcW w:w="1569" w:type="dxa"/>
            <w:tcBorders>
              <w:top w:val="single" w:sz="6" w:space="0" w:color="000000"/>
              <w:left w:val="single" w:sz="6" w:space="0" w:color="000000"/>
              <w:bottom w:val="single" w:sz="12" w:space="0" w:color="000000"/>
              <w:right w:val="single" w:sz="12" w:space="0" w:color="000000"/>
            </w:tcBorders>
          </w:tcPr>
          <w:p w14:paraId="099FE6C4" w14:textId="77777777" w:rsidR="009B37AB" w:rsidRPr="009B37AB" w:rsidRDefault="009B37AB" w:rsidP="009B37AB">
            <w:pPr>
              <w:kinsoku w:val="0"/>
              <w:overflowPunct w:val="0"/>
              <w:autoSpaceDE w:val="0"/>
              <w:autoSpaceDN w:val="0"/>
              <w:adjustRightInd w:val="0"/>
              <w:spacing w:before="50" w:after="0" w:line="182" w:lineRule="exact"/>
              <w:ind w:left="96" w:right="53"/>
              <w:jc w:val="center"/>
              <w:rPr>
                <w:rFonts w:ascii="Arial" w:hAnsi="Arial" w:cs="Arial"/>
                <w:spacing w:val="-6"/>
                <w:kern w:val="0"/>
                <w:sz w:val="16"/>
                <w:szCs w:val="16"/>
              </w:rPr>
            </w:pPr>
            <w:r w:rsidRPr="009B37AB">
              <w:rPr>
                <w:rFonts w:ascii="Arial" w:hAnsi="Arial" w:cs="Arial"/>
                <w:spacing w:val="-6"/>
                <w:kern w:val="0"/>
                <w:sz w:val="16"/>
                <w:szCs w:val="16"/>
              </w:rPr>
              <w:t>10</w:t>
            </w:r>
          </w:p>
        </w:tc>
      </w:tr>
    </w:tbl>
    <w:p w14:paraId="7A7701B4" w14:textId="77777777" w:rsidR="00DF49ED" w:rsidRDefault="00DF49ED" w:rsidP="003422BE"/>
    <w:p w14:paraId="28E5E150" w14:textId="77777777" w:rsidR="00DF49ED" w:rsidRDefault="00DF49ED" w:rsidP="003422BE"/>
    <w:p w14:paraId="26804984" w14:textId="0BF83ECC" w:rsidR="003422BE" w:rsidRDefault="003422BE" w:rsidP="003422BE">
      <w:r>
        <w:lastRenderedPageBreak/>
        <w:t xml:space="preserve">A No Longer Contained-In Determination is required to demonstrate that the soil </w:t>
      </w:r>
      <w:r w:rsidR="00810763">
        <w:t>does</w:t>
      </w:r>
      <w:r>
        <w:t xml:space="preserve"> not qualify as characteristic hazardous waste, that concentrations of solvent-related chemicals are below protective levels, and</w:t>
      </w:r>
      <w:r w:rsidR="00F13340">
        <w:t xml:space="preserve"> that </w:t>
      </w:r>
      <w:r>
        <w:t>land disposal restrictions are met.</w:t>
      </w:r>
      <w:r w:rsidR="00651337">
        <w:t xml:space="preserve"> </w:t>
      </w:r>
      <w:r>
        <w:t>To demonstrate that the soil “no longer contains” hazardous waste, the following conditions need to be met:</w:t>
      </w:r>
    </w:p>
    <w:p w14:paraId="0422130A" w14:textId="002A25AA" w:rsidR="003422BE" w:rsidRDefault="003422BE" w:rsidP="003422BE">
      <w:r>
        <w:t xml:space="preserve">1. The soil (a solid) must not exhibit a characteristic of hazardous waste (must not be reactive or toxic). The potential for soil containing </w:t>
      </w:r>
      <w:r w:rsidR="004E1056">
        <w:t xml:space="preserve">waste to exhibit </w:t>
      </w:r>
      <w:r w:rsidR="0018689A">
        <w:t>toxicity characteristics</w:t>
      </w:r>
      <w:r w:rsidR="004E1056">
        <w:t xml:space="preserve"> is evaluated by comparing constituent concentrations in leachate extracted from the waste using the Toxicity Characteristic Leaching Procedure (TCLP) with the limits specified in 40 CFR</w:t>
      </w:r>
      <w:r>
        <w:t xml:space="preserve"> Part 261.24. Representative (total) chemical concentrations for the soil are compared to a value of 20 times the TCLP limit (to account for the 20 to 1 dilution inherent in the TCLP analysis method) to determine if the limits could potentially be exceeded. If the </w:t>
      </w:r>
      <w:r w:rsidR="0018689A">
        <w:t xml:space="preserve">TCLP limit for any chemical is exceeded 20 times, </w:t>
      </w:r>
      <w:r>
        <w:t xml:space="preserve">the waste may be a characteristic waste. The </w:t>
      </w:r>
      <w:proofErr w:type="gramStart"/>
      <w:r>
        <w:t>20 times</w:t>
      </w:r>
      <w:proofErr w:type="gramEnd"/>
      <w:r>
        <w:t xml:space="preserve"> TCLP limit for PCE is 14 parts per million or 14,000 parts per billion. The soil does not fail the toxicity characteristic for PCE. The soil is not a characteristic hazardous waste.</w:t>
      </w:r>
    </w:p>
    <w:p w14:paraId="3DAF022F" w14:textId="4ACDB259" w:rsidR="003422BE" w:rsidRDefault="003422BE" w:rsidP="003422BE">
      <w:r>
        <w:t xml:space="preserve">2. The </w:t>
      </w:r>
      <w:r w:rsidR="00EE61F3">
        <w:t>soil</w:t>
      </w:r>
      <w:r>
        <w:t xml:space="preserve"> must not exhibit a characteristic of </w:t>
      </w:r>
      <w:proofErr w:type="gramStart"/>
      <w:r>
        <w:t>a hazardous</w:t>
      </w:r>
      <w:proofErr w:type="gramEnd"/>
      <w:r>
        <w:t xml:space="preserve"> waste (must not be ignitable or corrosive). Based on knowledge of </w:t>
      </w:r>
      <w:r w:rsidR="00BB5104">
        <w:t xml:space="preserve">the </w:t>
      </w:r>
      <w:r>
        <w:t xml:space="preserve">process, DEQ has determined that the </w:t>
      </w:r>
      <w:r w:rsidR="00BB5104">
        <w:t>soil</w:t>
      </w:r>
      <w:r>
        <w:t xml:space="preserve"> is neither ignitable nor corrosive.</w:t>
      </w:r>
    </w:p>
    <w:p w14:paraId="3F4F48E9" w14:textId="7FC28AC7" w:rsidR="003422BE" w:rsidRDefault="003422BE" w:rsidP="003422BE">
      <w:r>
        <w:t>3. Concentrations of hazardous constituents from listed waste must be below health-based levels. Currently, it is DEQ policy that if soil is to be taken to a solid waste permitted Subtitle D lined landfill, then concentrations of hazardous constituents should be below the DEQ Construction Worker Risk Based Concentration for direct contact. Currently this Internal Management Directive: Conducting Contained-In Determinations for Environmental Media 22</w:t>
      </w:r>
      <w:r w:rsidR="00CD1077">
        <w:t xml:space="preserve"> </w:t>
      </w:r>
      <w:r>
        <w:t xml:space="preserve">RBC for PCE is 1,800 ppm. The concentrations of PCE detected in the soil are well below the </w:t>
      </w:r>
      <w:r w:rsidR="00677E22">
        <w:t>RBC for direct contact with construction workers</w:t>
      </w:r>
      <w:r>
        <w:t xml:space="preserve">. </w:t>
      </w:r>
    </w:p>
    <w:p w14:paraId="3394D1C6" w14:textId="382ADF7D" w:rsidR="003422BE" w:rsidRDefault="003422BE" w:rsidP="003422BE">
      <w:r>
        <w:t>5. RCRA land disposal restrictions do not apply because the waste was not removed from the area of contamination prior to this determination.</w:t>
      </w:r>
    </w:p>
    <w:p w14:paraId="12555139" w14:textId="14E7B3AE" w:rsidR="003422BE" w:rsidRDefault="003422BE" w:rsidP="003422BE">
      <w:r>
        <w:t>The table above illustrates the sample results compared to the applicable DEQ RBCs and TCLP.</w:t>
      </w:r>
    </w:p>
    <w:p w14:paraId="686D90AC" w14:textId="0F2677CC" w:rsidR="003422BE" w:rsidRDefault="003422BE" w:rsidP="003422BE">
      <w:r>
        <w:t xml:space="preserve">Underlying constituents of PCE might be present in the soil at concentrations below the </w:t>
      </w:r>
      <w:r w:rsidR="00DA6B56">
        <w:t>M</w:t>
      </w:r>
      <w:r>
        <w:t xml:space="preserve">inimum </w:t>
      </w:r>
      <w:r w:rsidR="00DA6B56">
        <w:t>R</w:t>
      </w:r>
      <w:r>
        <w:t xml:space="preserve">eporting </w:t>
      </w:r>
      <w:r w:rsidR="00DA6B56">
        <w:t>L</w:t>
      </w:r>
      <w:r>
        <w:t xml:space="preserve">evels </w:t>
      </w:r>
      <w:r w:rsidR="003D7BDC">
        <w:t xml:space="preserve">(MRL) </w:t>
      </w:r>
      <w:r>
        <w:t xml:space="preserve">shown in the laboratory analytical data. Using the MRL concentrations and our knowledge of </w:t>
      </w:r>
      <w:r w:rsidR="003D7BDC">
        <w:t xml:space="preserve">the </w:t>
      </w:r>
      <w:r>
        <w:t xml:space="preserve">process, we can assume the following about the </w:t>
      </w:r>
      <w:proofErr w:type="gramStart"/>
      <w:r>
        <w:t>soil :</w:t>
      </w:r>
      <w:proofErr w:type="gramEnd"/>
    </w:p>
    <w:p w14:paraId="4E53FB0A" w14:textId="6EE80C42" w:rsidR="003422BE" w:rsidRDefault="003422BE" w:rsidP="003422BE">
      <w:r>
        <w:t>• It would not be ignitable, corrosive</w:t>
      </w:r>
      <w:r w:rsidR="00B32A14">
        <w:t>,</w:t>
      </w:r>
      <w:r>
        <w:t xml:space="preserve"> or </w:t>
      </w:r>
      <w:proofErr w:type="gramStart"/>
      <w:r>
        <w:t>reactive;</w:t>
      </w:r>
      <w:proofErr w:type="gramEnd"/>
    </w:p>
    <w:p w14:paraId="06D27F56" w14:textId="130C08B7" w:rsidR="003422BE" w:rsidRDefault="003422BE" w:rsidP="003422BE">
      <w:r>
        <w:lastRenderedPageBreak/>
        <w:t xml:space="preserve">• Concentrations of underlying constituents would be below toxicity characteristic </w:t>
      </w:r>
      <w:r w:rsidR="00E218F2">
        <w:t>levels.</w:t>
      </w:r>
    </w:p>
    <w:p w14:paraId="546BAB68" w14:textId="77777777" w:rsidR="003422BE" w:rsidRDefault="003422BE" w:rsidP="003422BE">
      <w:r>
        <w:t>• Concentrations of underlying constituents would be below DEQ protective levels.</w:t>
      </w:r>
    </w:p>
    <w:p w14:paraId="6217C577" w14:textId="3F006DEA" w:rsidR="003422BE" w:rsidRDefault="003422BE" w:rsidP="003422BE">
      <w:r>
        <w:t xml:space="preserve">Based on review of the data and the above findings, DEQ has determined that the </w:t>
      </w:r>
      <w:r w:rsidR="0039012D">
        <w:t xml:space="preserve">soil </w:t>
      </w:r>
      <w:r>
        <w:t xml:space="preserve">generated during drilling and sampling activities at the site </w:t>
      </w:r>
      <w:r w:rsidR="00E218F2">
        <w:t>does</w:t>
      </w:r>
      <w:r>
        <w:t xml:space="preserve"> not exhibit characteristics of </w:t>
      </w:r>
      <w:proofErr w:type="gramStart"/>
      <w:r>
        <w:t>a hazardous</w:t>
      </w:r>
      <w:proofErr w:type="gramEnd"/>
      <w:r>
        <w:t xml:space="preserve"> waste. </w:t>
      </w:r>
    </w:p>
    <w:p w14:paraId="277D9C9C" w14:textId="2F462439" w:rsidR="00906C43" w:rsidRDefault="003422BE" w:rsidP="0039012D">
      <w:r>
        <w:t xml:space="preserve">The concentrations of detected solvents in soil samples are below the DEQ’s generic Construction and Excavation and Construction Worker RBCs, respectively. The soil does not pose an unacceptable risk to industrial </w:t>
      </w:r>
      <w:r w:rsidR="001A407B">
        <w:t>workers' exposure under the proposed waste management scenario</w:t>
      </w:r>
      <w:r>
        <w:t>. If this soil is disposed of at a permitted Subtitle D lined landfill that DEQ has approved for this purpose</w:t>
      </w:r>
      <w:r w:rsidR="0060420F">
        <w:t>. T</w:t>
      </w:r>
      <w:r>
        <w:t xml:space="preserve">he waste will </w:t>
      </w:r>
      <w:r w:rsidR="00347FF0">
        <w:t>be</w:t>
      </w:r>
      <w:r>
        <w:t xml:space="preserve"> considered </w:t>
      </w:r>
      <w:r w:rsidR="00B32A14">
        <w:t>N</w:t>
      </w:r>
      <w:r>
        <w:t xml:space="preserve">o </w:t>
      </w:r>
      <w:r w:rsidR="00B32A14">
        <w:t>L</w:t>
      </w:r>
      <w:r>
        <w:t xml:space="preserve">onger </w:t>
      </w:r>
      <w:r w:rsidR="00B32A14">
        <w:t>C</w:t>
      </w:r>
      <w:r>
        <w:t>ontain</w:t>
      </w:r>
      <w:r w:rsidR="0060420F">
        <w:t xml:space="preserve">ed </w:t>
      </w:r>
      <w:r w:rsidR="00B32A14">
        <w:t>I</w:t>
      </w:r>
      <w:r w:rsidR="0060420F">
        <w:t>n</w:t>
      </w:r>
      <w:r>
        <w:t xml:space="preserve"> waste. </w:t>
      </w:r>
    </w:p>
    <w:sectPr w:rsidR="00906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BE"/>
    <w:rsid w:val="00012C2B"/>
    <w:rsid w:val="00032102"/>
    <w:rsid w:val="000417D7"/>
    <w:rsid w:val="000A404D"/>
    <w:rsid w:val="000A59F0"/>
    <w:rsid w:val="000A64C2"/>
    <w:rsid w:val="00132259"/>
    <w:rsid w:val="0013599B"/>
    <w:rsid w:val="00144597"/>
    <w:rsid w:val="001451B8"/>
    <w:rsid w:val="00174F92"/>
    <w:rsid w:val="0018689A"/>
    <w:rsid w:val="00186DA2"/>
    <w:rsid w:val="001A2568"/>
    <w:rsid w:val="001A407B"/>
    <w:rsid w:val="001B4B41"/>
    <w:rsid w:val="002855E5"/>
    <w:rsid w:val="00287036"/>
    <w:rsid w:val="002C44F0"/>
    <w:rsid w:val="002E16CE"/>
    <w:rsid w:val="002E25CD"/>
    <w:rsid w:val="003422BE"/>
    <w:rsid w:val="00347FF0"/>
    <w:rsid w:val="0039012D"/>
    <w:rsid w:val="003A056A"/>
    <w:rsid w:val="003D4205"/>
    <w:rsid w:val="003D4D42"/>
    <w:rsid w:val="003D7BDC"/>
    <w:rsid w:val="00402E14"/>
    <w:rsid w:val="00413059"/>
    <w:rsid w:val="004141A1"/>
    <w:rsid w:val="004A60FE"/>
    <w:rsid w:val="004E1056"/>
    <w:rsid w:val="005303A1"/>
    <w:rsid w:val="00572187"/>
    <w:rsid w:val="00595C21"/>
    <w:rsid w:val="005A4AD6"/>
    <w:rsid w:val="005D40D9"/>
    <w:rsid w:val="005D7540"/>
    <w:rsid w:val="0060420F"/>
    <w:rsid w:val="00616D92"/>
    <w:rsid w:val="006463CE"/>
    <w:rsid w:val="00651337"/>
    <w:rsid w:val="00677E22"/>
    <w:rsid w:val="00806E4F"/>
    <w:rsid w:val="00810763"/>
    <w:rsid w:val="00813635"/>
    <w:rsid w:val="00815314"/>
    <w:rsid w:val="00833986"/>
    <w:rsid w:val="00906C43"/>
    <w:rsid w:val="009216D1"/>
    <w:rsid w:val="00941EA2"/>
    <w:rsid w:val="00971D74"/>
    <w:rsid w:val="00996A62"/>
    <w:rsid w:val="009A04AE"/>
    <w:rsid w:val="009B37AB"/>
    <w:rsid w:val="009B4F41"/>
    <w:rsid w:val="009D151E"/>
    <w:rsid w:val="00A107E1"/>
    <w:rsid w:val="00A645B5"/>
    <w:rsid w:val="00A732E8"/>
    <w:rsid w:val="00A75AC4"/>
    <w:rsid w:val="00AA1514"/>
    <w:rsid w:val="00AA5300"/>
    <w:rsid w:val="00AD2F97"/>
    <w:rsid w:val="00B32A14"/>
    <w:rsid w:val="00BB5104"/>
    <w:rsid w:val="00BF54D9"/>
    <w:rsid w:val="00C312D1"/>
    <w:rsid w:val="00CD1077"/>
    <w:rsid w:val="00CD5AA9"/>
    <w:rsid w:val="00CF23D9"/>
    <w:rsid w:val="00D05345"/>
    <w:rsid w:val="00D1639F"/>
    <w:rsid w:val="00D53F38"/>
    <w:rsid w:val="00D66482"/>
    <w:rsid w:val="00DA6B56"/>
    <w:rsid w:val="00DF49ED"/>
    <w:rsid w:val="00E218F2"/>
    <w:rsid w:val="00E301FD"/>
    <w:rsid w:val="00EB6D03"/>
    <w:rsid w:val="00ED2A61"/>
    <w:rsid w:val="00EE36D4"/>
    <w:rsid w:val="00EE61F3"/>
    <w:rsid w:val="00F13340"/>
    <w:rsid w:val="00F13DC2"/>
    <w:rsid w:val="00F55A98"/>
    <w:rsid w:val="00F564A8"/>
    <w:rsid w:val="00FF7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BE4E3"/>
  <w15:chartTrackingRefBased/>
  <w15:docId w15:val="{D641BC3D-4DAF-4804-B213-F8EF15F2F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2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2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2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2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2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2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2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2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2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2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2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2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2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2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2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2BE"/>
    <w:rPr>
      <w:rFonts w:eastAsiaTheme="majorEastAsia" w:cstheme="majorBidi"/>
      <w:color w:val="272727" w:themeColor="text1" w:themeTint="D8"/>
    </w:rPr>
  </w:style>
  <w:style w:type="paragraph" w:styleId="Title">
    <w:name w:val="Title"/>
    <w:basedOn w:val="Normal"/>
    <w:next w:val="Normal"/>
    <w:link w:val="TitleChar"/>
    <w:uiPriority w:val="10"/>
    <w:qFormat/>
    <w:rsid w:val="00342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2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2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2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2BE"/>
    <w:pPr>
      <w:spacing w:before="160"/>
      <w:jc w:val="center"/>
    </w:pPr>
    <w:rPr>
      <w:i/>
      <w:iCs/>
      <w:color w:val="404040" w:themeColor="text1" w:themeTint="BF"/>
    </w:rPr>
  </w:style>
  <w:style w:type="character" w:customStyle="1" w:styleId="QuoteChar">
    <w:name w:val="Quote Char"/>
    <w:basedOn w:val="DefaultParagraphFont"/>
    <w:link w:val="Quote"/>
    <w:uiPriority w:val="29"/>
    <w:rsid w:val="003422BE"/>
    <w:rPr>
      <w:i/>
      <w:iCs/>
      <w:color w:val="404040" w:themeColor="text1" w:themeTint="BF"/>
    </w:rPr>
  </w:style>
  <w:style w:type="paragraph" w:styleId="ListParagraph">
    <w:name w:val="List Paragraph"/>
    <w:basedOn w:val="Normal"/>
    <w:uiPriority w:val="34"/>
    <w:qFormat/>
    <w:rsid w:val="003422BE"/>
    <w:pPr>
      <w:ind w:left="720"/>
      <w:contextualSpacing/>
    </w:pPr>
  </w:style>
  <w:style w:type="character" w:styleId="IntenseEmphasis">
    <w:name w:val="Intense Emphasis"/>
    <w:basedOn w:val="DefaultParagraphFont"/>
    <w:uiPriority w:val="21"/>
    <w:qFormat/>
    <w:rsid w:val="003422BE"/>
    <w:rPr>
      <w:i/>
      <w:iCs/>
      <w:color w:val="0F4761" w:themeColor="accent1" w:themeShade="BF"/>
    </w:rPr>
  </w:style>
  <w:style w:type="paragraph" w:styleId="IntenseQuote">
    <w:name w:val="Intense Quote"/>
    <w:basedOn w:val="Normal"/>
    <w:next w:val="Normal"/>
    <w:link w:val="IntenseQuoteChar"/>
    <w:uiPriority w:val="30"/>
    <w:qFormat/>
    <w:rsid w:val="00342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2BE"/>
    <w:rPr>
      <w:i/>
      <w:iCs/>
      <w:color w:val="0F4761" w:themeColor="accent1" w:themeShade="BF"/>
    </w:rPr>
  </w:style>
  <w:style w:type="character" w:styleId="IntenseReference">
    <w:name w:val="Intense Reference"/>
    <w:basedOn w:val="DefaultParagraphFont"/>
    <w:uiPriority w:val="32"/>
    <w:qFormat/>
    <w:rsid w:val="003422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296</TotalTime>
  <Pages>3</Pages>
  <Words>825</Words>
  <Characters>4709</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Jim * DEQ</dc:creator>
  <cp:keywords/>
  <dc:description/>
  <cp:lastModifiedBy>ORR Jim * DEQ</cp:lastModifiedBy>
  <cp:revision>84</cp:revision>
  <dcterms:created xsi:type="dcterms:W3CDTF">2026-04-16T17:33:00Z</dcterms:created>
  <dcterms:modified xsi:type="dcterms:W3CDTF">2026-04-21T20:37:00Z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f0de66a1-72f5-44f7-bb75-1dde58e94395</vt:lpwstr>
  </property>
</Properties>
</file>