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E8C31" w14:textId="77777777" w:rsidR="00152B13" w:rsidRDefault="00152B13" w:rsidP="00152B13">
      <w:pPr>
        <w:ind w:left="2160"/>
        <w:rPr>
          <w:sz w:val="22"/>
          <w:szCs w:val="22"/>
        </w:rPr>
      </w:pPr>
      <w:r>
        <w:rPr>
          <w:sz w:val="22"/>
          <w:szCs w:val="22"/>
        </w:rPr>
        <w:t xml:space="preserve">Hi Jim – I provided comments back to Wes and Todd on January 26 - shortly after Wes asked us to review the document– did you get a copy of those? If not, here they are – </w:t>
      </w:r>
    </w:p>
    <w:p w14:paraId="3C64E853" w14:textId="77777777" w:rsidR="00152B13" w:rsidRDefault="00152B13" w:rsidP="00152B13">
      <w:pPr>
        <w:ind w:left="2160"/>
        <w:rPr>
          <w:rFonts w:ascii="Calibri" w:hAnsi="Calibri" w:cs="Calibri"/>
          <w:sz w:val="22"/>
          <w:szCs w:val="22"/>
          <w14:ligatures w14:val="none"/>
        </w:rPr>
      </w:pPr>
      <w:r>
        <w:rPr>
          <w:rFonts w:ascii="Calibri" w:hAnsi="Calibri" w:cs="Calibri"/>
          <w:sz w:val="22"/>
          <w:szCs w:val="22"/>
          <w14:ligatures w14:val="none"/>
        </w:rPr>
        <w:br/>
      </w:r>
      <w:r>
        <w:rPr>
          <w:rFonts w:ascii="Calibri" w:hAnsi="Calibri" w:cs="Calibri"/>
          <w:b/>
          <w:bCs/>
          <w:sz w:val="22"/>
          <w:szCs w:val="22"/>
          <w14:ligatures w14:val="none"/>
        </w:rPr>
        <w:t>Subject:</w:t>
      </w:r>
      <w:r>
        <w:rPr>
          <w:rFonts w:ascii="Calibri" w:hAnsi="Calibri" w:cs="Calibri"/>
          <w:sz w:val="22"/>
          <w:szCs w:val="22"/>
          <w14:ligatures w14:val="none"/>
        </w:rPr>
        <w:t xml:space="preserve"> RE: ECSI 4081 - Supplemental RI Report (Soil &amp; Groundwater) </w:t>
      </w:r>
    </w:p>
    <w:p w14:paraId="06319EA8" w14:textId="77777777" w:rsidR="00152B13" w:rsidRDefault="00152B13" w:rsidP="00152B13">
      <w:pPr>
        <w:ind w:left="2160"/>
        <w:rPr>
          <w:sz w:val="22"/>
          <w:szCs w:val="22"/>
        </w:rPr>
      </w:pPr>
      <w:r>
        <w:rPr>
          <w:sz w:val="22"/>
          <w:szCs w:val="22"/>
        </w:rPr>
        <w:t>Section 2.2 –This section describes two vapor degreaser locations and TCE product storage in the building – how were the wastes transported from the degreaser areas to the drums and were there any drains in the vicinity of these areas? A discussion of the former paint booth activities should also be included in the work area history because the figure shows there may have been a utility line in that area, which is highlighted on Figure 3 as “an anomaly”.</w:t>
      </w:r>
    </w:p>
    <w:p w14:paraId="38A05917" w14:textId="77777777" w:rsidR="00152B13" w:rsidRDefault="00152B13" w:rsidP="00152B13">
      <w:pPr>
        <w:ind w:left="2160"/>
        <w:rPr>
          <w:sz w:val="22"/>
          <w:szCs w:val="22"/>
        </w:rPr>
      </w:pPr>
      <w:r>
        <w:rPr>
          <w:sz w:val="22"/>
          <w:szCs w:val="22"/>
        </w:rPr>
        <w:t xml:space="preserve">Section 2.3 - How was the hydraulic conductivity established in the deeper zone? Is that text-book values from field logs or field pump-test or laboratory tested? Values measured during this </w:t>
      </w:r>
      <w:proofErr w:type="gramStart"/>
      <w:r>
        <w:rPr>
          <w:sz w:val="22"/>
          <w:szCs w:val="22"/>
        </w:rPr>
        <w:t>test the range</w:t>
      </w:r>
      <w:proofErr w:type="gramEnd"/>
      <w:r>
        <w:rPr>
          <w:sz w:val="22"/>
          <w:szCs w:val="22"/>
        </w:rPr>
        <w:t xml:space="preserve"> is different than the recent numbers for the fill.</w:t>
      </w:r>
    </w:p>
    <w:p w14:paraId="7A869AD3" w14:textId="77777777" w:rsidR="00152B13" w:rsidRDefault="00152B13" w:rsidP="00152B13">
      <w:pPr>
        <w:ind w:left="2160"/>
        <w:rPr>
          <w:sz w:val="22"/>
          <w:szCs w:val="22"/>
        </w:rPr>
      </w:pPr>
      <w:r>
        <w:rPr>
          <w:sz w:val="22"/>
          <w:szCs w:val="22"/>
        </w:rPr>
        <w:t>Figure 3 –There are two degreaser vaults shown on figure 2A and only 1 location shown on Figures 2B and 3 and the location of the one shown appears to be different between these figures. The figures should accurately show both vaults, the former paint booth, the TCE waste storage areas and the TCE AST areas. Figure 3 should also show the location of interior floor drains and sumps along with these additional features.</w:t>
      </w:r>
    </w:p>
    <w:p w14:paraId="18EE77D5" w14:textId="77777777" w:rsidR="00152B13" w:rsidRDefault="00152B13" w:rsidP="00152B13">
      <w:pPr>
        <w:ind w:left="2160"/>
        <w:rPr>
          <w:sz w:val="22"/>
          <w:szCs w:val="22"/>
        </w:rPr>
      </w:pPr>
      <w:r>
        <w:rPr>
          <w:sz w:val="22"/>
          <w:szCs w:val="22"/>
        </w:rPr>
        <w:t>Figure 8 – Why are the GW concentrations being compared to vapor intrusion RBCs?  Why is there PCE detected if they never used it?</w:t>
      </w:r>
    </w:p>
    <w:p w14:paraId="0F77DE81" w14:textId="77777777" w:rsidR="00152B13" w:rsidRDefault="00152B13" w:rsidP="00152B13">
      <w:pPr>
        <w:ind w:left="2160"/>
        <w:rPr>
          <w:sz w:val="22"/>
          <w:szCs w:val="22"/>
        </w:rPr>
      </w:pPr>
    </w:p>
    <w:p w14:paraId="049FB037" w14:textId="77777777" w:rsidR="00152B13" w:rsidRDefault="00152B13" w:rsidP="00152B13">
      <w:pPr>
        <w:ind w:left="2160"/>
        <w:rPr>
          <w:sz w:val="22"/>
          <w:szCs w:val="22"/>
        </w:rPr>
      </w:pPr>
      <w:r>
        <w:rPr>
          <w:sz w:val="22"/>
          <w:szCs w:val="22"/>
        </w:rPr>
        <w:t xml:space="preserve">The figures are not accurate…TCE is a DNAPL, which they clearly had in 2005…It doesn’t look like they have investigated deep enough to characterize the plume at this site. The DCE </w:t>
      </w:r>
      <w:proofErr w:type="gramStart"/>
      <w:r>
        <w:rPr>
          <w:sz w:val="22"/>
          <w:szCs w:val="22"/>
        </w:rPr>
        <w:t>concentrations</w:t>
      </w:r>
      <w:proofErr w:type="gramEnd"/>
      <w:r>
        <w:rPr>
          <w:sz w:val="22"/>
          <w:szCs w:val="22"/>
        </w:rPr>
        <w:t xml:space="preserve"> on a molar basis are 4X as much as the TCE they are reporting. 1:1 for degradation – they have way more DCE – I can send you my spreadsheet if needed. The higher fraction of DCE may indicate a deeper source is still present and degrading at the site. </w:t>
      </w:r>
    </w:p>
    <w:p w14:paraId="7D37EE0A" w14:textId="77777777" w:rsidR="00152B13" w:rsidRDefault="00152B13" w:rsidP="00152B13">
      <w:pPr>
        <w:ind w:left="2160"/>
        <w:rPr>
          <w:sz w:val="22"/>
          <w:szCs w:val="22"/>
        </w:rPr>
      </w:pPr>
    </w:p>
    <w:p w14:paraId="65B40172" w14:textId="77777777" w:rsidR="00152B13" w:rsidRDefault="00152B13" w:rsidP="00152B13">
      <w:pPr>
        <w:ind w:left="2160"/>
        <w:rPr>
          <w:sz w:val="22"/>
          <w:szCs w:val="22"/>
        </w:rPr>
      </w:pPr>
      <w:r>
        <w:rPr>
          <w:sz w:val="22"/>
          <w:szCs w:val="22"/>
        </w:rPr>
        <w:t>I suggest they install a few deeper wells under a few of the source areas (waste storage area and former in-ground vault).</w:t>
      </w:r>
    </w:p>
    <w:p w14:paraId="45A87085" w14:textId="77777777" w:rsidR="00152B13" w:rsidRDefault="00152B13" w:rsidP="00152B13">
      <w:pPr>
        <w:ind w:left="2160"/>
        <w:rPr>
          <w:sz w:val="22"/>
          <w:szCs w:val="22"/>
        </w:rPr>
      </w:pPr>
    </w:p>
    <w:p w14:paraId="69F16CB0" w14:textId="77777777" w:rsidR="00152B13" w:rsidRDefault="00152B13" w:rsidP="00152B13">
      <w:pPr>
        <w:ind w:left="2160"/>
        <w:rPr>
          <w:sz w:val="22"/>
          <w:szCs w:val="22"/>
        </w:rPr>
      </w:pPr>
    </w:p>
    <w:p w14:paraId="6DE39BFD" w14:textId="77777777" w:rsidR="00152B13" w:rsidRDefault="00152B13" w:rsidP="00152B13">
      <w:pPr>
        <w:ind w:left="2160"/>
        <w:rPr>
          <w:sz w:val="22"/>
          <w:szCs w:val="22"/>
        </w:rPr>
      </w:pPr>
    </w:p>
    <w:p w14:paraId="4FE42302" w14:textId="77777777" w:rsidR="00152B13" w:rsidRDefault="00152B13" w:rsidP="00152B13">
      <w:pPr>
        <w:ind w:left="2160"/>
        <w:outlineLvl w:val="0"/>
        <w:rPr>
          <w:rFonts w:ascii="Calibri" w:hAnsi="Calibri" w:cs="Calibri"/>
          <w:sz w:val="22"/>
          <w:szCs w:val="22"/>
          <w14:ligatures w14:val="none"/>
        </w:rPr>
      </w:pPr>
      <w:r>
        <w:rPr>
          <w:rFonts w:ascii="Calibri" w:hAnsi="Calibri" w:cs="Calibri"/>
          <w:b/>
          <w:bCs/>
          <w:sz w:val="22"/>
          <w:szCs w:val="22"/>
          <w14:ligatures w14:val="none"/>
        </w:rPr>
        <w:t>From:</w:t>
      </w:r>
      <w:r>
        <w:rPr>
          <w:rFonts w:ascii="Calibri" w:hAnsi="Calibri" w:cs="Calibri"/>
          <w:sz w:val="22"/>
          <w:szCs w:val="22"/>
          <w14:ligatures w14:val="none"/>
        </w:rPr>
        <w:t xml:space="preserve"> ORR Jim * DEQ &lt;</w:t>
      </w:r>
      <w:hyperlink r:id="rId5" w:history="1">
        <w:r>
          <w:rPr>
            <w:rStyle w:val="Hyperlink"/>
            <w:rFonts w:ascii="Calibri" w:hAnsi="Calibri" w:cs="Calibri"/>
            <w:sz w:val="22"/>
            <w:szCs w:val="22"/>
            <w14:ligatures w14:val="none"/>
          </w:rPr>
          <w:t>Jim.ORR@deq.oregon.gov</w:t>
        </w:r>
      </w:hyperlink>
      <w:r>
        <w:rPr>
          <w:rFonts w:ascii="Calibri" w:hAnsi="Calibri" w:cs="Calibri"/>
          <w:sz w:val="22"/>
          <w:szCs w:val="22"/>
          <w14:ligatures w14:val="none"/>
        </w:rPr>
        <w:t xml:space="preserve">&gt; </w:t>
      </w:r>
      <w:r>
        <w:rPr>
          <w:rFonts w:ascii="Calibri" w:hAnsi="Calibri" w:cs="Calibri"/>
          <w:sz w:val="22"/>
          <w:szCs w:val="22"/>
          <w14:ligatures w14:val="none"/>
        </w:rPr>
        <w:br/>
      </w:r>
      <w:r>
        <w:rPr>
          <w:rFonts w:ascii="Calibri" w:hAnsi="Calibri" w:cs="Calibri"/>
          <w:b/>
          <w:bCs/>
          <w:sz w:val="22"/>
          <w:szCs w:val="22"/>
          <w14:ligatures w14:val="none"/>
        </w:rPr>
        <w:t>Sent:</w:t>
      </w:r>
      <w:r>
        <w:rPr>
          <w:rFonts w:ascii="Calibri" w:hAnsi="Calibri" w:cs="Calibri"/>
          <w:sz w:val="22"/>
          <w:szCs w:val="22"/>
          <w14:ligatures w14:val="none"/>
        </w:rPr>
        <w:t xml:space="preserve"> Thursday, February 26, 2026 8:22 AM</w:t>
      </w:r>
      <w:r>
        <w:rPr>
          <w:rFonts w:ascii="Calibri" w:hAnsi="Calibri" w:cs="Calibri"/>
          <w:sz w:val="22"/>
          <w:szCs w:val="22"/>
          <w14:ligatures w14:val="none"/>
        </w:rPr>
        <w:br/>
      </w:r>
      <w:r>
        <w:rPr>
          <w:rFonts w:ascii="Calibri" w:hAnsi="Calibri" w:cs="Calibri"/>
          <w:b/>
          <w:bCs/>
          <w:sz w:val="22"/>
          <w:szCs w:val="22"/>
          <w14:ligatures w14:val="none"/>
        </w:rPr>
        <w:t>To:</w:t>
      </w:r>
      <w:r>
        <w:rPr>
          <w:rFonts w:ascii="Calibri" w:hAnsi="Calibri" w:cs="Calibri"/>
          <w:sz w:val="22"/>
          <w:szCs w:val="22"/>
          <w14:ligatures w14:val="none"/>
        </w:rPr>
        <w:t xml:space="preserve"> NELSON Heidi * DEQ &lt;</w:t>
      </w:r>
      <w:hyperlink r:id="rId6" w:history="1">
        <w:r>
          <w:rPr>
            <w:rStyle w:val="Hyperlink"/>
            <w:rFonts w:ascii="Calibri" w:hAnsi="Calibri" w:cs="Calibri"/>
            <w:sz w:val="22"/>
            <w:szCs w:val="22"/>
            <w14:ligatures w14:val="none"/>
          </w:rPr>
          <w:t>Heidi.NELSON@deq.oregon.gov</w:t>
        </w:r>
      </w:hyperlink>
      <w:r>
        <w:rPr>
          <w:rFonts w:ascii="Calibri" w:hAnsi="Calibri" w:cs="Calibri"/>
          <w:sz w:val="22"/>
          <w:szCs w:val="22"/>
          <w14:ligatures w14:val="none"/>
        </w:rPr>
        <w:t>&gt;</w:t>
      </w:r>
      <w:r>
        <w:rPr>
          <w:rFonts w:ascii="Calibri" w:hAnsi="Calibri" w:cs="Calibri"/>
          <w:sz w:val="22"/>
          <w:szCs w:val="22"/>
          <w14:ligatures w14:val="none"/>
        </w:rPr>
        <w:br/>
      </w:r>
      <w:r>
        <w:rPr>
          <w:rFonts w:ascii="Calibri" w:hAnsi="Calibri" w:cs="Calibri"/>
          <w:b/>
          <w:bCs/>
          <w:sz w:val="22"/>
          <w:szCs w:val="22"/>
          <w14:ligatures w14:val="none"/>
        </w:rPr>
        <w:t>Cc:</w:t>
      </w:r>
      <w:r>
        <w:rPr>
          <w:rFonts w:ascii="Calibri" w:hAnsi="Calibri" w:cs="Calibri"/>
          <w:sz w:val="22"/>
          <w:szCs w:val="22"/>
          <w14:ligatures w14:val="none"/>
        </w:rPr>
        <w:t xml:space="preserve"> ORR Jim * DEQ &lt;</w:t>
      </w:r>
      <w:hyperlink r:id="rId7" w:history="1">
        <w:r>
          <w:rPr>
            <w:rStyle w:val="Hyperlink"/>
            <w:rFonts w:ascii="Calibri" w:hAnsi="Calibri" w:cs="Calibri"/>
            <w:sz w:val="22"/>
            <w:szCs w:val="22"/>
            <w14:ligatures w14:val="none"/>
          </w:rPr>
          <w:t>Jim.ORR@deq.oregon.gov</w:t>
        </w:r>
      </w:hyperlink>
      <w:r>
        <w:rPr>
          <w:rFonts w:ascii="Calibri" w:hAnsi="Calibri" w:cs="Calibri"/>
          <w:sz w:val="22"/>
          <w:szCs w:val="22"/>
          <w14:ligatures w14:val="none"/>
        </w:rPr>
        <w:t>&gt;</w:t>
      </w:r>
      <w:r>
        <w:rPr>
          <w:rFonts w:ascii="Calibri" w:hAnsi="Calibri" w:cs="Calibri"/>
          <w:sz w:val="22"/>
          <w:szCs w:val="22"/>
          <w14:ligatures w14:val="none"/>
        </w:rPr>
        <w:br/>
      </w:r>
      <w:r>
        <w:rPr>
          <w:rFonts w:ascii="Calibri" w:hAnsi="Calibri" w:cs="Calibri"/>
          <w:b/>
          <w:bCs/>
          <w:sz w:val="22"/>
          <w:szCs w:val="22"/>
          <w14:ligatures w14:val="none"/>
        </w:rPr>
        <w:t>Subject:</w:t>
      </w:r>
      <w:r>
        <w:rPr>
          <w:rFonts w:ascii="Calibri" w:hAnsi="Calibri" w:cs="Calibri"/>
          <w:sz w:val="22"/>
          <w:szCs w:val="22"/>
          <w14:ligatures w14:val="none"/>
        </w:rPr>
        <w:t xml:space="preserve"> FW: Williams Controls reports - Eco WP and Supplemental RI</w:t>
      </w:r>
    </w:p>
    <w:p w14:paraId="7E1FE55B" w14:textId="77777777" w:rsidR="00152B13" w:rsidRDefault="00152B13" w:rsidP="00152B13">
      <w:pPr>
        <w:ind w:left="2160"/>
      </w:pPr>
    </w:p>
    <w:p w14:paraId="28AEC7E6" w14:textId="77777777" w:rsidR="00152B13" w:rsidRDefault="00152B13" w:rsidP="00152B13">
      <w:pPr>
        <w:ind w:left="2160"/>
      </w:pPr>
      <w:r>
        <w:t xml:space="preserve">Sarah Van Glubt’s comments. </w:t>
      </w:r>
    </w:p>
    <w:p w14:paraId="54379580" w14:textId="77777777" w:rsidR="00152B13" w:rsidRDefault="00152B13" w:rsidP="00152B13">
      <w:pPr>
        <w:ind w:left="2160"/>
      </w:pPr>
    </w:p>
    <w:p w14:paraId="736F2C42" w14:textId="77777777" w:rsidR="00152B13" w:rsidRDefault="00152B13" w:rsidP="00152B13">
      <w:pPr>
        <w:ind w:left="2160"/>
      </w:pPr>
      <w:r>
        <w:t>Do you have any additions to her comments?</w:t>
      </w:r>
    </w:p>
    <w:p w14:paraId="0B01DB3D" w14:textId="77777777" w:rsidR="00152B13" w:rsidRDefault="00152B13" w:rsidP="00152B13">
      <w:pPr>
        <w:ind w:left="2160"/>
      </w:pPr>
    </w:p>
    <w:p w14:paraId="61445EFE" w14:textId="77777777" w:rsidR="00152B13" w:rsidRDefault="00152B13" w:rsidP="00152B13">
      <w:pPr>
        <w:ind w:left="2160"/>
        <w:rPr>
          <w:rFonts w:ascii="Segoe Script" w:hAnsi="Segoe Script"/>
          <w:color w:val="1F497D"/>
          <w:sz w:val="22"/>
          <w:szCs w:val="22"/>
          <w14:ligatures w14:val="none"/>
        </w:rPr>
      </w:pPr>
      <w:r>
        <w:rPr>
          <w:rFonts w:ascii="Segoe Script" w:hAnsi="Segoe Script"/>
          <w:color w:val="1F497D"/>
        </w:rPr>
        <w:t>Thank you kindly                                            </w:t>
      </w:r>
      <w:r>
        <w:rPr>
          <w:rFonts w:ascii="Segoe Script" w:hAnsi="Segoe Script"/>
          <w:color w:val="1F497D"/>
        </w:rPr>
        <w:br/>
        <w:t xml:space="preserve">Jim Orr R.G. </w:t>
      </w:r>
      <w:r>
        <w:rPr>
          <w:rFonts w:ascii="Segoe Script" w:hAnsi="Segoe Script"/>
          <w:color w:val="1F497D"/>
        </w:rPr>
        <w:br/>
        <w:t>DEQ Northwest Region</w:t>
      </w:r>
    </w:p>
    <w:p w14:paraId="16FD1A15" w14:textId="77777777" w:rsidR="00152B13" w:rsidRDefault="00152B13" w:rsidP="00152B13">
      <w:pPr>
        <w:ind w:left="2160"/>
        <w:rPr>
          <w:rFonts w:ascii="Segoe Script" w:hAnsi="Segoe Script"/>
          <w:color w:val="1F497D"/>
        </w:rPr>
      </w:pPr>
      <w:r>
        <w:rPr>
          <w:rFonts w:ascii="Segoe Script" w:hAnsi="Segoe Script"/>
          <w:color w:val="1F497D"/>
        </w:rPr>
        <w:t>700 NE Multnomah St.</w:t>
      </w:r>
      <w:proofErr w:type="gramStart"/>
      <w:r>
        <w:rPr>
          <w:rFonts w:ascii="Segoe Script" w:hAnsi="Segoe Script"/>
          <w:color w:val="1F497D"/>
        </w:rPr>
        <w:t>,  Suite</w:t>
      </w:r>
      <w:proofErr w:type="gramEnd"/>
      <w:r>
        <w:rPr>
          <w:rFonts w:ascii="Segoe Script" w:hAnsi="Segoe Script"/>
          <w:color w:val="1F497D"/>
        </w:rPr>
        <w:t xml:space="preserve"> 600</w:t>
      </w:r>
    </w:p>
    <w:p w14:paraId="06DE4903" w14:textId="77777777" w:rsidR="00152B13" w:rsidRDefault="00152B13" w:rsidP="00152B13">
      <w:pPr>
        <w:ind w:left="2160"/>
        <w:rPr>
          <w:rFonts w:ascii="Segoe Script" w:hAnsi="Segoe Script"/>
          <w:color w:val="1F497D"/>
        </w:rPr>
      </w:pPr>
      <w:r>
        <w:rPr>
          <w:rFonts w:ascii="Segoe Script" w:hAnsi="Segoe Script"/>
          <w:color w:val="1F497D"/>
        </w:rPr>
        <w:t>Portland, Oregon 97232</w:t>
      </w:r>
    </w:p>
    <w:p w14:paraId="18A3A01B" w14:textId="77777777" w:rsidR="00152B13" w:rsidRDefault="00152B13" w:rsidP="00152B13">
      <w:pPr>
        <w:ind w:left="2160"/>
        <w:rPr>
          <w:rFonts w:ascii="Segoe Script" w:hAnsi="Segoe Script"/>
          <w:color w:val="1F497D"/>
        </w:rPr>
      </w:pPr>
      <w:r>
        <w:rPr>
          <w:rFonts w:ascii="Segoe Script" w:hAnsi="Segoe Script"/>
          <w:color w:val="1F497D"/>
        </w:rPr>
        <w:t>503-961-2647 Cell Phone                                          </w:t>
      </w:r>
    </w:p>
    <w:p w14:paraId="5841DF22" w14:textId="77777777" w:rsidR="00152B13" w:rsidRDefault="00152B13" w:rsidP="00152B13">
      <w:pPr>
        <w:ind w:left="2160"/>
        <w:rPr>
          <w:rFonts w:ascii="Calibri" w:hAnsi="Calibri" w:cs="Calibri"/>
          <w:b/>
          <w:bCs/>
          <w:sz w:val="28"/>
          <w:szCs w:val="28"/>
        </w:rPr>
      </w:pPr>
      <w:hyperlink r:id="rId8" w:history="1">
        <w:r>
          <w:rPr>
            <w:rStyle w:val="Hyperlink"/>
            <w:rFonts w:ascii="Calibri" w:hAnsi="Calibri" w:cs="Calibri"/>
            <w:b/>
            <w:bCs/>
            <w:color w:val="0000FF"/>
            <w:sz w:val="28"/>
            <w:szCs w:val="28"/>
          </w:rPr>
          <w:t>jim.orr@deq.oregon.gov</w:t>
        </w:r>
      </w:hyperlink>
      <w:r>
        <w:rPr>
          <w:rFonts w:ascii="Calibri" w:hAnsi="Calibri" w:cs="Calibri"/>
          <w:b/>
          <w:bCs/>
          <w:sz w:val="28"/>
          <w:szCs w:val="28"/>
        </w:rPr>
        <w:t>                                     </w:t>
      </w:r>
    </w:p>
    <w:p w14:paraId="721A0573" w14:textId="77777777" w:rsidR="00152B13" w:rsidRDefault="00152B13" w:rsidP="00152B13">
      <w:pPr>
        <w:ind w:left="2160"/>
        <w:rPr>
          <w:rFonts w:ascii="Calibri" w:hAnsi="Calibri" w:cs="Calibri"/>
          <w:b/>
          <w:bCs/>
          <w:sz w:val="28"/>
          <w:szCs w:val="28"/>
        </w:rPr>
      </w:pPr>
    </w:p>
    <w:p w14:paraId="6B4FEE68" w14:textId="77777777" w:rsidR="00152B13" w:rsidRDefault="00152B13" w:rsidP="00152B13">
      <w:pPr>
        <w:ind w:left="2160"/>
        <w:rPr>
          <w:rFonts w:ascii="Baguet Script" w:hAnsi="Baguet Script"/>
          <w:sz w:val="20"/>
          <w:szCs w:val="20"/>
        </w:rPr>
      </w:pPr>
      <w:r>
        <w:rPr>
          <w:rFonts w:ascii="Baguet Script" w:hAnsi="Baguet Script"/>
          <w:sz w:val="20"/>
          <w:szCs w:val="20"/>
        </w:rPr>
        <w:t>Someday, I hope to be the person that my dogs believe I am</w:t>
      </w:r>
    </w:p>
    <w:p w14:paraId="7479FFB1" w14:textId="77777777" w:rsidR="00152B13" w:rsidRDefault="00152B13" w:rsidP="00152B13">
      <w:pPr>
        <w:ind w:left="2160"/>
        <w:rPr>
          <w:rFonts w:ascii="Calibri" w:hAnsi="Calibri" w:cs="Calibri"/>
          <w:b/>
          <w:bCs/>
          <w:sz w:val="28"/>
          <w:szCs w:val="28"/>
        </w:rPr>
      </w:pPr>
    </w:p>
    <w:p w14:paraId="07532982" w14:textId="590E3ECE" w:rsidR="00152B13" w:rsidRDefault="00152B13" w:rsidP="00152B13">
      <w:pPr>
        <w:ind w:left="2160"/>
        <w:rPr>
          <w:b/>
          <w:bCs/>
          <w:i/>
          <w:iCs/>
          <w:color w:val="0000FF"/>
          <w:sz w:val="16"/>
          <w:szCs w:val="16"/>
          <w:shd w:val="clear" w:color="auto" w:fill="FFFFFF"/>
        </w:rPr>
      </w:pPr>
      <w:r>
        <w:rPr>
          <w:b/>
          <w:bCs/>
          <w:i/>
          <w:iCs/>
          <w:noProof/>
          <w:color w:val="0000FF"/>
          <w:sz w:val="16"/>
          <w:szCs w:val="16"/>
          <w:shd w:val="clear" w:color="auto" w:fill="FFFFFF"/>
          <w14:ligatures w14:val="none"/>
        </w:rPr>
        <w:drawing>
          <wp:inline distT="0" distB="0" distL="0" distR="0" wp14:anchorId="19E4CA67" wp14:editId="1445E927">
            <wp:extent cx="247015" cy="303530"/>
            <wp:effectExtent l="0" t="0" r="635" b="1270"/>
            <wp:docPr id="1950138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5546962"/>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47015" cy="303530"/>
                    </a:xfrm>
                    <a:prstGeom prst="rect">
                      <a:avLst/>
                    </a:prstGeom>
                    <a:noFill/>
                    <a:ln>
                      <a:noFill/>
                    </a:ln>
                  </pic:spPr>
                </pic:pic>
              </a:graphicData>
            </a:graphic>
          </wp:inline>
        </w:drawing>
      </w:r>
    </w:p>
    <w:p w14:paraId="1C6C0B9D" w14:textId="77777777" w:rsidR="00152B13" w:rsidRDefault="00152B13" w:rsidP="00152B13">
      <w:pPr>
        <w:ind w:left="2160"/>
        <w:rPr>
          <w:b/>
          <w:bCs/>
          <w:i/>
          <w:iCs/>
          <w:color w:val="0000FF"/>
          <w:sz w:val="16"/>
          <w:szCs w:val="16"/>
          <w:shd w:val="clear" w:color="auto" w:fill="FFFFFF"/>
        </w:rPr>
      </w:pPr>
    </w:p>
    <w:p w14:paraId="78064007" w14:textId="77777777" w:rsidR="00152B13" w:rsidRDefault="00152B13" w:rsidP="00152B13">
      <w:pPr>
        <w:ind w:left="2160"/>
        <w:rPr>
          <w:b/>
          <w:bCs/>
          <w:i/>
          <w:iCs/>
          <w:color w:val="0000FF"/>
          <w:sz w:val="16"/>
          <w:szCs w:val="16"/>
          <w:shd w:val="clear" w:color="auto" w:fill="FFFFFF"/>
        </w:rPr>
      </w:pPr>
      <w:r>
        <w:rPr>
          <w:b/>
          <w:bCs/>
          <w:i/>
          <w:iCs/>
          <w:color w:val="0000FF"/>
          <w:sz w:val="16"/>
          <w:szCs w:val="16"/>
          <w:shd w:val="clear" w:color="auto" w:fill="FFFFFF"/>
        </w:rPr>
        <w:t>Helpful Links</w:t>
      </w:r>
    </w:p>
    <w:p w14:paraId="22D33D03" w14:textId="3FF94FD9" w:rsidR="00152B13" w:rsidRDefault="00152B13" w:rsidP="00152B13">
      <w:pPr>
        <w:ind w:left="2160"/>
        <w:rPr>
          <w:rFonts w:ascii="Calibri" w:hAnsi="Calibri" w:cs="Calibri"/>
          <w:b/>
          <w:bCs/>
          <w:sz w:val="28"/>
          <w:szCs w:val="28"/>
        </w:rPr>
      </w:pPr>
      <w:r>
        <w:rPr>
          <w:noProof/>
          <w14:ligatures w14:val="none"/>
        </w:rPr>
        <w:drawing>
          <wp:inline distT="0" distB="0" distL="0" distR="0" wp14:anchorId="79359A52" wp14:editId="02F30451">
            <wp:extent cx="4762500" cy="277495"/>
            <wp:effectExtent l="0" t="0" r="0" b="8255"/>
            <wp:docPr id="9678497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4762500" cy="277495"/>
                    </a:xfrm>
                    <a:prstGeom prst="rect">
                      <a:avLst/>
                    </a:prstGeom>
                    <a:noFill/>
                    <a:ln>
                      <a:noFill/>
                    </a:ln>
                  </pic:spPr>
                </pic:pic>
              </a:graphicData>
            </a:graphic>
          </wp:inline>
        </w:drawing>
      </w:r>
    </w:p>
    <w:p w14:paraId="1CD8684B" w14:textId="7C2011F4" w:rsidR="00152B13" w:rsidRDefault="00152B13" w:rsidP="00152B13">
      <w:pPr>
        <w:ind w:left="2160"/>
      </w:pPr>
      <w:r>
        <w:rPr>
          <w:noProof/>
          <w:color w:val="0000FF"/>
          <w14:ligatures w14:val="none"/>
        </w:rPr>
        <w:drawing>
          <wp:inline distT="0" distB="0" distL="0" distR="0" wp14:anchorId="186E31E1" wp14:editId="1BED5D46">
            <wp:extent cx="3865880" cy="1066165"/>
            <wp:effectExtent l="0" t="0" r="1270" b="635"/>
            <wp:docPr id="216571538" name="Picture 3" descr="Your DEQ online signature_V4">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our DEQ online signature_V4"/>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3865880" cy="1066165"/>
                    </a:xfrm>
                    <a:prstGeom prst="rect">
                      <a:avLst/>
                    </a:prstGeom>
                    <a:noFill/>
                    <a:ln>
                      <a:noFill/>
                    </a:ln>
                  </pic:spPr>
                </pic:pic>
              </a:graphicData>
            </a:graphic>
          </wp:inline>
        </w:drawing>
      </w:r>
    </w:p>
    <w:p w14:paraId="3525D4AC" w14:textId="77777777" w:rsidR="00152B13" w:rsidRDefault="00152B13" w:rsidP="00152B13">
      <w:pPr>
        <w:ind w:left="2160"/>
      </w:pPr>
    </w:p>
    <w:p w14:paraId="075C92A5" w14:textId="77777777" w:rsidR="00152B13" w:rsidRDefault="00152B13" w:rsidP="00152B13">
      <w:pPr>
        <w:ind w:left="2160"/>
      </w:pPr>
    </w:p>
    <w:p w14:paraId="05727459" w14:textId="77777777" w:rsidR="00152B13" w:rsidRDefault="00152B13" w:rsidP="00152B13">
      <w:pPr>
        <w:ind w:left="2160"/>
      </w:pPr>
      <w:hyperlink r:id="rId16" w:history="1">
        <w:r>
          <w:rPr>
            <w:rStyle w:val="Hyperlink"/>
          </w:rPr>
          <w:t xml:space="preserve">Department of Environmental </w:t>
        </w:r>
        <w:proofErr w:type="gramStart"/>
        <w:r>
          <w:rPr>
            <w:rStyle w:val="Hyperlink"/>
          </w:rPr>
          <w:t>Quality :</w:t>
        </w:r>
        <w:proofErr w:type="gramEnd"/>
        <w:r>
          <w:rPr>
            <w:rStyle w:val="Hyperlink"/>
          </w:rPr>
          <w:t xml:space="preserve"> Vapor Intrusion Guidance : Environmental Cleanup : State of Oregon</w:t>
        </w:r>
      </w:hyperlink>
    </w:p>
    <w:p w14:paraId="12E63AD9" w14:textId="77777777" w:rsidR="00152B13" w:rsidRDefault="00152B13" w:rsidP="00152B13">
      <w:pPr>
        <w:ind w:left="2160"/>
      </w:pPr>
    </w:p>
    <w:p w14:paraId="256C595F" w14:textId="499E432F" w:rsidR="00152B13" w:rsidRDefault="00152B13" w:rsidP="00152B13">
      <w:pPr>
        <w:ind w:left="2160"/>
      </w:pPr>
      <w:r>
        <w:rPr>
          <w:noProof/>
          <w14:ligatures w14:val="none"/>
        </w:rPr>
        <w:drawing>
          <wp:inline distT="0" distB="0" distL="0" distR="0" wp14:anchorId="567C4267" wp14:editId="2929F4BA">
            <wp:extent cx="2370455" cy="446405"/>
            <wp:effectExtent l="0" t="0" r="10795" b="10795"/>
            <wp:docPr id="6875403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2370455" cy="446405"/>
                    </a:xfrm>
                    <a:prstGeom prst="rect">
                      <a:avLst/>
                    </a:prstGeom>
                    <a:noFill/>
                    <a:ln>
                      <a:noFill/>
                    </a:ln>
                  </pic:spPr>
                </pic:pic>
              </a:graphicData>
            </a:graphic>
          </wp:inline>
        </w:drawing>
      </w:r>
    </w:p>
    <w:p w14:paraId="48AD5060" w14:textId="77777777" w:rsidR="00152B13" w:rsidRDefault="00152B13" w:rsidP="00152B13">
      <w:pPr>
        <w:ind w:left="2160"/>
      </w:pPr>
    </w:p>
    <w:p w14:paraId="3BF15BED" w14:textId="77777777" w:rsidR="00152B13" w:rsidRDefault="00152B13" w:rsidP="00152B13">
      <w:pPr>
        <w:ind w:left="2880"/>
        <w:outlineLvl w:val="0"/>
        <w:rPr>
          <w:rFonts w:ascii="Calibri" w:hAnsi="Calibri" w:cs="Calibri"/>
          <w:sz w:val="22"/>
          <w:szCs w:val="22"/>
          <w14:ligatures w14:val="none"/>
        </w:rPr>
      </w:pPr>
      <w:r>
        <w:rPr>
          <w:rFonts w:ascii="Calibri" w:hAnsi="Calibri" w:cs="Calibri"/>
          <w:b/>
          <w:bCs/>
          <w:sz w:val="22"/>
          <w:szCs w:val="22"/>
          <w14:ligatures w14:val="none"/>
        </w:rPr>
        <w:t>From:</w:t>
      </w:r>
      <w:r>
        <w:rPr>
          <w:rFonts w:ascii="Calibri" w:hAnsi="Calibri" w:cs="Calibri"/>
          <w:sz w:val="22"/>
          <w:szCs w:val="22"/>
          <w14:ligatures w14:val="none"/>
        </w:rPr>
        <w:t xml:space="preserve"> VANGLUBT Sarah * DEQ &lt;</w:t>
      </w:r>
      <w:hyperlink r:id="rId19" w:history="1">
        <w:r>
          <w:rPr>
            <w:rStyle w:val="Hyperlink"/>
            <w:rFonts w:ascii="Calibri" w:hAnsi="Calibri" w:cs="Calibri"/>
            <w:sz w:val="22"/>
            <w:szCs w:val="22"/>
            <w14:ligatures w14:val="none"/>
          </w:rPr>
          <w:t>Sarah.VANGLUBT@deq.oregon.gov</w:t>
        </w:r>
      </w:hyperlink>
      <w:r>
        <w:rPr>
          <w:rFonts w:ascii="Calibri" w:hAnsi="Calibri" w:cs="Calibri"/>
          <w:sz w:val="22"/>
          <w:szCs w:val="22"/>
          <w14:ligatures w14:val="none"/>
        </w:rPr>
        <w:t xml:space="preserve">&gt; </w:t>
      </w:r>
      <w:r>
        <w:rPr>
          <w:rFonts w:ascii="Calibri" w:hAnsi="Calibri" w:cs="Calibri"/>
          <w:sz w:val="22"/>
          <w:szCs w:val="22"/>
          <w14:ligatures w14:val="none"/>
        </w:rPr>
        <w:br/>
      </w:r>
      <w:r>
        <w:rPr>
          <w:rFonts w:ascii="Calibri" w:hAnsi="Calibri" w:cs="Calibri"/>
          <w:b/>
          <w:bCs/>
          <w:sz w:val="22"/>
          <w:szCs w:val="22"/>
          <w14:ligatures w14:val="none"/>
        </w:rPr>
        <w:t>Sent:</w:t>
      </w:r>
      <w:r>
        <w:rPr>
          <w:rFonts w:ascii="Calibri" w:hAnsi="Calibri" w:cs="Calibri"/>
          <w:sz w:val="22"/>
          <w:szCs w:val="22"/>
          <w14:ligatures w14:val="none"/>
        </w:rPr>
        <w:t xml:space="preserve"> Wednesday, February 25, 2026 1:01 PM</w:t>
      </w:r>
      <w:r>
        <w:rPr>
          <w:rFonts w:ascii="Calibri" w:hAnsi="Calibri" w:cs="Calibri"/>
          <w:sz w:val="22"/>
          <w:szCs w:val="22"/>
          <w14:ligatures w14:val="none"/>
        </w:rPr>
        <w:br/>
      </w:r>
      <w:r>
        <w:rPr>
          <w:rFonts w:ascii="Calibri" w:hAnsi="Calibri" w:cs="Calibri"/>
          <w:b/>
          <w:bCs/>
          <w:sz w:val="22"/>
          <w:szCs w:val="22"/>
          <w14:ligatures w14:val="none"/>
        </w:rPr>
        <w:t>To:</w:t>
      </w:r>
      <w:r>
        <w:rPr>
          <w:rFonts w:ascii="Calibri" w:hAnsi="Calibri" w:cs="Calibri"/>
          <w:sz w:val="22"/>
          <w:szCs w:val="22"/>
          <w14:ligatures w14:val="none"/>
        </w:rPr>
        <w:t xml:space="preserve"> ORR Jim * DEQ &lt;</w:t>
      </w:r>
      <w:hyperlink r:id="rId20" w:history="1">
        <w:r>
          <w:rPr>
            <w:rStyle w:val="Hyperlink"/>
            <w:rFonts w:ascii="Calibri" w:hAnsi="Calibri" w:cs="Calibri"/>
            <w:sz w:val="22"/>
            <w:szCs w:val="22"/>
            <w14:ligatures w14:val="none"/>
          </w:rPr>
          <w:t>Jim.ORR@deq.oregon.gov</w:t>
        </w:r>
      </w:hyperlink>
      <w:r>
        <w:rPr>
          <w:rFonts w:ascii="Calibri" w:hAnsi="Calibri" w:cs="Calibri"/>
          <w:sz w:val="22"/>
          <w:szCs w:val="22"/>
          <w14:ligatures w14:val="none"/>
        </w:rPr>
        <w:t>&gt;</w:t>
      </w:r>
      <w:r>
        <w:rPr>
          <w:rFonts w:ascii="Calibri" w:hAnsi="Calibri" w:cs="Calibri"/>
          <w:sz w:val="22"/>
          <w:szCs w:val="22"/>
          <w14:ligatures w14:val="none"/>
        </w:rPr>
        <w:br/>
      </w:r>
      <w:r>
        <w:rPr>
          <w:rFonts w:ascii="Calibri" w:hAnsi="Calibri" w:cs="Calibri"/>
          <w:b/>
          <w:bCs/>
          <w:sz w:val="22"/>
          <w:szCs w:val="22"/>
          <w14:ligatures w14:val="none"/>
        </w:rPr>
        <w:t>Cc:</w:t>
      </w:r>
      <w:r>
        <w:rPr>
          <w:rFonts w:ascii="Calibri" w:hAnsi="Calibri" w:cs="Calibri"/>
          <w:sz w:val="22"/>
          <w:szCs w:val="22"/>
          <w14:ligatures w14:val="none"/>
        </w:rPr>
        <w:t xml:space="preserve"> THOMAS Wesley * DEQ &lt;</w:t>
      </w:r>
      <w:hyperlink r:id="rId21" w:history="1">
        <w:r>
          <w:rPr>
            <w:rStyle w:val="Hyperlink"/>
            <w:rFonts w:ascii="Calibri" w:hAnsi="Calibri" w:cs="Calibri"/>
            <w:sz w:val="22"/>
            <w:szCs w:val="22"/>
            <w14:ligatures w14:val="none"/>
          </w:rPr>
          <w:t>Wesley.THOMAS@deq.oregon.gov</w:t>
        </w:r>
      </w:hyperlink>
      <w:r>
        <w:rPr>
          <w:rFonts w:ascii="Calibri" w:hAnsi="Calibri" w:cs="Calibri"/>
          <w:sz w:val="22"/>
          <w:szCs w:val="22"/>
          <w14:ligatures w14:val="none"/>
        </w:rPr>
        <w:t>&gt;; PETERSON Jenn L * DEQ &lt;</w:t>
      </w:r>
      <w:hyperlink r:id="rId22" w:history="1">
        <w:r>
          <w:rPr>
            <w:rStyle w:val="Hyperlink"/>
            <w:rFonts w:ascii="Calibri" w:hAnsi="Calibri" w:cs="Calibri"/>
            <w:sz w:val="22"/>
            <w:szCs w:val="22"/>
            <w14:ligatures w14:val="none"/>
          </w:rPr>
          <w:t>Jenn.L.PETERSON@deq.oregon.gov</w:t>
        </w:r>
      </w:hyperlink>
      <w:r>
        <w:rPr>
          <w:rFonts w:ascii="Calibri" w:hAnsi="Calibri" w:cs="Calibri"/>
          <w:sz w:val="22"/>
          <w:szCs w:val="22"/>
          <w14:ligatures w14:val="none"/>
        </w:rPr>
        <w:t>&gt;</w:t>
      </w:r>
      <w:r>
        <w:rPr>
          <w:rFonts w:ascii="Calibri" w:hAnsi="Calibri" w:cs="Calibri"/>
          <w:sz w:val="22"/>
          <w:szCs w:val="22"/>
          <w14:ligatures w14:val="none"/>
        </w:rPr>
        <w:br/>
      </w:r>
      <w:r>
        <w:rPr>
          <w:rFonts w:ascii="Calibri" w:hAnsi="Calibri" w:cs="Calibri"/>
          <w:b/>
          <w:bCs/>
          <w:sz w:val="22"/>
          <w:szCs w:val="22"/>
          <w14:ligatures w14:val="none"/>
        </w:rPr>
        <w:t>Subject:</w:t>
      </w:r>
      <w:r>
        <w:rPr>
          <w:rFonts w:ascii="Calibri" w:hAnsi="Calibri" w:cs="Calibri"/>
          <w:sz w:val="22"/>
          <w:szCs w:val="22"/>
          <w14:ligatures w14:val="none"/>
        </w:rPr>
        <w:t xml:space="preserve"> Williams Controls reports - Eco WP and Supplemental RI</w:t>
      </w:r>
    </w:p>
    <w:p w14:paraId="35605FE6" w14:textId="77777777" w:rsidR="00152B13" w:rsidRDefault="00152B13" w:rsidP="00152B13">
      <w:pPr>
        <w:ind w:left="2880"/>
      </w:pPr>
    </w:p>
    <w:p w14:paraId="4D4BDB5D" w14:textId="77777777" w:rsidR="00152B13" w:rsidRDefault="00152B13" w:rsidP="00152B13">
      <w:pPr>
        <w:ind w:left="2880"/>
      </w:pPr>
      <w:r>
        <w:t>Hi Jim,</w:t>
      </w:r>
    </w:p>
    <w:p w14:paraId="722B4C55" w14:textId="77777777" w:rsidR="00152B13" w:rsidRDefault="00152B13" w:rsidP="00152B13">
      <w:pPr>
        <w:ind w:left="2880"/>
      </w:pPr>
      <w:r>
        <w:t> </w:t>
      </w:r>
    </w:p>
    <w:p w14:paraId="021C5903" w14:textId="77777777" w:rsidR="00152B13" w:rsidRDefault="00152B13" w:rsidP="00152B13">
      <w:pPr>
        <w:ind w:left="2880"/>
      </w:pPr>
      <w:proofErr w:type="gramStart"/>
      <w:r>
        <w:t>First of all</w:t>
      </w:r>
      <w:proofErr w:type="gramEnd"/>
      <w:r>
        <w:t>, welcome back! Glad to have you back on board and hope things are going well.</w:t>
      </w:r>
    </w:p>
    <w:p w14:paraId="148F6C95" w14:textId="77777777" w:rsidR="00152B13" w:rsidRDefault="00152B13" w:rsidP="00152B13">
      <w:pPr>
        <w:ind w:left="2880"/>
      </w:pPr>
      <w:r>
        <w:lastRenderedPageBreak/>
        <w:t> </w:t>
      </w:r>
    </w:p>
    <w:p w14:paraId="5D455537" w14:textId="77777777" w:rsidR="00152B13" w:rsidRDefault="00152B13" w:rsidP="00152B13">
      <w:pPr>
        <w:ind w:left="2880"/>
      </w:pPr>
      <w:r>
        <w:t xml:space="preserve">I </w:t>
      </w:r>
      <w:proofErr w:type="gramStart"/>
      <w:r>
        <w:t>took a look</w:t>
      </w:r>
      <w:proofErr w:type="gramEnd"/>
      <w:r>
        <w:t xml:space="preserve"> at the Williams Controls Eco Screening Workplan and Supplemental RI report. I don’t have any major comments on these and generally the scope of the Eco Screening Workplan seems fine, but a few thoughts for your consideration are below:</w:t>
      </w:r>
    </w:p>
    <w:p w14:paraId="47E2FB97" w14:textId="77777777" w:rsidR="00152B13" w:rsidRDefault="00152B13" w:rsidP="00152B13">
      <w:pPr>
        <w:ind w:left="2880"/>
      </w:pPr>
      <w:r>
        <w:t> </w:t>
      </w:r>
    </w:p>
    <w:p w14:paraId="69DABD2C" w14:textId="77777777" w:rsidR="00152B13" w:rsidRDefault="00152B13" w:rsidP="00152B13">
      <w:pPr>
        <w:ind w:left="2880"/>
      </w:pPr>
      <w:r>
        <w:t>Eco Screening Workplan:</w:t>
      </w:r>
    </w:p>
    <w:p w14:paraId="079841B7" w14:textId="77777777" w:rsidR="00152B13" w:rsidRDefault="00152B13" w:rsidP="00152B13">
      <w:pPr>
        <w:numPr>
          <w:ilvl w:val="0"/>
          <w:numId w:val="1"/>
        </w:numPr>
        <w:ind w:left="3600"/>
      </w:pPr>
      <w:r>
        <w:t xml:space="preserve">Do we want to consider whether additional analytes should be added? According to the Supplemental RI report, PCBs and RCRA metals were not detected above RBCs; however, GRO was detected in MW-12 and MW-13 at concentrations exceeding the RBC for commercial vapor intrusion. </w:t>
      </w:r>
    </w:p>
    <w:p w14:paraId="771DBF33" w14:textId="77777777" w:rsidR="00152B13" w:rsidRDefault="00152B13" w:rsidP="00152B13">
      <w:pPr>
        <w:numPr>
          <w:ilvl w:val="0"/>
          <w:numId w:val="1"/>
        </w:numPr>
        <w:ind w:left="3600"/>
      </w:pPr>
      <w:r>
        <w:t>Due to the screened intervals of the wells, groundwater samples may not directly correlate to potential impacts to Ball Creek. For example, the wells planned for sampling adjacent to the creek (MW-7, MW-8, MW-9, and MW-17) have screened intervals ranging from 15-20' bgs to 22.5-27.5' bgs.</w:t>
      </w:r>
    </w:p>
    <w:p w14:paraId="4B3D10CC" w14:textId="77777777" w:rsidR="00152B13" w:rsidRDefault="00152B13" w:rsidP="00152B13">
      <w:pPr>
        <w:ind w:left="2880"/>
      </w:pPr>
      <w:r>
        <w:t> </w:t>
      </w:r>
    </w:p>
    <w:p w14:paraId="00BA32F6" w14:textId="77777777" w:rsidR="00152B13" w:rsidRDefault="00152B13" w:rsidP="00152B13">
      <w:pPr>
        <w:ind w:left="2880"/>
      </w:pPr>
      <w:r>
        <w:t>Supplemental RI:</w:t>
      </w:r>
    </w:p>
    <w:p w14:paraId="0241BA79" w14:textId="77777777" w:rsidR="00152B13" w:rsidRDefault="00152B13" w:rsidP="00152B13">
      <w:pPr>
        <w:numPr>
          <w:ilvl w:val="0"/>
          <w:numId w:val="2"/>
        </w:numPr>
        <w:ind w:left="3600"/>
      </w:pPr>
      <w:r>
        <w:t>Section 6.1 notes that exposure to groundwater during excavations is unlikely given groundwater at the site is approximately 8 feet bgs. Generally, this seems likely to be the case, though in some cases depending on the project an 8-foot excavation is not beyond the realm of possibility.</w:t>
      </w:r>
    </w:p>
    <w:p w14:paraId="2E9B62CA" w14:textId="77777777" w:rsidR="00152B13" w:rsidRDefault="00152B13" w:rsidP="00152B13">
      <w:pPr>
        <w:numPr>
          <w:ilvl w:val="0"/>
          <w:numId w:val="2"/>
        </w:numPr>
        <w:ind w:left="3600"/>
      </w:pPr>
      <w:r>
        <w:t>Appendix H shows that MW-13 and MW-10 have or had higher mass fractions of TCE compared to other locations. What might account for this?</w:t>
      </w:r>
    </w:p>
    <w:p w14:paraId="1A29B284" w14:textId="77777777" w:rsidR="00152B13" w:rsidRDefault="00152B13" w:rsidP="00152B13">
      <w:pPr>
        <w:ind w:left="2880"/>
      </w:pPr>
      <w:r>
        <w:t> </w:t>
      </w:r>
    </w:p>
    <w:p w14:paraId="4CB235F3" w14:textId="77777777" w:rsidR="00152B13" w:rsidRDefault="00152B13" w:rsidP="00152B13">
      <w:pPr>
        <w:ind w:left="2880"/>
      </w:pPr>
      <w:r>
        <w:t xml:space="preserve">Happy to chat more about any of </w:t>
      </w:r>
      <w:proofErr w:type="gramStart"/>
      <w:r>
        <w:t>this</w:t>
      </w:r>
      <w:proofErr w:type="gramEnd"/>
      <w:r>
        <w:t>.</w:t>
      </w:r>
    </w:p>
    <w:p w14:paraId="6BCC921D" w14:textId="77777777" w:rsidR="00152B13" w:rsidRDefault="00152B13" w:rsidP="00152B13">
      <w:pPr>
        <w:ind w:left="2880"/>
      </w:pPr>
      <w:r>
        <w:t> </w:t>
      </w:r>
    </w:p>
    <w:p w14:paraId="220E5B2C" w14:textId="77777777" w:rsidR="00152B13" w:rsidRDefault="00152B13" w:rsidP="00152B13">
      <w:pPr>
        <w:ind w:left="2880"/>
      </w:pPr>
      <w:r>
        <w:t>Thanks,</w:t>
      </w:r>
    </w:p>
    <w:p w14:paraId="1BCC6B8C" w14:textId="77777777" w:rsidR="00152B13" w:rsidRDefault="00152B13" w:rsidP="00152B13">
      <w:pPr>
        <w:ind w:left="2880"/>
      </w:pPr>
      <w:r>
        <w:t>Sarah</w:t>
      </w:r>
    </w:p>
    <w:p w14:paraId="0C46950E" w14:textId="77777777" w:rsidR="00152B13" w:rsidRDefault="00152B13" w:rsidP="00152B13">
      <w:pPr>
        <w:ind w:left="2880"/>
      </w:pPr>
    </w:p>
    <w:tbl>
      <w:tblPr>
        <w:tblW w:w="0" w:type="auto"/>
        <w:tblInd w:w="2880" w:type="dxa"/>
        <w:tblCellMar>
          <w:left w:w="0" w:type="dxa"/>
          <w:right w:w="0" w:type="dxa"/>
        </w:tblCellMar>
        <w:tblLook w:val="04A0" w:firstRow="1" w:lastRow="0" w:firstColumn="1" w:lastColumn="0" w:noHBand="0" w:noVBand="1"/>
      </w:tblPr>
      <w:tblGrid>
        <w:gridCol w:w="1110"/>
        <w:gridCol w:w="4334"/>
      </w:tblGrid>
      <w:tr w:rsidR="00152B13" w14:paraId="07F0ACB1" w14:textId="77777777" w:rsidTr="00152B13">
        <w:tc>
          <w:tcPr>
            <w:tcW w:w="1110" w:type="dxa"/>
            <w:tcMar>
              <w:top w:w="80" w:type="dxa"/>
              <w:left w:w="80" w:type="dxa"/>
              <w:bottom w:w="80" w:type="dxa"/>
              <w:right w:w="80" w:type="dxa"/>
            </w:tcMar>
            <w:hideMark/>
          </w:tcPr>
          <w:p w14:paraId="0AD10099" w14:textId="23E751C1" w:rsidR="00152B13" w:rsidRDefault="00152B13">
            <w:pPr>
              <w:rPr>
                <w:rFonts w:ascii="Calibri" w:hAnsi="Calibri" w:cs="Calibri"/>
                <w:sz w:val="22"/>
                <w:szCs w:val="22"/>
              </w:rPr>
            </w:pPr>
            <w:r>
              <w:rPr>
                <w:noProof/>
                <w:sz w:val="22"/>
                <w:szCs w:val="22"/>
                <w14:ligatures w14:val="none"/>
              </w:rPr>
              <w:drawing>
                <wp:inline distT="0" distB="0" distL="0" distR="0" wp14:anchorId="780C5610" wp14:editId="25DCC7C2">
                  <wp:extent cx="572135" cy="914400"/>
                  <wp:effectExtent l="0" t="0" r="18415" b="0"/>
                  <wp:docPr id="1137728489" name="Picture 1"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728489" name="Picture 1" descr="Logo&#10;&#10;AI-generated content may be incorrect."/>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572135" cy="914400"/>
                          </a:xfrm>
                          <a:prstGeom prst="rect">
                            <a:avLst/>
                          </a:prstGeom>
                          <a:noFill/>
                          <a:ln>
                            <a:noFill/>
                          </a:ln>
                        </pic:spPr>
                      </pic:pic>
                    </a:graphicData>
                  </a:graphic>
                </wp:inline>
              </w:drawing>
            </w:r>
          </w:p>
          <w:p w14:paraId="0F109E24" w14:textId="77777777" w:rsidR="00152B13" w:rsidRDefault="00152B13">
            <w:pPr>
              <w:rPr>
                <w:rFonts w:ascii="Calibri" w:hAnsi="Calibri" w:cs="Calibri"/>
                <w:sz w:val="22"/>
                <w:szCs w:val="22"/>
              </w:rPr>
            </w:pPr>
            <w:r>
              <w:rPr>
                <w:rFonts w:ascii="Calibri" w:hAnsi="Calibri" w:cs="Calibri"/>
                <w:sz w:val="22"/>
                <w:szCs w:val="22"/>
              </w:rPr>
              <w:t> </w:t>
            </w:r>
          </w:p>
        </w:tc>
        <w:tc>
          <w:tcPr>
            <w:tcW w:w="4334" w:type="dxa"/>
            <w:tcMar>
              <w:top w:w="80" w:type="dxa"/>
              <w:left w:w="80" w:type="dxa"/>
              <w:bottom w:w="80" w:type="dxa"/>
              <w:right w:w="80" w:type="dxa"/>
            </w:tcMar>
            <w:hideMark/>
          </w:tcPr>
          <w:p w14:paraId="0B8F732B" w14:textId="77777777" w:rsidR="00152B13" w:rsidRDefault="00152B13">
            <w:pPr>
              <w:rPr>
                <w:rFonts w:ascii="Calibri Light" w:hAnsi="Calibri Light" w:cs="Calibri Light"/>
                <w:color w:val="1F3864"/>
                <w:sz w:val="22"/>
                <w:szCs w:val="22"/>
                <w:shd w:val="clear" w:color="auto" w:fill="FFFFFF"/>
              </w:rPr>
            </w:pPr>
            <w:r>
              <w:rPr>
                <w:rFonts w:ascii="Calibri" w:hAnsi="Calibri" w:cs="Calibri"/>
                <w:color w:val="1F3864"/>
                <w:sz w:val="22"/>
                <w:szCs w:val="22"/>
                <w:shd w:val="clear" w:color="auto" w:fill="FFFFFF"/>
              </w:rPr>
              <w:t>Sarah Van Glubt</w:t>
            </w:r>
            <w:r>
              <w:rPr>
                <w:rFonts w:ascii="Calibri Light" w:hAnsi="Calibri Light" w:cs="Calibri Light"/>
                <w:color w:val="1F3864"/>
                <w:sz w:val="22"/>
                <w:szCs w:val="22"/>
                <w:shd w:val="clear" w:color="auto" w:fill="FFFFFF"/>
              </w:rPr>
              <w:t>, PhD (she/her)</w:t>
            </w:r>
          </w:p>
          <w:p w14:paraId="1941F2EB" w14:textId="77777777" w:rsidR="00152B13" w:rsidRDefault="00152B13">
            <w:pPr>
              <w:rPr>
                <w:rFonts w:ascii="Calibri Light" w:hAnsi="Calibri Light" w:cs="Calibri Light"/>
                <w:color w:val="1F3864"/>
                <w:sz w:val="20"/>
                <w:szCs w:val="20"/>
                <w:shd w:val="clear" w:color="auto" w:fill="FFFFFF"/>
              </w:rPr>
            </w:pPr>
            <w:r>
              <w:rPr>
                <w:rFonts w:ascii="Calibri Light" w:hAnsi="Calibri Light" w:cs="Calibri Light"/>
                <w:color w:val="1F3864"/>
                <w:sz w:val="20"/>
                <w:szCs w:val="20"/>
                <w:shd w:val="clear" w:color="auto" w:fill="FFFFFF"/>
              </w:rPr>
              <w:t>Project Manager and Data Analyst</w:t>
            </w:r>
          </w:p>
          <w:p w14:paraId="1210E0FD" w14:textId="77777777" w:rsidR="00152B13" w:rsidRDefault="00152B13">
            <w:pPr>
              <w:rPr>
                <w:rFonts w:ascii="Calibri Light" w:hAnsi="Calibri Light" w:cs="Calibri Light"/>
                <w:color w:val="1F3864"/>
                <w:sz w:val="20"/>
                <w:szCs w:val="20"/>
                <w:shd w:val="clear" w:color="auto" w:fill="FFFFFF"/>
              </w:rPr>
            </w:pPr>
            <w:r>
              <w:rPr>
                <w:rFonts w:ascii="Calibri Light" w:hAnsi="Calibri Light" w:cs="Calibri Light"/>
                <w:color w:val="1F3864"/>
                <w:sz w:val="20"/>
                <w:szCs w:val="20"/>
                <w:shd w:val="clear" w:color="auto" w:fill="FFFFFF"/>
              </w:rPr>
              <w:t>Oregon Department of Environmental Quality</w:t>
            </w:r>
          </w:p>
          <w:p w14:paraId="2C94058E" w14:textId="77777777" w:rsidR="00152B13" w:rsidRDefault="00152B13">
            <w:pPr>
              <w:rPr>
                <w:rFonts w:ascii="Calibri Light" w:hAnsi="Calibri Light" w:cs="Calibri Light"/>
                <w:color w:val="1F3864"/>
                <w:sz w:val="20"/>
                <w:szCs w:val="20"/>
                <w:shd w:val="clear" w:color="auto" w:fill="FFFFFF"/>
              </w:rPr>
            </w:pPr>
            <w:r>
              <w:rPr>
                <w:rFonts w:ascii="Calibri Light" w:hAnsi="Calibri Light" w:cs="Calibri Light"/>
                <w:color w:val="1F3864"/>
                <w:sz w:val="20"/>
                <w:szCs w:val="20"/>
                <w:shd w:val="clear" w:color="auto" w:fill="FFFFFF"/>
              </w:rPr>
              <w:t>Northwest Region Environmental Cleanup Program</w:t>
            </w:r>
          </w:p>
          <w:p w14:paraId="45A5E28A" w14:textId="77777777" w:rsidR="00152B13" w:rsidRDefault="00152B13">
            <w:pPr>
              <w:rPr>
                <w:rFonts w:ascii="Calibri Light" w:hAnsi="Calibri Light" w:cs="Calibri Light"/>
                <w:sz w:val="20"/>
                <w:szCs w:val="20"/>
              </w:rPr>
            </w:pPr>
            <w:r>
              <w:rPr>
                <w:rFonts w:ascii="Calibri Light" w:hAnsi="Calibri Light" w:cs="Calibri Light"/>
                <w:color w:val="1F3864"/>
                <w:sz w:val="20"/>
                <w:szCs w:val="20"/>
                <w:shd w:val="clear" w:color="auto" w:fill="FFFFFF"/>
              </w:rPr>
              <w:t>503-709-8253 |</w:t>
            </w:r>
            <w:r>
              <w:rPr>
                <w:rFonts w:ascii="Calibri Light" w:hAnsi="Calibri Light" w:cs="Calibri Light"/>
                <w:color w:val="1F497D"/>
                <w:sz w:val="20"/>
                <w:szCs w:val="20"/>
                <w:shd w:val="clear" w:color="auto" w:fill="FFFFFF"/>
              </w:rPr>
              <w:t> </w:t>
            </w:r>
            <w:hyperlink r:id="rId25" w:history="1">
              <w:r>
                <w:rPr>
                  <w:rStyle w:val="Hyperlink"/>
                  <w:rFonts w:ascii="Calibri Light" w:hAnsi="Calibri Light" w:cs="Calibri Light"/>
                  <w:sz w:val="20"/>
                  <w:szCs w:val="20"/>
                  <w:shd w:val="clear" w:color="auto" w:fill="FFFFFF"/>
                </w:rPr>
                <w:t>Sarah.VanGlubt@deq.oregon.gov</w:t>
              </w:r>
            </w:hyperlink>
          </w:p>
        </w:tc>
      </w:tr>
    </w:tbl>
    <w:p w14:paraId="371DACA3" w14:textId="77777777" w:rsidR="00152B13" w:rsidRDefault="00152B13" w:rsidP="00152B13">
      <w:pPr>
        <w:ind w:left="2880"/>
      </w:pPr>
    </w:p>
    <w:p w14:paraId="0874B4BF" w14:textId="77777777" w:rsidR="00152B13" w:rsidRDefault="00152B13" w:rsidP="00152B13">
      <w:pPr>
        <w:ind w:left="2880"/>
      </w:pPr>
    </w:p>
    <w:p w14:paraId="30484DB9" w14:textId="77777777" w:rsidR="00906C43" w:rsidRDefault="00906C43"/>
    <w:sectPr w:rsidR="00906C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Baguet Script">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F9754C"/>
    <w:multiLevelType w:val="multilevel"/>
    <w:tmpl w:val="7FECF0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9A03063"/>
    <w:multiLevelType w:val="multilevel"/>
    <w:tmpl w:val="260278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518616058">
    <w:abstractNumId w:val="0"/>
    <w:lvlOverride w:ilvl="0"/>
    <w:lvlOverride w:ilvl="1"/>
    <w:lvlOverride w:ilvl="2"/>
    <w:lvlOverride w:ilvl="3"/>
    <w:lvlOverride w:ilvl="4"/>
    <w:lvlOverride w:ilvl="5"/>
    <w:lvlOverride w:ilvl="6"/>
    <w:lvlOverride w:ilvl="7"/>
    <w:lvlOverride w:ilvl="8"/>
  </w:num>
  <w:num w:numId="2" w16cid:durableId="663318871">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B13"/>
    <w:rsid w:val="001451B8"/>
    <w:rsid w:val="00152B13"/>
    <w:rsid w:val="00833986"/>
    <w:rsid w:val="00906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64130"/>
  <w15:chartTrackingRefBased/>
  <w15:docId w15:val="{5C29B613-BFA2-4254-B800-7AA97F9FA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B13"/>
    <w:pPr>
      <w:spacing w:after="0" w:line="240" w:lineRule="auto"/>
    </w:pPr>
    <w:rPr>
      <w:rFonts w:ascii="Aptos" w:hAnsi="Aptos" w:cs="Aptos"/>
      <w:kern w:val="0"/>
    </w:rPr>
  </w:style>
  <w:style w:type="paragraph" w:styleId="Heading1">
    <w:name w:val="heading 1"/>
    <w:basedOn w:val="Normal"/>
    <w:next w:val="Normal"/>
    <w:link w:val="Heading1Char"/>
    <w:uiPriority w:val="9"/>
    <w:qFormat/>
    <w:rsid w:val="00152B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2B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2B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2B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2B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2B1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2B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2B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2B1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B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2B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2B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2B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2B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2B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2B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2B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2B13"/>
    <w:rPr>
      <w:rFonts w:eastAsiaTheme="majorEastAsia" w:cstheme="majorBidi"/>
      <w:color w:val="272727" w:themeColor="text1" w:themeTint="D8"/>
    </w:rPr>
  </w:style>
  <w:style w:type="paragraph" w:styleId="Title">
    <w:name w:val="Title"/>
    <w:basedOn w:val="Normal"/>
    <w:next w:val="Normal"/>
    <w:link w:val="TitleChar"/>
    <w:uiPriority w:val="10"/>
    <w:qFormat/>
    <w:rsid w:val="00152B1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B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2B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2B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2B13"/>
    <w:pPr>
      <w:spacing w:before="160"/>
      <w:jc w:val="center"/>
    </w:pPr>
    <w:rPr>
      <w:i/>
      <w:iCs/>
      <w:color w:val="404040" w:themeColor="text1" w:themeTint="BF"/>
    </w:rPr>
  </w:style>
  <w:style w:type="character" w:customStyle="1" w:styleId="QuoteChar">
    <w:name w:val="Quote Char"/>
    <w:basedOn w:val="DefaultParagraphFont"/>
    <w:link w:val="Quote"/>
    <w:uiPriority w:val="29"/>
    <w:rsid w:val="00152B13"/>
    <w:rPr>
      <w:i/>
      <w:iCs/>
      <w:color w:val="404040" w:themeColor="text1" w:themeTint="BF"/>
    </w:rPr>
  </w:style>
  <w:style w:type="paragraph" w:styleId="ListParagraph">
    <w:name w:val="List Paragraph"/>
    <w:basedOn w:val="Normal"/>
    <w:uiPriority w:val="34"/>
    <w:qFormat/>
    <w:rsid w:val="00152B13"/>
    <w:pPr>
      <w:ind w:left="720"/>
      <w:contextualSpacing/>
    </w:pPr>
  </w:style>
  <w:style w:type="character" w:styleId="IntenseEmphasis">
    <w:name w:val="Intense Emphasis"/>
    <w:basedOn w:val="DefaultParagraphFont"/>
    <w:uiPriority w:val="21"/>
    <w:qFormat/>
    <w:rsid w:val="00152B13"/>
    <w:rPr>
      <w:i/>
      <w:iCs/>
      <w:color w:val="0F4761" w:themeColor="accent1" w:themeShade="BF"/>
    </w:rPr>
  </w:style>
  <w:style w:type="paragraph" w:styleId="IntenseQuote">
    <w:name w:val="Intense Quote"/>
    <w:basedOn w:val="Normal"/>
    <w:next w:val="Normal"/>
    <w:link w:val="IntenseQuoteChar"/>
    <w:uiPriority w:val="30"/>
    <w:qFormat/>
    <w:rsid w:val="00152B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2B13"/>
    <w:rPr>
      <w:i/>
      <w:iCs/>
      <w:color w:val="0F4761" w:themeColor="accent1" w:themeShade="BF"/>
    </w:rPr>
  </w:style>
  <w:style w:type="character" w:styleId="IntenseReference">
    <w:name w:val="Intense Reference"/>
    <w:basedOn w:val="DefaultParagraphFont"/>
    <w:uiPriority w:val="32"/>
    <w:qFormat/>
    <w:rsid w:val="00152B13"/>
    <w:rPr>
      <w:b/>
      <w:bCs/>
      <w:smallCaps/>
      <w:color w:val="0F4761" w:themeColor="accent1" w:themeShade="BF"/>
      <w:spacing w:val="5"/>
    </w:rPr>
  </w:style>
  <w:style w:type="character" w:styleId="Hyperlink">
    <w:name w:val="Hyperlink"/>
    <w:basedOn w:val="DefaultParagraphFont"/>
    <w:uiPriority w:val="99"/>
    <w:semiHidden/>
    <w:unhideWhenUsed/>
    <w:rsid w:val="00152B13"/>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3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im.orr@deq.oregon.gov" TargetMode="External"/><Relationship Id="rId13" Type="http://schemas.openxmlformats.org/officeDocument/2006/relationships/hyperlink" Target="https://www.oregon.gov/deq/Permits/Pages/Your-DEQ-Online.aspx" TargetMode="External"/><Relationship Id="rId18" Type="http://schemas.openxmlformats.org/officeDocument/2006/relationships/image" Target="cid:image004.png@01DCAC91.A567A220"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Wesley.THOMAS@deq.oregon.gov" TargetMode="External"/><Relationship Id="rId7" Type="http://schemas.openxmlformats.org/officeDocument/2006/relationships/hyperlink" Target="mailto:Jim.ORR@deq.oregon.gov" TargetMode="External"/><Relationship Id="rId12" Type="http://schemas.openxmlformats.org/officeDocument/2006/relationships/image" Target="cid:image002.gif@01DCAC91.A567A220" TargetMode="External"/><Relationship Id="rId17" Type="http://schemas.openxmlformats.org/officeDocument/2006/relationships/image" Target="media/image4.png"/><Relationship Id="rId25" Type="http://schemas.openxmlformats.org/officeDocument/2006/relationships/hyperlink" Target="mailto:Sarah.VanGlubt@deq.oregon.gov" TargetMode="External"/><Relationship Id="rId2" Type="http://schemas.openxmlformats.org/officeDocument/2006/relationships/styles" Target="styles.xml"/><Relationship Id="rId16" Type="http://schemas.openxmlformats.org/officeDocument/2006/relationships/hyperlink" Target="https://www.oregon.gov/deq/Hazards-and-Cleanup/env-cleanup/Pages/Vapor-Intrusion.aspx" TargetMode="External"/><Relationship Id="rId20" Type="http://schemas.openxmlformats.org/officeDocument/2006/relationships/hyperlink" Target="mailto:Jim.ORR@deq.oregon.gov" TargetMode="External"/><Relationship Id="rId1" Type="http://schemas.openxmlformats.org/officeDocument/2006/relationships/numbering" Target="numbering.xml"/><Relationship Id="rId6" Type="http://schemas.openxmlformats.org/officeDocument/2006/relationships/hyperlink" Target="mailto:Heidi.NELSON@deq.oregon.gov" TargetMode="External"/><Relationship Id="rId11" Type="http://schemas.openxmlformats.org/officeDocument/2006/relationships/image" Target="media/image2.gif"/><Relationship Id="rId24" Type="http://schemas.openxmlformats.org/officeDocument/2006/relationships/image" Target="cid:image005.png@01DCAC91.A567A220" TargetMode="External"/><Relationship Id="rId5" Type="http://schemas.openxmlformats.org/officeDocument/2006/relationships/hyperlink" Target="mailto:Jim.ORR@deq.oregon.gov" TargetMode="External"/><Relationship Id="rId15" Type="http://schemas.openxmlformats.org/officeDocument/2006/relationships/image" Target="cid:image003.png@01DCAC91.A567A220" TargetMode="External"/><Relationship Id="rId23" Type="http://schemas.openxmlformats.org/officeDocument/2006/relationships/image" Target="media/image5.png"/><Relationship Id="rId10" Type="http://schemas.openxmlformats.org/officeDocument/2006/relationships/image" Target="cid:image001.png@01DCAC91.A567A220" TargetMode="External"/><Relationship Id="rId19" Type="http://schemas.openxmlformats.org/officeDocument/2006/relationships/hyperlink" Target="mailto:Sarah.VANGLUBT@deq.oregon.gov"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hyperlink" Target="mailto:Jenn.L.PETERSON@deq.oregon.gov"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9b73270-2993-4076-be47-9c78f42a1e8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805</Words>
  <Characters>4592</Characters>
  <Application>Microsoft Office Word</Application>
  <DocSecurity>0</DocSecurity>
  <Lines>38</Lines>
  <Paragraphs>10</Paragraphs>
  <ScaleCrop>false</ScaleCrop>
  <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ORR Jim * DEQ</dc:creator>
  <cp:keywords/>
  <dc:description/>
  <cp:lastModifiedBy>ORR Jim * DEQ</cp:lastModifiedBy>
  <cp:revision>1</cp:revision>
  <dcterms:created xsi:type="dcterms:W3CDTF">2026-04-16T22:46:00Z</dcterms:created>
  <dcterms:modified xsi:type="dcterms:W3CDTF">2026-04-16T22:48:00Z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966eb78a-df16-452b-be91-cf3bda11c7d9</vt:lpwstr>
  </property>
</Properties>
</file>