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05DF7" w14:textId="380BD614" w:rsidR="009F5BC9" w:rsidRDefault="009F5BC9" w:rsidP="00ED47E6">
      <w:r>
        <w:rPr>
          <w:noProof/>
        </w:rPr>
        <w:drawing>
          <wp:inline distT="0" distB="0" distL="0" distR="0" wp14:anchorId="39208A98" wp14:editId="49C0DD36">
            <wp:extent cx="1853854" cy="365760"/>
            <wp:effectExtent l="0" t="0" r="0" b="0"/>
            <wp:docPr id="887311984" name="Picture 1" descr="Oregon DEQ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311984" name="Picture 1" descr="Oregon DEQ Logo"/>
                    <pic:cNvPicPr/>
                  </pic:nvPicPr>
                  <pic:blipFill>
                    <a:blip r:embed="rId11">
                      <a:extLst>
                        <a:ext uri="{28A0092B-C50C-407E-A947-70E740481C1C}">
                          <a14:useLocalDpi xmlns:a14="http://schemas.microsoft.com/office/drawing/2010/main" val="0"/>
                        </a:ext>
                      </a:extLst>
                    </a:blip>
                    <a:stretch>
                      <a:fillRect/>
                    </a:stretch>
                  </pic:blipFill>
                  <pic:spPr>
                    <a:xfrm>
                      <a:off x="0" y="0"/>
                      <a:ext cx="1853854" cy="365760"/>
                    </a:xfrm>
                    <a:prstGeom prst="rect">
                      <a:avLst/>
                    </a:prstGeom>
                  </pic:spPr>
                </pic:pic>
              </a:graphicData>
            </a:graphic>
          </wp:inline>
        </w:drawing>
      </w:r>
    </w:p>
    <w:p w14:paraId="7F79304B" w14:textId="12CAFC11" w:rsidR="009F5BC9" w:rsidRPr="00ED47E6" w:rsidRDefault="00ED47E6" w:rsidP="00ED47E6">
      <w:pPr>
        <w:pStyle w:val="Title"/>
      </w:pPr>
      <w:bookmarkStart w:id="0" w:name="_Toc214611054"/>
      <w:r w:rsidRPr="00ED47E6">
        <w:t>Oregon Environmental Quality Commission Meeting</w:t>
      </w:r>
      <w:bookmarkEnd w:id="0"/>
    </w:p>
    <w:p w14:paraId="059EB1F2" w14:textId="17B6888D" w:rsidR="009F5BC9" w:rsidRPr="00ED47E6" w:rsidRDefault="00B639BC" w:rsidP="00ED47E6">
      <w:pPr>
        <w:pStyle w:val="Subtitle"/>
      </w:pPr>
      <w:r>
        <w:t>May 14-15, 2026</w:t>
      </w:r>
    </w:p>
    <w:p w14:paraId="304D6F70" w14:textId="77777777" w:rsidR="00C10858" w:rsidRDefault="00C10858" w:rsidP="00C10858"/>
    <w:p w14:paraId="673EA4C1" w14:textId="574040EF" w:rsidR="009F5BC9" w:rsidRPr="00ED47E6" w:rsidRDefault="00ED47E6" w:rsidP="00ED47E6">
      <w:pPr>
        <w:rPr>
          <w:b/>
          <w:bCs/>
        </w:rPr>
      </w:pPr>
      <w:r w:rsidRPr="00ED47E6">
        <w:rPr>
          <w:b/>
          <w:bCs/>
        </w:rPr>
        <w:t xml:space="preserve">Rulemaking Action Item </w:t>
      </w:r>
      <w:r w:rsidR="00B639BC">
        <w:rPr>
          <w:b/>
          <w:bCs/>
        </w:rPr>
        <w:t>G</w:t>
      </w:r>
    </w:p>
    <w:p w14:paraId="1BE116C2" w14:textId="7619C650" w:rsidR="00ED47E6" w:rsidRPr="0098202E" w:rsidRDefault="0098202E" w:rsidP="002A6C74">
      <w:pPr>
        <w:pStyle w:val="instructions"/>
        <w:rPr>
          <w:color w:val="auto"/>
        </w:rPr>
      </w:pPr>
      <w:r w:rsidRPr="0098202E">
        <w:rPr>
          <w:color w:val="auto"/>
        </w:rPr>
        <w:t>EV Rebates 2026</w:t>
      </w:r>
    </w:p>
    <w:p w14:paraId="5493E7FC" w14:textId="77777777" w:rsidR="009F5BC9" w:rsidRDefault="009F5BC9" w:rsidP="009F5BC9"/>
    <w:sdt>
      <w:sdtPr>
        <w:rPr>
          <w:rFonts w:eastAsiaTheme="minorEastAsia" w:cstheme="minorBidi"/>
          <w:b w:val="0"/>
          <w:color w:val="auto"/>
          <w:kern w:val="2"/>
          <w:sz w:val="22"/>
          <w:szCs w:val="22"/>
          <w14:ligatures w14:val="standardContextual"/>
        </w:rPr>
        <w:id w:val="-925266043"/>
        <w:docPartObj>
          <w:docPartGallery w:val="Table of Contents"/>
          <w:docPartUnique/>
        </w:docPartObj>
      </w:sdtPr>
      <w:sdtEndPr>
        <w:rPr>
          <w:noProof/>
        </w:rPr>
      </w:sdtEndPr>
      <w:sdtContent>
        <w:p w14:paraId="1DED531C" w14:textId="6C9D2A4F" w:rsidR="007D4B4A" w:rsidRDefault="007D4B4A">
          <w:pPr>
            <w:pStyle w:val="TOCHeading"/>
          </w:pPr>
          <w:r>
            <w:t>Contents</w:t>
          </w:r>
        </w:p>
        <w:p w14:paraId="54F79C7D" w14:textId="76BFC0E9" w:rsidR="00AF7536" w:rsidRDefault="007D4B4A">
          <w:pPr>
            <w:pStyle w:val="TOC1"/>
            <w:tabs>
              <w:tab w:val="right" w:leader="dot" w:pos="9350"/>
            </w:tabs>
            <w:rPr>
              <w:rFonts w:asciiTheme="minorHAnsi" w:eastAsiaTheme="minorEastAsia" w:hAnsiTheme="minorHAnsi"/>
              <w:noProof/>
              <w:sz w:val="24"/>
            </w:rPr>
          </w:pPr>
          <w:r>
            <w:fldChar w:fldCharType="begin"/>
          </w:r>
          <w:r>
            <w:instrText xml:space="preserve"> TOC \o "3-3" \h \z \t "Heading 1,1,Heading 2,2" </w:instrText>
          </w:r>
          <w:r>
            <w:fldChar w:fldCharType="separate"/>
          </w:r>
          <w:hyperlink w:anchor="_Toc226361706" w:history="1">
            <w:r w:rsidR="00AF7536" w:rsidRPr="00626F03">
              <w:rPr>
                <w:rStyle w:val="Hyperlink"/>
                <w:noProof/>
              </w:rPr>
              <w:t>DEQ recommendation to the EQC</w:t>
            </w:r>
            <w:r w:rsidR="00AF7536">
              <w:rPr>
                <w:noProof/>
                <w:webHidden/>
              </w:rPr>
              <w:tab/>
            </w:r>
            <w:r w:rsidR="00AF7536">
              <w:rPr>
                <w:noProof/>
                <w:webHidden/>
              </w:rPr>
              <w:fldChar w:fldCharType="begin"/>
            </w:r>
            <w:r w:rsidR="00AF7536">
              <w:rPr>
                <w:noProof/>
                <w:webHidden/>
              </w:rPr>
              <w:instrText xml:space="preserve"> PAGEREF _Toc226361706 \h </w:instrText>
            </w:r>
            <w:r w:rsidR="00AF7536">
              <w:rPr>
                <w:noProof/>
                <w:webHidden/>
              </w:rPr>
            </w:r>
            <w:r w:rsidR="00AF7536">
              <w:rPr>
                <w:noProof/>
                <w:webHidden/>
              </w:rPr>
              <w:fldChar w:fldCharType="separate"/>
            </w:r>
            <w:r w:rsidR="00AF7536">
              <w:rPr>
                <w:noProof/>
                <w:webHidden/>
              </w:rPr>
              <w:t>5</w:t>
            </w:r>
            <w:r w:rsidR="00AF7536">
              <w:rPr>
                <w:noProof/>
                <w:webHidden/>
              </w:rPr>
              <w:fldChar w:fldCharType="end"/>
            </w:r>
          </w:hyperlink>
        </w:p>
        <w:p w14:paraId="3A3B442C" w14:textId="26F24952" w:rsidR="00AF7536" w:rsidRDefault="00AF7536">
          <w:pPr>
            <w:pStyle w:val="TOC2"/>
            <w:tabs>
              <w:tab w:val="right" w:leader="dot" w:pos="9350"/>
            </w:tabs>
            <w:rPr>
              <w:rFonts w:asciiTheme="minorHAnsi" w:eastAsiaTheme="minorEastAsia" w:hAnsiTheme="minorHAnsi"/>
              <w:noProof/>
              <w:sz w:val="24"/>
            </w:rPr>
          </w:pPr>
          <w:hyperlink w:anchor="_Toc226361707" w:history="1">
            <w:r w:rsidRPr="00626F03">
              <w:rPr>
                <w:rStyle w:val="Hyperlink"/>
                <w:noProof/>
              </w:rPr>
              <w:t>Language of proposed EQC motion:</w:t>
            </w:r>
            <w:r>
              <w:rPr>
                <w:noProof/>
                <w:webHidden/>
              </w:rPr>
              <w:tab/>
            </w:r>
            <w:r>
              <w:rPr>
                <w:noProof/>
                <w:webHidden/>
              </w:rPr>
              <w:fldChar w:fldCharType="begin"/>
            </w:r>
            <w:r>
              <w:rPr>
                <w:noProof/>
                <w:webHidden/>
              </w:rPr>
              <w:instrText xml:space="preserve"> PAGEREF _Toc226361707 \h </w:instrText>
            </w:r>
            <w:r>
              <w:rPr>
                <w:noProof/>
                <w:webHidden/>
              </w:rPr>
            </w:r>
            <w:r>
              <w:rPr>
                <w:noProof/>
                <w:webHidden/>
              </w:rPr>
              <w:fldChar w:fldCharType="separate"/>
            </w:r>
            <w:r>
              <w:rPr>
                <w:noProof/>
                <w:webHidden/>
              </w:rPr>
              <w:t>5</w:t>
            </w:r>
            <w:r>
              <w:rPr>
                <w:noProof/>
                <w:webHidden/>
              </w:rPr>
              <w:fldChar w:fldCharType="end"/>
            </w:r>
          </w:hyperlink>
        </w:p>
        <w:p w14:paraId="0EB320E2" w14:textId="16B07BA9" w:rsidR="00AF7536" w:rsidRDefault="00AF7536">
          <w:pPr>
            <w:pStyle w:val="TOC1"/>
            <w:tabs>
              <w:tab w:val="right" w:leader="dot" w:pos="9350"/>
            </w:tabs>
            <w:rPr>
              <w:rFonts w:asciiTheme="minorHAnsi" w:eastAsiaTheme="minorEastAsia" w:hAnsiTheme="minorHAnsi"/>
              <w:noProof/>
              <w:sz w:val="24"/>
            </w:rPr>
          </w:pPr>
          <w:hyperlink w:anchor="_Toc226361709" w:history="1">
            <w:r w:rsidRPr="00626F03">
              <w:rPr>
                <w:rStyle w:val="Hyperlink"/>
                <w:noProof/>
              </w:rPr>
              <w:t>Overview</w:t>
            </w:r>
            <w:r>
              <w:rPr>
                <w:noProof/>
                <w:webHidden/>
              </w:rPr>
              <w:tab/>
            </w:r>
            <w:r>
              <w:rPr>
                <w:noProof/>
                <w:webHidden/>
              </w:rPr>
              <w:fldChar w:fldCharType="begin"/>
            </w:r>
            <w:r>
              <w:rPr>
                <w:noProof/>
                <w:webHidden/>
              </w:rPr>
              <w:instrText xml:space="preserve"> PAGEREF _Toc226361709 \h </w:instrText>
            </w:r>
            <w:r>
              <w:rPr>
                <w:noProof/>
                <w:webHidden/>
              </w:rPr>
            </w:r>
            <w:r>
              <w:rPr>
                <w:noProof/>
                <w:webHidden/>
              </w:rPr>
              <w:fldChar w:fldCharType="separate"/>
            </w:r>
            <w:r>
              <w:rPr>
                <w:noProof/>
                <w:webHidden/>
              </w:rPr>
              <w:t>6</w:t>
            </w:r>
            <w:r>
              <w:rPr>
                <w:noProof/>
                <w:webHidden/>
              </w:rPr>
              <w:fldChar w:fldCharType="end"/>
            </w:r>
          </w:hyperlink>
        </w:p>
        <w:p w14:paraId="090129DD" w14:textId="7C2B2A3A" w:rsidR="00AF7536" w:rsidRDefault="00AF7536">
          <w:pPr>
            <w:pStyle w:val="TOC1"/>
            <w:tabs>
              <w:tab w:val="right" w:leader="dot" w:pos="9350"/>
            </w:tabs>
            <w:rPr>
              <w:rFonts w:asciiTheme="minorHAnsi" w:eastAsiaTheme="minorEastAsia" w:hAnsiTheme="minorHAnsi"/>
              <w:noProof/>
              <w:sz w:val="24"/>
            </w:rPr>
          </w:pPr>
          <w:hyperlink w:anchor="_Toc226361710" w:history="1">
            <w:r w:rsidRPr="00626F03">
              <w:rPr>
                <w:rStyle w:val="Hyperlink"/>
                <w:noProof/>
              </w:rPr>
              <w:t>Other topics considered</w:t>
            </w:r>
            <w:r>
              <w:rPr>
                <w:noProof/>
                <w:webHidden/>
              </w:rPr>
              <w:tab/>
            </w:r>
            <w:r>
              <w:rPr>
                <w:noProof/>
                <w:webHidden/>
              </w:rPr>
              <w:fldChar w:fldCharType="begin"/>
            </w:r>
            <w:r>
              <w:rPr>
                <w:noProof/>
                <w:webHidden/>
              </w:rPr>
              <w:instrText xml:space="preserve"> PAGEREF _Toc226361710 \h </w:instrText>
            </w:r>
            <w:r>
              <w:rPr>
                <w:noProof/>
                <w:webHidden/>
              </w:rPr>
            </w:r>
            <w:r>
              <w:rPr>
                <w:noProof/>
                <w:webHidden/>
              </w:rPr>
              <w:fldChar w:fldCharType="separate"/>
            </w:r>
            <w:r>
              <w:rPr>
                <w:noProof/>
                <w:webHidden/>
              </w:rPr>
              <w:t>7</w:t>
            </w:r>
            <w:r>
              <w:rPr>
                <w:noProof/>
                <w:webHidden/>
              </w:rPr>
              <w:fldChar w:fldCharType="end"/>
            </w:r>
          </w:hyperlink>
        </w:p>
        <w:p w14:paraId="0CAFB9C3" w14:textId="58BD9D49" w:rsidR="00AF7536" w:rsidRDefault="00AF7536">
          <w:pPr>
            <w:pStyle w:val="TOC2"/>
            <w:tabs>
              <w:tab w:val="right" w:leader="dot" w:pos="9350"/>
            </w:tabs>
            <w:rPr>
              <w:rFonts w:asciiTheme="minorHAnsi" w:eastAsiaTheme="minorEastAsia" w:hAnsiTheme="minorHAnsi"/>
              <w:noProof/>
              <w:sz w:val="24"/>
            </w:rPr>
          </w:pPr>
          <w:hyperlink w:anchor="_Toc226361711" w:history="1">
            <w:r w:rsidRPr="00626F03">
              <w:rPr>
                <w:rStyle w:val="Hyperlink"/>
                <w:noProof/>
              </w:rPr>
              <w:t>Rebate adjustments</w:t>
            </w:r>
            <w:r>
              <w:rPr>
                <w:noProof/>
                <w:webHidden/>
              </w:rPr>
              <w:tab/>
            </w:r>
            <w:r>
              <w:rPr>
                <w:noProof/>
                <w:webHidden/>
              </w:rPr>
              <w:fldChar w:fldCharType="begin"/>
            </w:r>
            <w:r>
              <w:rPr>
                <w:noProof/>
                <w:webHidden/>
              </w:rPr>
              <w:instrText xml:space="preserve"> PAGEREF _Toc226361711 \h </w:instrText>
            </w:r>
            <w:r>
              <w:rPr>
                <w:noProof/>
                <w:webHidden/>
              </w:rPr>
            </w:r>
            <w:r>
              <w:rPr>
                <w:noProof/>
                <w:webHidden/>
              </w:rPr>
              <w:fldChar w:fldCharType="separate"/>
            </w:r>
            <w:r>
              <w:rPr>
                <w:noProof/>
                <w:webHidden/>
              </w:rPr>
              <w:t>7</w:t>
            </w:r>
            <w:r>
              <w:rPr>
                <w:noProof/>
                <w:webHidden/>
              </w:rPr>
              <w:fldChar w:fldCharType="end"/>
            </w:r>
          </w:hyperlink>
        </w:p>
        <w:p w14:paraId="4C762357" w14:textId="4A9ABE87" w:rsidR="00AF7536" w:rsidRDefault="00AF7536">
          <w:pPr>
            <w:pStyle w:val="TOC2"/>
            <w:tabs>
              <w:tab w:val="right" w:leader="dot" w:pos="9350"/>
            </w:tabs>
            <w:rPr>
              <w:rFonts w:asciiTheme="minorHAnsi" w:eastAsiaTheme="minorEastAsia" w:hAnsiTheme="minorHAnsi"/>
              <w:noProof/>
              <w:sz w:val="24"/>
            </w:rPr>
          </w:pPr>
          <w:hyperlink w:anchor="_Toc226361712" w:history="1">
            <w:r w:rsidRPr="00626F03">
              <w:rPr>
                <w:rStyle w:val="Hyperlink"/>
                <w:noProof/>
              </w:rPr>
              <w:t>Rebate reservation process</w:t>
            </w:r>
            <w:r>
              <w:rPr>
                <w:noProof/>
                <w:webHidden/>
              </w:rPr>
              <w:tab/>
            </w:r>
            <w:r>
              <w:rPr>
                <w:noProof/>
                <w:webHidden/>
              </w:rPr>
              <w:fldChar w:fldCharType="begin"/>
            </w:r>
            <w:r>
              <w:rPr>
                <w:noProof/>
                <w:webHidden/>
              </w:rPr>
              <w:instrText xml:space="preserve"> PAGEREF _Toc226361712 \h </w:instrText>
            </w:r>
            <w:r>
              <w:rPr>
                <w:noProof/>
                <w:webHidden/>
              </w:rPr>
            </w:r>
            <w:r>
              <w:rPr>
                <w:noProof/>
                <w:webHidden/>
              </w:rPr>
              <w:fldChar w:fldCharType="separate"/>
            </w:r>
            <w:r>
              <w:rPr>
                <w:noProof/>
                <w:webHidden/>
              </w:rPr>
              <w:t>7</w:t>
            </w:r>
            <w:r>
              <w:rPr>
                <w:noProof/>
                <w:webHidden/>
              </w:rPr>
              <w:fldChar w:fldCharType="end"/>
            </w:r>
          </w:hyperlink>
        </w:p>
        <w:p w14:paraId="6B368E9A" w14:textId="75854407" w:rsidR="00AF7536" w:rsidRDefault="00AF7536">
          <w:pPr>
            <w:pStyle w:val="TOC2"/>
            <w:tabs>
              <w:tab w:val="right" w:leader="dot" w:pos="9350"/>
            </w:tabs>
            <w:rPr>
              <w:rFonts w:asciiTheme="minorHAnsi" w:eastAsiaTheme="minorEastAsia" w:hAnsiTheme="minorHAnsi"/>
              <w:noProof/>
              <w:sz w:val="24"/>
            </w:rPr>
          </w:pPr>
          <w:hyperlink w:anchor="_Toc226361713" w:history="1">
            <w:r w:rsidRPr="00626F03">
              <w:rPr>
                <w:rStyle w:val="Hyperlink"/>
                <w:noProof/>
              </w:rPr>
              <w:t>Program optimization</w:t>
            </w:r>
            <w:r>
              <w:rPr>
                <w:noProof/>
                <w:webHidden/>
              </w:rPr>
              <w:tab/>
            </w:r>
            <w:r>
              <w:rPr>
                <w:noProof/>
                <w:webHidden/>
              </w:rPr>
              <w:fldChar w:fldCharType="begin"/>
            </w:r>
            <w:r>
              <w:rPr>
                <w:noProof/>
                <w:webHidden/>
              </w:rPr>
              <w:instrText xml:space="preserve"> PAGEREF _Toc226361713 \h </w:instrText>
            </w:r>
            <w:r>
              <w:rPr>
                <w:noProof/>
                <w:webHidden/>
              </w:rPr>
            </w:r>
            <w:r>
              <w:rPr>
                <w:noProof/>
                <w:webHidden/>
              </w:rPr>
              <w:fldChar w:fldCharType="separate"/>
            </w:r>
            <w:r>
              <w:rPr>
                <w:noProof/>
                <w:webHidden/>
              </w:rPr>
              <w:t>7</w:t>
            </w:r>
            <w:r>
              <w:rPr>
                <w:noProof/>
                <w:webHidden/>
              </w:rPr>
              <w:fldChar w:fldCharType="end"/>
            </w:r>
          </w:hyperlink>
        </w:p>
        <w:p w14:paraId="2709AD85" w14:textId="65C060B9" w:rsidR="00AF7536" w:rsidRDefault="00AF7536">
          <w:pPr>
            <w:pStyle w:val="TOC1"/>
            <w:tabs>
              <w:tab w:val="right" w:leader="dot" w:pos="9350"/>
            </w:tabs>
            <w:rPr>
              <w:rFonts w:asciiTheme="minorHAnsi" w:eastAsiaTheme="minorEastAsia" w:hAnsiTheme="minorHAnsi"/>
              <w:noProof/>
              <w:sz w:val="24"/>
            </w:rPr>
          </w:pPr>
          <w:hyperlink w:anchor="_Toc226361714" w:history="1">
            <w:r w:rsidRPr="00626F03">
              <w:rPr>
                <w:rStyle w:val="Hyperlink"/>
                <w:noProof/>
              </w:rPr>
              <w:t>Statement of need</w:t>
            </w:r>
            <w:r>
              <w:rPr>
                <w:noProof/>
                <w:webHidden/>
              </w:rPr>
              <w:tab/>
            </w:r>
            <w:r>
              <w:rPr>
                <w:noProof/>
                <w:webHidden/>
              </w:rPr>
              <w:fldChar w:fldCharType="begin"/>
            </w:r>
            <w:r>
              <w:rPr>
                <w:noProof/>
                <w:webHidden/>
              </w:rPr>
              <w:instrText xml:space="preserve"> PAGEREF _Toc226361714 \h </w:instrText>
            </w:r>
            <w:r>
              <w:rPr>
                <w:noProof/>
                <w:webHidden/>
              </w:rPr>
            </w:r>
            <w:r>
              <w:rPr>
                <w:noProof/>
                <w:webHidden/>
              </w:rPr>
              <w:fldChar w:fldCharType="separate"/>
            </w:r>
            <w:r>
              <w:rPr>
                <w:noProof/>
                <w:webHidden/>
              </w:rPr>
              <w:t>8</w:t>
            </w:r>
            <w:r>
              <w:rPr>
                <w:noProof/>
                <w:webHidden/>
              </w:rPr>
              <w:fldChar w:fldCharType="end"/>
            </w:r>
          </w:hyperlink>
        </w:p>
        <w:p w14:paraId="39529FA8" w14:textId="0D91569B" w:rsidR="00AF7536" w:rsidRDefault="00AF7536">
          <w:pPr>
            <w:pStyle w:val="TOC2"/>
            <w:tabs>
              <w:tab w:val="right" w:leader="dot" w:pos="9350"/>
            </w:tabs>
            <w:rPr>
              <w:rFonts w:asciiTheme="minorHAnsi" w:eastAsiaTheme="minorEastAsia" w:hAnsiTheme="minorHAnsi"/>
              <w:noProof/>
              <w:sz w:val="24"/>
            </w:rPr>
          </w:pPr>
          <w:hyperlink w:anchor="_Toc226361715" w:history="1">
            <w:r w:rsidRPr="00626F03">
              <w:rPr>
                <w:rStyle w:val="Hyperlink"/>
                <w:rFonts w:cs="Arial"/>
                <w:noProof/>
              </w:rPr>
              <w:t>Oregon Clean Vehicle Rebate Program</w:t>
            </w:r>
            <w:r>
              <w:rPr>
                <w:noProof/>
                <w:webHidden/>
              </w:rPr>
              <w:tab/>
            </w:r>
            <w:r>
              <w:rPr>
                <w:noProof/>
                <w:webHidden/>
              </w:rPr>
              <w:fldChar w:fldCharType="begin"/>
            </w:r>
            <w:r>
              <w:rPr>
                <w:noProof/>
                <w:webHidden/>
              </w:rPr>
              <w:instrText xml:space="preserve"> PAGEREF _Toc226361715 \h </w:instrText>
            </w:r>
            <w:r>
              <w:rPr>
                <w:noProof/>
                <w:webHidden/>
              </w:rPr>
            </w:r>
            <w:r>
              <w:rPr>
                <w:noProof/>
                <w:webHidden/>
              </w:rPr>
              <w:fldChar w:fldCharType="separate"/>
            </w:r>
            <w:r>
              <w:rPr>
                <w:noProof/>
                <w:webHidden/>
              </w:rPr>
              <w:t>8</w:t>
            </w:r>
            <w:r>
              <w:rPr>
                <w:noProof/>
                <w:webHidden/>
              </w:rPr>
              <w:fldChar w:fldCharType="end"/>
            </w:r>
          </w:hyperlink>
        </w:p>
        <w:p w14:paraId="31C3CFCA" w14:textId="6C7053A0" w:rsidR="00AF7536" w:rsidRDefault="00AF7536">
          <w:pPr>
            <w:pStyle w:val="TOC3"/>
            <w:tabs>
              <w:tab w:val="right" w:leader="dot" w:pos="9350"/>
            </w:tabs>
            <w:rPr>
              <w:rFonts w:asciiTheme="minorHAnsi" w:eastAsiaTheme="minorEastAsia" w:hAnsiTheme="minorHAnsi"/>
              <w:noProof/>
              <w:sz w:val="24"/>
            </w:rPr>
          </w:pPr>
          <w:hyperlink w:anchor="_Toc226361716" w:history="1">
            <w:r w:rsidRPr="00626F03">
              <w:rPr>
                <w:rStyle w:val="Hyperlink"/>
                <w:rFonts w:cs="Arial"/>
                <w:noProof/>
              </w:rPr>
              <w:t>OCVRP – Conserve Funding</w:t>
            </w:r>
            <w:r>
              <w:rPr>
                <w:noProof/>
                <w:webHidden/>
              </w:rPr>
              <w:tab/>
            </w:r>
            <w:r>
              <w:rPr>
                <w:noProof/>
                <w:webHidden/>
              </w:rPr>
              <w:fldChar w:fldCharType="begin"/>
            </w:r>
            <w:r>
              <w:rPr>
                <w:noProof/>
                <w:webHidden/>
              </w:rPr>
              <w:instrText xml:space="preserve"> PAGEREF _Toc226361716 \h </w:instrText>
            </w:r>
            <w:r>
              <w:rPr>
                <w:noProof/>
                <w:webHidden/>
              </w:rPr>
            </w:r>
            <w:r>
              <w:rPr>
                <w:noProof/>
                <w:webHidden/>
              </w:rPr>
              <w:fldChar w:fldCharType="separate"/>
            </w:r>
            <w:r>
              <w:rPr>
                <w:noProof/>
                <w:webHidden/>
              </w:rPr>
              <w:t>8</w:t>
            </w:r>
            <w:r>
              <w:rPr>
                <w:noProof/>
                <w:webHidden/>
              </w:rPr>
              <w:fldChar w:fldCharType="end"/>
            </w:r>
          </w:hyperlink>
        </w:p>
        <w:p w14:paraId="40075778" w14:textId="71421AAC" w:rsidR="00AF7536" w:rsidRDefault="00AF7536">
          <w:pPr>
            <w:pStyle w:val="TOC3"/>
            <w:tabs>
              <w:tab w:val="right" w:leader="dot" w:pos="9350"/>
            </w:tabs>
            <w:rPr>
              <w:rFonts w:asciiTheme="minorHAnsi" w:eastAsiaTheme="minorEastAsia" w:hAnsiTheme="minorHAnsi"/>
              <w:noProof/>
              <w:sz w:val="24"/>
            </w:rPr>
          </w:pPr>
          <w:hyperlink w:anchor="_Toc226361717" w:history="1">
            <w:r w:rsidRPr="00626F03">
              <w:rPr>
                <w:rStyle w:val="Hyperlink"/>
                <w:rFonts w:cs="Arial"/>
                <w:bCs/>
                <w:noProof/>
              </w:rPr>
              <w:t>How will DEQ know the rule addressed the need?</w:t>
            </w:r>
            <w:r>
              <w:rPr>
                <w:noProof/>
                <w:webHidden/>
              </w:rPr>
              <w:tab/>
            </w:r>
            <w:r>
              <w:rPr>
                <w:noProof/>
                <w:webHidden/>
              </w:rPr>
              <w:fldChar w:fldCharType="begin"/>
            </w:r>
            <w:r>
              <w:rPr>
                <w:noProof/>
                <w:webHidden/>
              </w:rPr>
              <w:instrText xml:space="preserve"> PAGEREF _Toc226361717 \h </w:instrText>
            </w:r>
            <w:r>
              <w:rPr>
                <w:noProof/>
                <w:webHidden/>
              </w:rPr>
            </w:r>
            <w:r>
              <w:rPr>
                <w:noProof/>
                <w:webHidden/>
              </w:rPr>
              <w:fldChar w:fldCharType="separate"/>
            </w:r>
            <w:r>
              <w:rPr>
                <w:noProof/>
                <w:webHidden/>
              </w:rPr>
              <w:t>8</w:t>
            </w:r>
            <w:r>
              <w:rPr>
                <w:noProof/>
                <w:webHidden/>
              </w:rPr>
              <w:fldChar w:fldCharType="end"/>
            </w:r>
          </w:hyperlink>
        </w:p>
        <w:p w14:paraId="74B35D53" w14:textId="5A29A4B7" w:rsidR="00AF7536" w:rsidRDefault="00AF7536">
          <w:pPr>
            <w:pStyle w:val="TOC3"/>
            <w:tabs>
              <w:tab w:val="right" w:leader="dot" w:pos="9350"/>
            </w:tabs>
            <w:rPr>
              <w:rFonts w:asciiTheme="minorHAnsi" w:eastAsiaTheme="minorEastAsia" w:hAnsiTheme="minorHAnsi"/>
              <w:noProof/>
              <w:sz w:val="24"/>
            </w:rPr>
          </w:pPr>
          <w:hyperlink w:anchor="_Toc226361718" w:history="1">
            <w:r w:rsidRPr="00626F03">
              <w:rPr>
                <w:rStyle w:val="Hyperlink"/>
                <w:rFonts w:cs="Arial"/>
                <w:noProof/>
              </w:rPr>
              <w:t>OCVRP - Rule clarity</w:t>
            </w:r>
            <w:r>
              <w:rPr>
                <w:noProof/>
                <w:webHidden/>
              </w:rPr>
              <w:tab/>
            </w:r>
            <w:r>
              <w:rPr>
                <w:noProof/>
                <w:webHidden/>
              </w:rPr>
              <w:fldChar w:fldCharType="begin"/>
            </w:r>
            <w:r>
              <w:rPr>
                <w:noProof/>
                <w:webHidden/>
              </w:rPr>
              <w:instrText xml:space="preserve"> PAGEREF _Toc226361718 \h </w:instrText>
            </w:r>
            <w:r>
              <w:rPr>
                <w:noProof/>
                <w:webHidden/>
              </w:rPr>
            </w:r>
            <w:r>
              <w:rPr>
                <w:noProof/>
                <w:webHidden/>
              </w:rPr>
              <w:fldChar w:fldCharType="separate"/>
            </w:r>
            <w:r>
              <w:rPr>
                <w:noProof/>
                <w:webHidden/>
              </w:rPr>
              <w:t>9</w:t>
            </w:r>
            <w:r>
              <w:rPr>
                <w:noProof/>
                <w:webHidden/>
              </w:rPr>
              <w:fldChar w:fldCharType="end"/>
            </w:r>
          </w:hyperlink>
        </w:p>
        <w:p w14:paraId="201024FA" w14:textId="58D2E2BA" w:rsidR="00AF7536" w:rsidRDefault="00AF7536">
          <w:pPr>
            <w:pStyle w:val="TOC3"/>
            <w:tabs>
              <w:tab w:val="right" w:leader="dot" w:pos="9350"/>
            </w:tabs>
            <w:rPr>
              <w:rFonts w:asciiTheme="minorHAnsi" w:eastAsiaTheme="minorEastAsia" w:hAnsiTheme="minorHAnsi"/>
              <w:noProof/>
              <w:sz w:val="24"/>
            </w:rPr>
          </w:pPr>
          <w:hyperlink w:anchor="_Toc226361719" w:history="1">
            <w:r w:rsidRPr="00626F03">
              <w:rPr>
                <w:rStyle w:val="Hyperlink"/>
                <w:rFonts w:cs="Arial"/>
                <w:bCs/>
                <w:noProof/>
              </w:rPr>
              <w:t>How will DEQ know the rule addressed the need?</w:t>
            </w:r>
            <w:r>
              <w:rPr>
                <w:noProof/>
                <w:webHidden/>
              </w:rPr>
              <w:tab/>
            </w:r>
            <w:r>
              <w:rPr>
                <w:noProof/>
                <w:webHidden/>
              </w:rPr>
              <w:fldChar w:fldCharType="begin"/>
            </w:r>
            <w:r>
              <w:rPr>
                <w:noProof/>
                <w:webHidden/>
              </w:rPr>
              <w:instrText xml:space="preserve"> PAGEREF _Toc226361719 \h </w:instrText>
            </w:r>
            <w:r>
              <w:rPr>
                <w:noProof/>
                <w:webHidden/>
              </w:rPr>
            </w:r>
            <w:r>
              <w:rPr>
                <w:noProof/>
                <w:webHidden/>
              </w:rPr>
              <w:fldChar w:fldCharType="separate"/>
            </w:r>
            <w:r>
              <w:rPr>
                <w:noProof/>
                <w:webHidden/>
              </w:rPr>
              <w:t>9</w:t>
            </w:r>
            <w:r>
              <w:rPr>
                <w:noProof/>
                <w:webHidden/>
              </w:rPr>
              <w:fldChar w:fldCharType="end"/>
            </w:r>
          </w:hyperlink>
        </w:p>
        <w:p w14:paraId="26674CFC" w14:textId="11359009" w:rsidR="00AF7536" w:rsidRDefault="00AF7536">
          <w:pPr>
            <w:pStyle w:val="TOC2"/>
            <w:tabs>
              <w:tab w:val="right" w:leader="dot" w:pos="9350"/>
            </w:tabs>
            <w:rPr>
              <w:rFonts w:asciiTheme="minorHAnsi" w:eastAsiaTheme="minorEastAsia" w:hAnsiTheme="minorHAnsi"/>
              <w:noProof/>
              <w:sz w:val="24"/>
            </w:rPr>
          </w:pPr>
          <w:hyperlink w:anchor="_Toc226361720" w:history="1">
            <w:r w:rsidRPr="00626F03">
              <w:rPr>
                <w:rStyle w:val="Hyperlink"/>
                <w:rFonts w:cs="Arial"/>
                <w:noProof/>
              </w:rPr>
              <w:t>Zero-Emissions Rebates for Oregon Fleets</w:t>
            </w:r>
            <w:r>
              <w:rPr>
                <w:noProof/>
                <w:webHidden/>
              </w:rPr>
              <w:tab/>
            </w:r>
            <w:r>
              <w:rPr>
                <w:noProof/>
                <w:webHidden/>
              </w:rPr>
              <w:fldChar w:fldCharType="begin"/>
            </w:r>
            <w:r>
              <w:rPr>
                <w:noProof/>
                <w:webHidden/>
              </w:rPr>
              <w:instrText xml:space="preserve"> PAGEREF _Toc226361720 \h </w:instrText>
            </w:r>
            <w:r>
              <w:rPr>
                <w:noProof/>
                <w:webHidden/>
              </w:rPr>
            </w:r>
            <w:r>
              <w:rPr>
                <w:noProof/>
                <w:webHidden/>
              </w:rPr>
              <w:fldChar w:fldCharType="separate"/>
            </w:r>
            <w:r>
              <w:rPr>
                <w:noProof/>
                <w:webHidden/>
              </w:rPr>
              <w:t>9</w:t>
            </w:r>
            <w:r>
              <w:rPr>
                <w:noProof/>
                <w:webHidden/>
              </w:rPr>
              <w:fldChar w:fldCharType="end"/>
            </w:r>
          </w:hyperlink>
        </w:p>
        <w:p w14:paraId="640121EE" w14:textId="037DFC28" w:rsidR="00AF7536" w:rsidRDefault="00AF7536">
          <w:pPr>
            <w:pStyle w:val="TOC3"/>
            <w:tabs>
              <w:tab w:val="right" w:leader="dot" w:pos="9350"/>
            </w:tabs>
            <w:rPr>
              <w:rFonts w:asciiTheme="minorHAnsi" w:eastAsiaTheme="minorEastAsia" w:hAnsiTheme="minorHAnsi"/>
              <w:noProof/>
              <w:sz w:val="24"/>
            </w:rPr>
          </w:pPr>
          <w:hyperlink w:anchor="_Toc226361721" w:history="1">
            <w:r w:rsidRPr="00626F03">
              <w:rPr>
                <w:rStyle w:val="Hyperlink"/>
                <w:rFonts w:cs="Arial"/>
                <w:noProof/>
              </w:rPr>
              <w:t>ZERO Fleet - Rule clarity</w:t>
            </w:r>
            <w:r>
              <w:rPr>
                <w:noProof/>
                <w:webHidden/>
              </w:rPr>
              <w:tab/>
            </w:r>
            <w:r>
              <w:rPr>
                <w:noProof/>
                <w:webHidden/>
              </w:rPr>
              <w:fldChar w:fldCharType="begin"/>
            </w:r>
            <w:r>
              <w:rPr>
                <w:noProof/>
                <w:webHidden/>
              </w:rPr>
              <w:instrText xml:space="preserve"> PAGEREF _Toc226361721 \h </w:instrText>
            </w:r>
            <w:r>
              <w:rPr>
                <w:noProof/>
                <w:webHidden/>
              </w:rPr>
            </w:r>
            <w:r>
              <w:rPr>
                <w:noProof/>
                <w:webHidden/>
              </w:rPr>
              <w:fldChar w:fldCharType="separate"/>
            </w:r>
            <w:r>
              <w:rPr>
                <w:noProof/>
                <w:webHidden/>
              </w:rPr>
              <w:t>9</w:t>
            </w:r>
            <w:r>
              <w:rPr>
                <w:noProof/>
                <w:webHidden/>
              </w:rPr>
              <w:fldChar w:fldCharType="end"/>
            </w:r>
          </w:hyperlink>
        </w:p>
        <w:p w14:paraId="1A7FA51E" w14:textId="7D9674BF" w:rsidR="00AF7536" w:rsidRDefault="00AF7536">
          <w:pPr>
            <w:pStyle w:val="TOC3"/>
            <w:tabs>
              <w:tab w:val="right" w:leader="dot" w:pos="9350"/>
            </w:tabs>
            <w:rPr>
              <w:rFonts w:asciiTheme="minorHAnsi" w:eastAsiaTheme="minorEastAsia" w:hAnsiTheme="minorHAnsi"/>
              <w:noProof/>
              <w:sz w:val="24"/>
            </w:rPr>
          </w:pPr>
          <w:hyperlink w:anchor="_Toc226361722" w:history="1">
            <w:r w:rsidRPr="00626F03">
              <w:rPr>
                <w:rStyle w:val="Hyperlink"/>
                <w:rFonts w:cs="Arial"/>
                <w:bCs/>
                <w:noProof/>
              </w:rPr>
              <w:t>How will DEQ know the rule addressed the need?</w:t>
            </w:r>
            <w:r>
              <w:rPr>
                <w:noProof/>
                <w:webHidden/>
              </w:rPr>
              <w:tab/>
            </w:r>
            <w:r>
              <w:rPr>
                <w:noProof/>
                <w:webHidden/>
              </w:rPr>
              <w:fldChar w:fldCharType="begin"/>
            </w:r>
            <w:r>
              <w:rPr>
                <w:noProof/>
                <w:webHidden/>
              </w:rPr>
              <w:instrText xml:space="preserve"> PAGEREF _Toc226361722 \h </w:instrText>
            </w:r>
            <w:r>
              <w:rPr>
                <w:noProof/>
                <w:webHidden/>
              </w:rPr>
            </w:r>
            <w:r>
              <w:rPr>
                <w:noProof/>
                <w:webHidden/>
              </w:rPr>
              <w:fldChar w:fldCharType="separate"/>
            </w:r>
            <w:r>
              <w:rPr>
                <w:noProof/>
                <w:webHidden/>
              </w:rPr>
              <w:t>10</w:t>
            </w:r>
            <w:r>
              <w:rPr>
                <w:noProof/>
                <w:webHidden/>
              </w:rPr>
              <w:fldChar w:fldCharType="end"/>
            </w:r>
          </w:hyperlink>
        </w:p>
        <w:p w14:paraId="2DEE3AD4" w14:textId="6192EA52" w:rsidR="00AF7536" w:rsidRDefault="00AF7536">
          <w:pPr>
            <w:pStyle w:val="TOC3"/>
            <w:tabs>
              <w:tab w:val="right" w:leader="dot" w:pos="9350"/>
            </w:tabs>
            <w:rPr>
              <w:rFonts w:asciiTheme="minorHAnsi" w:eastAsiaTheme="minorEastAsia" w:hAnsiTheme="minorHAnsi"/>
              <w:noProof/>
              <w:sz w:val="24"/>
            </w:rPr>
          </w:pPr>
          <w:hyperlink w:anchor="_Toc226361723" w:history="1">
            <w:r w:rsidRPr="00626F03">
              <w:rPr>
                <w:rStyle w:val="Hyperlink"/>
                <w:rFonts w:cs="Arial"/>
                <w:noProof/>
              </w:rPr>
              <w:t>ZERO Fleet - Rebate flexibility</w:t>
            </w:r>
            <w:r>
              <w:rPr>
                <w:noProof/>
                <w:webHidden/>
              </w:rPr>
              <w:tab/>
            </w:r>
            <w:r>
              <w:rPr>
                <w:noProof/>
                <w:webHidden/>
              </w:rPr>
              <w:fldChar w:fldCharType="begin"/>
            </w:r>
            <w:r>
              <w:rPr>
                <w:noProof/>
                <w:webHidden/>
              </w:rPr>
              <w:instrText xml:space="preserve"> PAGEREF _Toc226361723 \h </w:instrText>
            </w:r>
            <w:r>
              <w:rPr>
                <w:noProof/>
                <w:webHidden/>
              </w:rPr>
            </w:r>
            <w:r>
              <w:rPr>
                <w:noProof/>
                <w:webHidden/>
              </w:rPr>
              <w:fldChar w:fldCharType="separate"/>
            </w:r>
            <w:r>
              <w:rPr>
                <w:noProof/>
                <w:webHidden/>
              </w:rPr>
              <w:t>10</w:t>
            </w:r>
            <w:r>
              <w:rPr>
                <w:noProof/>
                <w:webHidden/>
              </w:rPr>
              <w:fldChar w:fldCharType="end"/>
            </w:r>
          </w:hyperlink>
        </w:p>
        <w:p w14:paraId="2753A312" w14:textId="5CB04851" w:rsidR="00AF7536" w:rsidRDefault="00AF7536">
          <w:pPr>
            <w:pStyle w:val="TOC3"/>
            <w:tabs>
              <w:tab w:val="right" w:leader="dot" w:pos="9350"/>
            </w:tabs>
            <w:rPr>
              <w:rFonts w:asciiTheme="minorHAnsi" w:eastAsiaTheme="minorEastAsia" w:hAnsiTheme="minorHAnsi"/>
              <w:noProof/>
              <w:sz w:val="24"/>
            </w:rPr>
          </w:pPr>
          <w:hyperlink w:anchor="_Toc226361724" w:history="1">
            <w:r w:rsidRPr="00626F03">
              <w:rPr>
                <w:rStyle w:val="Hyperlink"/>
                <w:rFonts w:cs="Arial"/>
                <w:bCs/>
                <w:noProof/>
              </w:rPr>
              <w:t>How will DEQ know the rule addressed the need?</w:t>
            </w:r>
            <w:r>
              <w:rPr>
                <w:noProof/>
                <w:webHidden/>
              </w:rPr>
              <w:tab/>
            </w:r>
            <w:r>
              <w:rPr>
                <w:noProof/>
                <w:webHidden/>
              </w:rPr>
              <w:fldChar w:fldCharType="begin"/>
            </w:r>
            <w:r>
              <w:rPr>
                <w:noProof/>
                <w:webHidden/>
              </w:rPr>
              <w:instrText xml:space="preserve"> PAGEREF _Toc226361724 \h </w:instrText>
            </w:r>
            <w:r>
              <w:rPr>
                <w:noProof/>
                <w:webHidden/>
              </w:rPr>
            </w:r>
            <w:r>
              <w:rPr>
                <w:noProof/>
                <w:webHidden/>
              </w:rPr>
              <w:fldChar w:fldCharType="separate"/>
            </w:r>
            <w:r>
              <w:rPr>
                <w:noProof/>
                <w:webHidden/>
              </w:rPr>
              <w:t>11</w:t>
            </w:r>
            <w:r>
              <w:rPr>
                <w:noProof/>
                <w:webHidden/>
              </w:rPr>
              <w:fldChar w:fldCharType="end"/>
            </w:r>
          </w:hyperlink>
        </w:p>
        <w:p w14:paraId="4EA3AB07" w14:textId="4CED4C01" w:rsidR="00AF7536" w:rsidRDefault="00AF7536">
          <w:pPr>
            <w:pStyle w:val="TOC1"/>
            <w:tabs>
              <w:tab w:val="right" w:leader="dot" w:pos="9350"/>
            </w:tabs>
            <w:rPr>
              <w:rFonts w:asciiTheme="minorHAnsi" w:eastAsiaTheme="minorEastAsia" w:hAnsiTheme="minorHAnsi"/>
              <w:noProof/>
              <w:sz w:val="24"/>
            </w:rPr>
          </w:pPr>
          <w:hyperlink w:anchor="_Toc226361725" w:history="1">
            <w:r w:rsidRPr="00626F03">
              <w:rPr>
                <w:rStyle w:val="Hyperlink"/>
                <w:noProof/>
              </w:rPr>
              <w:t>Federal relationship</w:t>
            </w:r>
            <w:r>
              <w:rPr>
                <w:noProof/>
                <w:webHidden/>
              </w:rPr>
              <w:tab/>
            </w:r>
            <w:r>
              <w:rPr>
                <w:noProof/>
                <w:webHidden/>
              </w:rPr>
              <w:fldChar w:fldCharType="begin"/>
            </w:r>
            <w:r>
              <w:rPr>
                <w:noProof/>
                <w:webHidden/>
              </w:rPr>
              <w:instrText xml:space="preserve"> PAGEREF _Toc226361725 \h </w:instrText>
            </w:r>
            <w:r>
              <w:rPr>
                <w:noProof/>
                <w:webHidden/>
              </w:rPr>
            </w:r>
            <w:r>
              <w:rPr>
                <w:noProof/>
                <w:webHidden/>
              </w:rPr>
              <w:fldChar w:fldCharType="separate"/>
            </w:r>
            <w:r>
              <w:rPr>
                <w:noProof/>
                <w:webHidden/>
              </w:rPr>
              <w:t>12</w:t>
            </w:r>
            <w:r>
              <w:rPr>
                <w:noProof/>
                <w:webHidden/>
              </w:rPr>
              <w:fldChar w:fldCharType="end"/>
            </w:r>
          </w:hyperlink>
        </w:p>
        <w:p w14:paraId="77E4FBF0" w14:textId="2776D15C" w:rsidR="00AF7536" w:rsidRDefault="00AF7536">
          <w:pPr>
            <w:pStyle w:val="TOC2"/>
            <w:tabs>
              <w:tab w:val="right" w:leader="dot" w:pos="9350"/>
            </w:tabs>
            <w:rPr>
              <w:rFonts w:asciiTheme="minorHAnsi" w:eastAsiaTheme="minorEastAsia" w:hAnsiTheme="minorHAnsi"/>
              <w:noProof/>
              <w:sz w:val="24"/>
            </w:rPr>
          </w:pPr>
          <w:hyperlink w:anchor="_Toc226361726" w:history="1">
            <w:r w:rsidRPr="00626F03">
              <w:rPr>
                <w:rStyle w:val="Hyperlink"/>
                <w:noProof/>
              </w:rPr>
              <w:t>What are the scientific, economic, technological, administrative and other reasons for exceeding applicable federal requirements?</w:t>
            </w:r>
            <w:r>
              <w:rPr>
                <w:noProof/>
                <w:webHidden/>
              </w:rPr>
              <w:tab/>
            </w:r>
            <w:r>
              <w:rPr>
                <w:noProof/>
                <w:webHidden/>
              </w:rPr>
              <w:fldChar w:fldCharType="begin"/>
            </w:r>
            <w:r>
              <w:rPr>
                <w:noProof/>
                <w:webHidden/>
              </w:rPr>
              <w:instrText xml:space="preserve"> PAGEREF _Toc226361726 \h </w:instrText>
            </w:r>
            <w:r>
              <w:rPr>
                <w:noProof/>
                <w:webHidden/>
              </w:rPr>
            </w:r>
            <w:r>
              <w:rPr>
                <w:noProof/>
                <w:webHidden/>
              </w:rPr>
              <w:fldChar w:fldCharType="separate"/>
            </w:r>
            <w:r>
              <w:rPr>
                <w:noProof/>
                <w:webHidden/>
              </w:rPr>
              <w:t>12</w:t>
            </w:r>
            <w:r>
              <w:rPr>
                <w:noProof/>
                <w:webHidden/>
              </w:rPr>
              <w:fldChar w:fldCharType="end"/>
            </w:r>
          </w:hyperlink>
        </w:p>
        <w:p w14:paraId="26A22292" w14:textId="077C9AD5" w:rsidR="00AF7536" w:rsidRDefault="00AF7536">
          <w:pPr>
            <w:pStyle w:val="TOC2"/>
            <w:tabs>
              <w:tab w:val="right" w:leader="dot" w:pos="9350"/>
            </w:tabs>
            <w:rPr>
              <w:rFonts w:asciiTheme="minorHAnsi" w:eastAsiaTheme="minorEastAsia" w:hAnsiTheme="minorHAnsi"/>
              <w:noProof/>
              <w:sz w:val="24"/>
            </w:rPr>
          </w:pPr>
          <w:hyperlink w:anchor="_Toc226361727" w:history="1">
            <w:r w:rsidRPr="00626F03">
              <w:rPr>
                <w:rStyle w:val="Hyperlink"/>
                <w:noProof/>
              </w:rPr>
              <w:t>What alternatives did DEQ consider and why are you not pursuing them?</w:t>
            </w:r>
            <w:r>
              <w:rPr>
                <w:noProof/>
                <w:webHidden/>
              </w:rPr>
              <w:tab/>
            </w:r>
            <w:r>
              <w:rPr>
                <w:noProof/>
                <w:webHidden/>
              </w:rPr>
              <w:fldChar w:fldCharType="begin"/>
            </w:r>
            <w:r>
              <w:rPr>
                <w:noProof/>
                <w:webHidden/>
              </w:rPr>
              <w:instrText xml:space="preserve"> PAGEREF _Toc226361727 \h </w:instrText>
            </w:r>
            <w:r>
              <w:rPr>
                <w:noProof/>
                <w:webHidden/>
              </w:rPr>
            </w:r>
            <w:r>
              <w:rPr>
                <w:noProof/>
                <w:webHidden/>
              </w:rPr>
              <w:fldChar w:fldCharType="separate"/>
            </w:r>
            <w:r>
              <w:rPr>
                <w:noProof/>
                <w:webHidden/>
              </w:rPr>
              <w:t>12</w:t>
            </w:r>
            <w:r>
              <w:rPr>
                <w:noProof/>
                <w:webHidden/>
              </w:rPr>
              <w:fldChar w:fldCharType="end"/>
            </w:r>
          </w:hyperlink>
        </w:p>
        <w:p w14:paraId="35150299" w14:textId="5DA5FB81" w:rsidR="00AF7536" w:rsidRDefault="00AF7536">
          <w:pPr>
            <w:pStyle w:val="TOC1"/>
            <w:tabs>
              <w:tab w:val="right" w:leader="dot" w:pos="9350"/>
            </w:tabs>
            <w:rPr>
              <w:rFonts w:asciiTheme="minorHAnsi" w:eastAsiaTheme="minorEastAsia" w:hAnsiTheme="minorHAnsi"/>
              <w:noProof/>
              <w:sz w:val="24"/>
            </w:rPr>
          </w:pPr>
          <w:hyperlink w:anchor="_Toc226361728" w:history="1">
            <w:r w:rsidRPr="00626F03">
              <w:rPr>
                <w:rStyle w:val="Hyperlink"/>
                <w:noProof/>
              </w:rPr>
              <w:t>Rules affected, authorities, supporting documents</w:t>
            </w:r>
            <w:r>
              <w:rPr>
                <w:noProof/>
                <w:webHidden/>
              </w:rPr>
              <w:tab/>
            </w:r>
            <w:r>
              <w:rPr>
                <w:noProof/>
                <w:webHidden/>
              </w:rPr>
              <w:fldChar w:fldCharType="begin"/>
            </w:r>
            <w:r>
              <w:rPr>
                <w:noProof/>
                <w:webHidden/>
              </w:rPr>
              <w:instrText xml:space="preserve"> PAGEREF _Toc226361728 \h </w:instrText>
            </w:r>
            <w:r>
              <w:rPr>
                <w:noProof/>
                <w:webHidden/>
              </w:rPr>
            </w:r>
            <w:r>
              <w:rPr>
                <w:noProof/>
                <w:webHidden/>
              </w:rPr>
              <w:fldChar w:fldCharType="separate"/>
            </w:r>
            <w:r>
              <w:rPr>
                <w:noProof/>
                <w:webHidden/>
              </w:rPr>
              <w:t>13</w:t>
            </w:r>
            <w:r>
              <w:rPr>
                <w:noProof/>
                <w:webHidden/>
              </w:rPr>
              <w:fldChar w:fldCharType="end"/>
            </w:r>
          </w:hyperlink>
        </w:p>
        <w:p w14:paraId="02116CF8" w14:textId="18441AE7" w:rsidR="00AF7536" w:rsidRDefault="00AF7536">
          <w:pPr>
            <w:pStyle w:val="TOC2"/>
            <w:tabs>
              <w:tab w:val="right" w:leader="dot" w:pos="9350"/>
            </w:tabs>
            <w:rPr>
              <w:rFonts w:asciiTheme="minorHAnsi" w:eastAsiaTheme="minorEastAsia" w:hAnsiTheme="minorHAnsi"/>
              <w:noProof/>
              <w:sz w:val="24"/>
            </w:rPr>
          </w:pPr>
          <w:hyperlink w:anchor="_Toc226361729" w:history="1">
            <w:r w:rsidRPr="00626F03">
              <w:rPr>
                <w:rStyle w:val="Hyperlink"/>
                <w:rFonts w:cs="Arial"/>
                <w:noProof/>
              </w:rPr>
              <w:t>Lead division</w:t>
            </w:r>
            <w:r>
              <w:rPr>
                <w:noProof/>
                <w:webHidden/>
              </w:rPr>
              <w:tab/>
            </w:r>
            <w:r>
              <w:rPr>
                <w:noProof/>
                <w:webHidden/>
              </w:rPr>
              <w:fldChar w:fldCharType="begin"/>
            </w:r>
            <w:r>
              <w:rPr>
                <w:noProof/>
                <w:webHidden/>
              </w:rPr>
              <w:instrText xml:space="preserve"> PAGEREF _Toc226361729 \h </w:instrText>
            </w:r>
            <w:r>
              <w:rPr>
                <w:noProof/>
                <w:webHidden/>
              </w:rPr>
            </w:r>
            <w:r>
              <w:rPr>
                <w:noProof/>
                <w:webHidden/>
              </w:rPr>
              <w:fldChar w:fldCharType="separate"/>
            </w:r>
            <w:r>
              <w:rPr>
                <w:noProof/>
                <w:webHidden/>
              </w:rPr>
              <w:t>13</w:t>
            </w:r>
            <w:r>
              <w:rPr>
                <w:noProof/>
                <w:webHidden/>
              </w:rPr>
              <w:fldChar w:fldCharType="end"/>
            </w:r>
          </w:hyperlink>
        </w:p>
        <w:p w14:paraId="718E2136" w14:textId="3EE829BD" w:rsidR="00AF7536" w:rsidRDefault="00AF7536">
          <w:pPr>
            <w:pStyle w:val="TOC2"/>
            <w:tabs>
              <w:tab w:val="right" w:leader="dot" w:pos="9350"/>
            </w:tabs>
            <w:rPr>
              <w:rFonts w:asciiTheme="minorHAnsi" w:eastAsiaTheme="minorEastAsia" w:hAnsiTheme="minorHAnsi"/>
              <w:noProof/>
              <w:sz w:val="24"/>
            </w:rPr>
          </w:pPr>
          <w:hyperlink w:anchor="_Toc226361730" w:history="1">
            <w:r w:rsidRPr="00626F03">
              <w:rPr>
                <w:rStyle w:val="Hyperlink"/>
                <w:rFonts w:cs="Arial"/>
                <w:noProof/>
              </w:rPr>
              <w:t>Program or activity</w:t>
            </w:r>
            <w:r>
              <w:rPr>
                <w:noProof/>
                <w:webHidden/>
              </w:rPr>
              <w:tab/>
            </w:r>
            <w:r>
              <w:rPr>
                <w:noProof/>
                <w:webHidden/>
              </w:rPr>
              <w:fldChar w:fldCharType="begin"/>
            </w:r>
            <w:r>
              <w:rPr>
                <w:noProof/>
                <w:webHidden/>
              </w:rPr>
              <w:instrText xml:space="preserve"> PAGEREF _Toc226361730 \h </w:instrText>
            </w:r>
            <w:r>
              <w:rPr>
                <w:noProof/>
                <w:webHidden/>
              </w:rPr>
            </w:r>
            <w:r>
              <w:rPr>
                <w:noProof/>
                <w:webHidden/>
              </w:rPr>
              <w:fldChar w:fldCharType="separate"/>
            </w:r>
            <w:r>
              <w:rPr>
                <w:noProof/>
                <w:webHidden/>
              </w:rPr>
              <w:t>13</w:t>
            </w:r>
            <w:r>
              <w:rPr>
                <w:noProof/>
                <w:webHidden/>
              </w:rPr>
              <w:fldChar w:fldCharType="end"/>
            </w:r>
          </w:hyperlink>
        </w:p>
        <w:p w14:paraId="749CFA85" w14:textId="7780694A" w:rsidR="00AF7536" w:rsidRDefault="00AF7536">
          <w:pPr>
            <w:pStyle w:val="TOC2"/>
            <w:tabs>
              <w:tab w:val="right" w:leader="dot" w:pos="9350"/>
            </w:tabs>
            <w:rPr>
              <w:rFonts w:asciiTheme="minorHAnsi" w:eastAsiaTheme="minorEastAsia" w:hAnsiTheme="minorHAnsi"/>
              <w:noProof/>
              <w:sz w:val="24"/>
            </w:rPr>
          </w:pPr>
          <w:hyperlink w:anchor="_Toc226361731" w:history="1">
            <w:r w:rsidRPr="00626F03">
              <w:rPr>
                <w:rStyle w:val="Hyperlink"/>
                <w:rFonts w:cs="Arial"/>
                <w:noProof/>
              </w:rPr>
              <w:t>Chapter 340 action</w:t>
            </w:r>
            <w:r>
              <w:rPr>
                <w:noProof/>
                <w:webHidden/>
              </w:rPr>
              <w:tab/>
            </w:r>
            <w:r>
              <w:rPr>
                <w:noProof/>
                <w:webHidden/>
              </w:rPr>
              <w:fldChar w:fldCharType="begin"/>
            </w:r>
            <w:r>
              <w:rPr>
                <w:noProof/>
                <w:webHidden/>
              </w:rPr>
              <w:instrText xml:space="preserve"> PAGEREF _Toc226361731 \h </w:instrText>
            </w:r>
            <w:r>
              <w:rPr>
                <w:noProof/>
                <w:webHidden/>
              </w:rPr>
            </w:r>
            <w:r>
              <w:rPr>
                <w:noProof/>
                <w:webHidden/>
              </w:rPr>
              <w:fldChar w:fldCharType="separate"/>
            </w:r>
            <w:r>
              <w:rPr>
                <w:noProof/>
                <w:webHidden/>
              </w:rPr>
              <w:t>13</w:t>
            </w:r>
            <w:r>
              <w:rPr>
                <w:noProof/>
                <w:webHidden/>
              </w:rPr>
              <w:fldChar w:fldCharType="end"/>
            </w:r>
          </w:hyperlink>
        </w:p>
        <w:p w14:paraId="4543B26F" w14:textId="7D38F941" w:rsidR="00AF7536" w:rsidRDefault="00AF7536">
          <w:pPr>
            <w:pStyle w:val="TOC3"/>
            <w:tabs>
              <w:tab w:val="right" w:leader="dot" w:pos="9350"/>
            </w:tabs>
            <w:rPr>
              <w:rFonts w:asciiTheme="minorHAnsi" w:eastAsiaTheme="minorEastAsia" w:hAnsiTheme="minorHAnsi"/>
              <w:noProof/>
              <w:sz w:val="24"/>
            </w:rPr>
          </w:pPr>
          <w:hyperlink w:anchor="_Toc226361732" w:history="1">
            <w:r w:rsidRPr="00626F03">
              <w:rPr>
                <w:rStyle w:val="Hyperlink"/>
                <w:noProof/>
              </w:rPr>
              <w:t>Amend</w:t>
            </w:r>
            <w:r>
              <w:rPr>
                <w:noProof/>
                <w:webHidden/>
              </w:rPr>
              <w:tab/>
            </w:r>
            <w:r>
              <w:rPr>
                <w:noProof/>
                <w:webHidden/>
              </w:rPr>
              <w:fldChar w:fldCharType="begin"/>
            </w:r>
            <w:r>
              <w:rPr>
                <w:noProof/>
                <w:webHidden/>
              </w:rPr>
              <w:instrText xml:space="preserve"> PAGEREF _Toc226361732 \h </w:instrText>
            </w:r>
            <w:r>
              <w:rPr>
                <w:noProof/>
                <w:webHidden/>
              </w:rPr>
            </w:r>
            <w:r>
              <w:rPr>
                <w:noProof/>
                <w:webHidden/>
              </w:rPr>
              <w:fldChar w:fldCharType="separate"/>
            </w:r>
            <w:r>
              <w:rPr>
                <w:noProof/>
                <w:webHidden/>
              </w:rPr>
              <w:t>13</w:t>
            </w:r>
            <w:r>
              <w:rPr>
                <w:noProof/>
                <w:webHidden/>
              </w:rPr>
              <w:fldChar w:fldCharType="end"/>
            </w:r>
          </w:hyperlink>
        </w:p>
        <w:p w14:paraId="51211860" w14:textId="7B6669BC" w:rsidR="00AF7536" w:rsidRDefault="00AF7536">
          <w:pPr>
            <w:pStyle w:val="TOC3"/>
            <w:tabs>
              <w:tab w:val="right" w:leader="dot" w:pos="9350"/>
            </w:tabs>
            <w:rPr>
              <w:rFonts w:asciiTheme="minorHAnsi" w:eastAsiaTheme="minorEastAsia" w:hAnsiTheme="minorHAnsi"/>
              <w:noProof/>
              <w:sz w:val="24"/>
            </w:rPr>
          </w:pPr>
          <w:hyperlink w:anchor="_Toc226361733" w:history="1">
            <w:r w:rsidRPr="00626F03">
              <w:rPr>
                <w:rStyle w:val="Hyperlink"/>
                <w:noProof/>
              </w:rPr>
              <w:t>Statutory authority - ORS</w:t>
            </w:r>
            <w:r>
              <w:rPr>
                <w:noProof/>
                <w:webHidden/>
              </w:rPr>
              <w:tab/>
            </w:r>
            <w:r>
              <w:rPr>
                <w:noProof/>
                <w:webHidden/>
              </w:rPr>
              <w:fldChar w:fldCharType="begin"/>
            </w:r>
            <w:r>
              <w:rPr>
                <w:noProof/>
                <w:webHidden/>
              </w:rPr>
              <w:instrText xml:space="preserve"> PAGEREF _Toc226361733 \h </w:instrText>
            </w:r>
            <w:r>
              <w:rPr>
                <w:noProof/>
                <w:webHidden/>
              </w:rPr>
            </w:r>
            <w:r>
              <w:rPr>
                <w:noProof/>
                <w:webHidden/>
              </w:rPr>
              <w:fldChar w:fldCharType="separate"/>
            </w:r>
            <w:r>
              <w:rPr>
                <w:noProof/>
                <w:webHidden/>
              </w:rPr>
              <w:t>13</w:t>
            </w:r>
            <w:r>
              <w:rPr>
                <w:noProof/>
                <w:webHidden/>
              </w:rPr>
              <w:fldChar w:fldCharType="end"/>
            </w:r>
          </w:hyperlink>
        </w:p>
        <w:p w14:paraId="7DB102B9" w14:textId="6BAA0BE6" w:rsidR="00AF7536" w:rsidRDefault="00AF7536">
          <w:pPr>
            <w:pStyle w:val="TOC3"/>
            <w:tabs>
              <w:tab w:val="right" w:leader="dot" w:pos="9350"/>
            </w:tabs>
            <w:rPr>
              <w:rFonts w:asciiTheme="minorHAnsi" w:eastAsiaTheme="minorEastAsia" w:hAnsiTheme="minorHAnsi"/>
              <w:noProof/>
              <w:sz w:val="24"/>
            </w:rPr>
          </w:pPr>
          <w:hyperlink w:anchor="_Toc226361734" w:history="1">
            <w:r w:rsidRPr="00626F03">
              <w:rPr>
                <w:rStyle w:val="Hyperlink"/>
                <w:noProof/>
              </w:rPr>
              <w:t>Statutes implemented - ORS</w:t>
            </w:r>
            <w:r>
              <w:rPr>
                <w:noProof/>
                <w:webHidden/>
              </w:rPr>
              <w:tab/>
            </w:r>
            <w:r>
              <w:rPr>
                <w:noProof/>
                <w:webHidden/>
              </w:rPr>
              <w:fldChar w:fldCharType="begin"/>
            </w:r>
            <w:r>
              <w:rPr>
                <w:noProof/>
                <w:webHidden/>
              </w:rPr>
              <w:instrText xml:space="preserve"> PAGEREF _Toc226361734 \h </w:instrText>
            </w:r>
            <w:r>
              <w:rPr>
                <w:noProof/>
                <w:webHidden/>
              </w:rPr>
            </w:r>
            <w:r>
              <w:rPr>
                <w:noProof/>
                <w:webHidden/>
              </w:rPr>
              <w:fldChar w:fldCharType="separate"/>
            </w:r>
            <w:r>
              <w:rPr>
                <w:noProof/>
                <w:webHidden/>
              </w:rPr>
              <w:t>13</w:t>
            </w:r>
            <w:r>
              <w:rPr>
                <w:noProof/>
                <w:webHidden/>
              </w:rPr>
              <w:fldChar w:fldCharType="end"/>
            </w:r>
          </w:hyperlink>
        </w:p>
        <w:p w14:paraId="0AC269F9" w14:textId="49EE1943" w:rsidR="00AF7536" w:rsidRDefault="00AF7536">
          <w:pPr>
            <w:pStyle w:val="TOC2"/>
            <w:tabs>
              <w:tab w:val="right" w:leader="dot" w:pos="9350"/>
            </w:tabs>
            <w:rPr>
              <w:rFonts w:asciiTheme="minorHAnsi" w:eastAsiaTheme="minorEastAsia" w:hAnsiTheme="minorHAnsi"/>
              <w:noProof/>
              <w:sz w:val="24"/>
            </w:rPr>
          </w:pPr>
          <w:hyperlink w:anchor="_Toc226361735" w:history="1">
            <w:r w:rsidRPr="00626F03">
              <w:rPr>
                <w:rStyle w:val="Hyperlink"/>
                <w:rFonts w:cs="Arial"/>
                <w:noProof/>
              </w:rPr>
              <w:t>Legislation</w:t>
            </w:r>
            <w:r>
              <w:rPr>
                <w:noProof/>
                <w:webHidden/>
              </w:rPr>
              <w:tab/>
            </w:r>
            <w:r>
              <w:rPr>
                <w:noProof/>
                <w:webHidden/>
              </w:rPr>
              <w:fldChar w:fldCharType="begin"/>
            </w:r>
            <w:r>
              <w:rPr>
                <w:noProof/>
                <w:webHidden/>
              </w:rPr>
              <w:instrText xml:space="preserve"> PAGEREF _Toc226361735 \h </w:instrText>
            </w:r>
            <w:r>
              <w:rPr>
                <w:noProof/>
                <w:webHidden/>
              </w:rPr>
            </w:r>
            <w:r>
              <w:rPr>
                <w:noProof/>
                <w:webHidden/>
              </w:rPr>
              <w:fldChar w:fldCharType="separate"/>
            </w:r>
            <w:r>
              <w:rPr>
                <w:noProof/>
                <w:webHidden/>
              </w:rPr>
              <w:t>13</w:t>
            </w:r>
            <w:r>
              <w:rPr>
                <w:noProof/>
                <w:webHidden/>
              </w:rPr>
              <w:fldChar w:fldCharType="end"/>
            </w:r>
          </w:hyperlink>
        </w:p>
        <w:p w14:paraId="5F68252F" w14:textId="53AEAADD" w:rsidR="00AF7536" w:rsidRDefault="00AF7536">
          <w:pPr>
            <w:pStyle w:val="TOC1"/>
            <w:tabs>
              <w:tab w:val="right" w:leader="dot" w:pos="9350"/>
            </w:tabs>
            <w:rPr>
              <w:rFonts w:asciiTheme="minorHAnsi" w:eastAsiaTheme="minorEastAsia" w:hAnsiTheme="minorHAnsi"/>
              <w:noProof/>
              <w:sz w:val="24"/>
            </w:rPr>
          </w:pPr>
          <w:hyperlink w:anchor="_Toc226361736" w:history="1">
            <w:r w:rsidRPr="00626F03">
              <w:rPr>
                <w:rStyle w:val="Hyperlink"/>
                <w:noProof/>
              </w:rPr>
              <w:t>Documents relied on for rulemaking</w:t>
            </w:r>
            <w:r>
              <w:rPr>
                <w:noProof/>
                <w:webHidden/>
              </w:rPr>
              <w:tab/>
            </w:r>
            <w:r>
              <w:rPr>
                <w:noProof/>
                <w:webHidden/>
              </w:rPr>
              <w:fldChar w:fldCharType="begin"/>
            </w:r>
            <w:r>
              <w:rPr>
                <w:noProof/>
                <w:webHidden/>
              </w:rPr>
              <w:instrText xml:space="preserve"> PAGEREF _Toc226361736 \h </w:instrText>
            </w:r>
            <w:r>
              <w:rPr>
                <w:noProof/>
                <w:webHidden/>
              </w:rPr>
            </w:r>
            <w:r>
              <w:rPr>
                <w:noProof/>
                <w:webHidden/>
              </w:rPr>
              <w:fldChar w:fldCharType="separate"/>
            </w:r>
            <w:r>
              <w:rPr>
                <w:noProof/>
                <w:webHidden/>
              </w:rPr>
              <w:t>13</w:t>
            </w:r>
            <w:r>
              <w:rPr>
                <w:noProof/>
                <w:webHidden/>
              </w:rPr>
              <w:fldChar w:fldCharType="end"/>
            </w:r>
          </w:hyperlink>
        </w:p>
        <w:p w14:paraId="396770F7" w14:textId="4E704A4F" w:rsidR="00AF7536" w:rsidRDefault="00AF7536">
          <w:pPr>
            <w:pStyle w:val="TOC1"/>
            <w:tabs>
              <w:tab w:val="right" w:leader="dot" w:pos="9350"/>
            </w:tabs>
            <w:rPr>
              <w:rFonts w:asciiTheme="minorHAnsi" w:eastAsiaTheme="minorEastAsia" w:hAnsiTheme="minorHAnsi"/>
              <w:noProof/>
              <w:sz w:val="24"/>
            </w:rPr>
          </w:pPr>
          <w:hyperlink w:anchor="_Toc226361737" w:history="1">
            <w:r w:rsidRPr="00626F03">
              <w:rPr>
                <w:rStyle w:val="Hyperlink"/>
                <w:noProof/>
              </w:rPr>
              <w:t>Rules summary</w:t>
            </w:r>
            <w:r>
              <w:rPr>
                <w:noProof/>
                <w:webHidden/>
              </w:rPr>
              <w:tab/>
            </w:r>
            <w:r>
              <w:rPr>
                <w:noProof/>
                <w:webHidden/>
              </w:rPr>
              <w:fldChar w:fldCharType="begin"/>
            </w:r>
            <w:r>
              <w:rPr>
                <w:noProof/>
                <w:webHidden/>
              </w:rPr>
              <w:instrText xml:space="preserve"> PAGEREF _Toc226361737 \h </w:instrText>
            </w:r>
            <w:r>
              <w:rPr>
                <w:noProof/>
                <w:webHidden/>
              </w:rPr>
            </w:r>
            <w:r>
              <w:rPr>
                <w:noProof/>
                <w:webHidden/>
              </w:rPr>
              <w:fldChar w:fldCharType="separate"/>
            </w:r>
            <w:r>
              <w:rPr>
                <w:noProof/>
                <w:webHidden/>
              </w:rPr>
              <w:t>15</w:t>
            </w:r>
            <w:r>
              <w:rPr>
                <w:noProof/>
                <w:webHidden/>
              </w:rPr>
              <w:fldChar w:fldCharType="end"/>
            </w:r>
          </w:hyperlink>
        </w:p>
        <w:p w14:paraId="506574FE" w14:textId="518C7837" w:rsidR="00AF7536" w:rsidRDefault="00AF7536">
          <w:pPr>
            <w:pStyle w:val="TOC1"/>
            <w:tabs>
              <w:tab w:val="right" w:leader="dot" w:pos="9350"/>
            </w:tabs>
            <w:rPr>
              <w:rFonts w:asciiTheme="minorHAnsi" w:eastAsiaTheme="minorEastAsia" w:hAnsiTheme="minorHAnsi"/>
              <w:noProof/>
              <w:sz w:val="24"/>
            </w:rPr>
          </w:pPr>
          <w:hyperlink w:anchor="_Toc226361738" w:history="1">
            <w:r w:rsidRPr="00626F03">
              <w:rPr>
                <w:rStyle w:val="Hyperlink"/>
                <w:noProof/>
              </w:rPr>
              <w:t>Fee analysis</w:t>
            </w:r>
            <w:r>
              <w:rPr>
                <w:noProof/>
                <w:webHidden/>
              </w:rPr>
              <w:tab/>
            </w:r>
            <w:r>
              <w:rPr>
                <w:noProof/>
                <w:webHidden/>
              </w:rPr>
              <w:fldChar w:fldCharType="begin"/>
            </w:r>
            <w:r>
              <w:rPr>
                <w:noProof/>
                <w:webHidden/>
              </w:rPr>
              <w:instrText xml:space="preserve"> PAGEREF _Toc226361738 \h </w:instrText>
            </w:r>
            <w:r>
              <w:rPr>
                <w:noProof/>
                <w:webHidden/>
              </w:rPr>
            </w:r>
            <w:r>
              <w:rPr>
                <w:noProof/>
                <w:webHidden/>
              </w:rPr>
              <w:fldChar w:fldCharType="separate"/>
            </w:r>
            <w:r>
              <w:rPr>
                <w:noProof/>
                <w:webHidden/>
              </w:rPr>
              <w:t>17</w:t>
            </w:r>
            <w:r>
              <w:rPr>
                <w:noProof/>
                <w:webHidden/>
              </w:rPr>
              <w:fldChar w:fldCharType="end"/>
            </w:r>
          </w:hyperlink>
        </w:p>
        <w:p w14:paraId="5F461621" w14:textId="594F83DF" w:rsidR="00AF7536" w:rsidRDefault="00AF7536">
          <w:pPr>
            <w:pStyle w:val="TOC1"/>
            <w:tabs>
              <w:tab w:val="right" w:leader="dot" w:pos="9350"/>
            </w:tabs>
            <w:rPr>
              <w:rFonts w:asciiTheme="minorHAnsi" w:eastAsiaTheme="minorEastAsia" w:hAnsiTheme="minorHAnsi"/>
              <w:noProof/>
              <w:sz w:val="24"/>
            </w:rPr>
          </w:pPr>
          <w:hyperlink w:anchor="_Toc226361739" w:history="1">
            <w:r w:rsidRPr="00626F03">
              <w:rPr>
                <w:rStyle w:val="Hyperlink"/>
                <w:noProof/>
              </w:rPr>
              <w:t>Statement of fiscal and economic impact</w:t>
            </w:r>
            <w:r>
              <w:rPr>
                <w:noProof/>
                <w:webHidden/>
              </w:rPr>
              <w:tab/>
            </w:r>
            <w:r>
              <w:rPr>
                <w:noProof/>
                <w:webHidden/>
              </w:rPr>
              <w:fldChar w:fldCharType="begin"/>
            </w:r>
            <w:r>
              <w:rPr>
                <w:noProof/>
                <w:webHidden/>
              </w:rPr>
              <w:instrText xml:space="preserve"> PAGEREF _Toc226361739 \h </w:instrText>
            </w:r>
            <w:r>
              <w:rPr>
                <w:noProof/>
                <w:webHidden/>
              </w:rPr>
            </w:r>
            <w:r>
              <w:rPr>
                <w:noProof/>
                <w:webHidden/>
              </w:rPr>
              <w:fldChar w:fldCharType="separate"/>
            </w:r>
            <w:r>
              <w:rPr>
                <w:noProof/>
                <w:webHidden/>
              </w:rPr>
              <w:t>17</w:t>
            </w:r>
            <w:r>
              <w:rPr>
                <w:noProof/>
                <w:webHidden/>
              </w:rPr>
              <w:fldChar w:fldCharType="end"/>
            </w:r>
          </w:hyperlink>
        </w:p>
        <w:p w14:paraId="1ECBD25F" w14:textId="6A138209" w:rsidR="00AF7536" w:rsidRDefault="00AF7536">
          <w:pPr>
            <w:pStyle w:val="TOC2"/>
            <w:tabs>
              <w:tab w:val="right" w:leader="dot" w:pos="9350"/>
            </w:tabs>
            <w:rPr>
              <w:rFonts w:asciiTheme="minorHAnsi" w:eastAsiaTheme="minorEastAsia" w:hAnsiTheme="minorHAnsi"/>
              <w:noProof/>
              <w:sz w:val="24"/>
            </w:rPr>
          </w:pPr>
          <w:hyperlink w:anchor="_Toc226361740" w:history="1">
            <w:r w:rsidRPr="00626F03">
              <w:rPr>
                <w:rStyle w:val="Hyperlink"/>
                <w:rFonts w:cs="Arial"/>
                <w:noProof/>
              </w:rPr>
              <w:t>Fiscal and economic impact</w:t>
            </w:r>
            <w:r>
              <w:rPr>
                <w:noProof/>
                <w:webHidden/>
              </w:rPr>
              <w:tab/>
            </w:r>
            <w:r>
              <w:rPr>
                <w:noProof/>
                <w:webHidden/>
              </w:rPr>
              <w:fldChar w:fldCharType="begin"/>
            </w:r>
            <w:r>
              <w:rPr>
                <w:noProof/>
                <w:webHidden/>
              </w:rPr>
              <w:instrText xml:space="preserve"> PAGEREF _Toc226361740 \h </w:instrText>
            </w:r>
            <w:r>
              <w:rPr>
                <w:noProof/>
                <w:webHidden/>
              </w:rPr>
            </w:r>
            <w:r>
              <w:rPr>
                <w:noProof/>
                <w:webHidden/>
              </w:rPr>
              <w:fldChar w:fldCharType="separate"/>
            </w:r>
            <w:r>
              <w:rPr>
                <w:noProof/>
                <w:webHidden/>
              </w:rPr>
              <w:t>17</w:t>
            </w:r>
            <w:r>
              <w:rPr>
                <w:noProof/>
                <w:webHidden/>
              </w:rPr>
              <w:fldChar w:fldCharType="end"/>
            </w:r>
          </w:hyperlink>
        </w:p>
        <w:p w14:paraId="0C524CF3" w14:textId="3DD3A645" w:rsidR="00AF7536" w:rsidRDefault="00AF7536">
          <w:pPr>
            <w:pStyle w:val="TOC2"/>
            <w:tabs>
              <w:tab w:val="right" w:leader="dot" w:pos="9350"/>
            </w:tabs>
            <w:rPr>
              <w:rFonts w:asciiTheme="minorHAnsi" w:eastAsiaTheme="minorEastAsia" w:hAnsiTheme="minorHAnsi"/>
              <w:noProof/>
              <w:sz w:val="24"/>
            </w:rPr>
          </w:pPr>
          <w:hyperlink w:anchor="_Toc226361741" w:history="1">
            <w:r w:rsidRPr="00626F03">
              <w:rPr>
                <w:rStyle w:val="Hyperlink"/>
                <w:rFonts w:cs="Arial"/>
                <w:noProof/>
              </w:rPr>
              <w:t>Statement of cost of compliance</w:t>
            </w:r>
            <w:r>
              <w:rPr>
                <w:noProof/>
                <w:webHidden/>
              </w:rPr>
              <w:tab/>
            </w:r>
            <w:r>
              <w:rPr>
                <w:noProof/>
                <w:webHidden/>
              </w:rPr>
              <w:fldChar w:fldCharType="begin"/>
            </w:r>
            <w:r>
              <w:rPr>
                <w:noProof/>
                <w:webHidden/>
              </w:rPr>
              <w:instrText xml:space="preserve"> PAGEREF _Toc226361741 \h </w:instrText>
            </w:r>
            <w:r>
              <w:rPr>
                <w:noProof/>
                <w:webHidden/>
              </w:rPr>
            </w:r>
            <w:r>
              <w:rPr>
                <w:noProof/>
                <w:webHidden/>
              </w:rPr>
              <w:fldChar w:fldCharType="separate"/>
            </w:r>
            <w:r>
              <w:rPr>
                <w:noProof/>
                <w:webHidden/>
              </w:rPr>
              <w:t>18</w:t>
            </w:r>
            <w:r>
              <w:rPr>
                <w:noProof/>
                <w:webHidden/>
              </w:rPr>
              <w:fldChar w:fldCharType="end"/>
            </w:r>
          </w:hyperlink>
        </w:p>
        <w:p w14:paraId="4C5EAFDD" w14:textId="087D72B8" w:rsidR="00AF7536" w:rsidRDefault="00AF7536">
          <w:pPr>
            <w:pStyle w:val="TOC3"/>
            <w:tabs>
              <w:tab w:val="right" w:leader="dot" w:pos="9350"/>
            </w:tabs>
            <w:rPr>
              <w:rFonts w:asciiTheme="minorHAnsi" w:eastAsiaTheme="minorEastAsia" w:hAnsiTheme="minorHAnsi"/>
              <w:noProof/>
              <w:sz w:val="24"/>
            </w:rPr>
          </w:pPr>
          <w:hyperlink w:anchor="_Toc226361742" w:history="1">
            <w:r w:rsidRPr="00626F03">
              <w:rPr>
                <w:rStyle w:val="Hyperlink"/>
                <w:rFonts w:cs="Arial"/>
                <w:noProof/>
              </w:rPr>
              <w:t>State agencies</w:t>
            </w:r>
            <w:r>
              <w:rPr>
                <w:noProof/>
                <w:webHidden/>
              </w:rPr>
              <w:tab/>
            </w:r>
            <w:r>
              <w:rPr>
                <w:noProof/>
                <w:webHidden/>
              </w:rPr>
              <w:fldChar w:fldCharType="begin"/>
            </w:r>
            <w:r>
              <w:rPr>
                <w:noProof/>
                <w:webHidden/>
              </w:rPr>
              <w:instrText xml:space="preserve"> PAGEREF _Toc226361742 \h </w:instrText>
            </w:r>
            <w:r>
              <w:rPr>
                <w:noProof/>
                <w:webHidden/>
              </w:rPr>
            </w:r>
            <w:r>
              <w:rPr>
                <w:noProof/>
                <w:webHidden/>
              </w:rPr>
              <w:fldChar w:fldCharType="separate"/>
            </w:r>
            <w:r>
              <w:rPr>
                <w:noProof/>
                <w:webHidden/>
              </w:rPr>
              <w:t>18</w:t>
            </w:r>
            <w:r>
              <w:rPr>
                <w:noProof/>
                <w:webHidden/>
              </w:rPr>
              <w:fldChar w:fldCharType="end"/>
            </w:r>
          </w:hyperlink>
        </w:p>
        <w:p w14:paraId="678D83DB" w14:textId="48319230" w:rsidR="00AF7536" w:rsidRDefault="00AF7536">
          <w:pPr>
            <w:pStyle w:val="TOC3"/>
            <w:tabs>
              <w:tab w:val="right" w:leader="dot" w:pos="9350"/>
            </w:tabs>
            <w:rPr>
              <w:rFonts w:asciiTheme="minorHAnsi" w:eastAsiaTheme="minorEastAsia" w:hAnsiTheme="minorHAnsi"/>
              <w:noProof/>
              <w:sz w:val="24"/>
            </w:rPr>
          </w:pPr>
          <w:hyperlink w:anchor="_Toc226361743" w:history="1">
            <w:r w:rsidRPr="00626F03">
              <w:rPr>
                <w:rStyle w:val="Hyperlink"/>
                <w:rFonts w:cs="Arial"/>
                <w:noProof/>
              </w:rPr>
              <w:t>Local governments</w:t>
            </w:r>
            <w:r>
              <w:rPr>
                <w:noProof/>
                <w:webHidden/>
              </w:rPr>
              <w:tab/>
            </w:r>
            <w:r>
              <w:rPr>
                <w:noProof/>
                <w:webHidden/>
              </w:rPr>
              <w:fldChar w:fldCharType="begin"/>
            </w:r>
            <w:r>
              <w:rPr>
                <w:noProof/>
                <w:webHidden/>
              </w:rPr>
              <w:instrText xml:space="preserve"> PAGEREF _Toc226361743 \h </w:instrText>
            </w:r>
            <w:r>
              <w:rPr>
                <w:noProof/>
                <w:webHidden/>
              </w:rPr>
            </w:r>
            <w:r>
              <w:rPr>
                <w:noProof/>
                <w:webHidden/>
              </w:rPr>
              <w:fldChar w:fldCharType="separate"/>
            </w:r>
            <w:r>
              <w:rPr>
                <w:noProof/>
                <w:webHidden/>
              </w:rPr>
              <w:t>18</w:t>
            </w:r>
            <w:r>
              <w:rPr>
                <w:noProof/>
                <w:webHidden/>
              </w:rPr>
              <w:fldChar w:fldCharType="end"/>
            </w:r>
          </w:hyperlink>
        </w:p>
        <w:p w14:paraId="3B0848D8" w14:textId="1E4472A9" w:rsidR="00AF7536" w:rsidRDefault="00AF7536">
          <w:pPr>
            <w:pStyle w:val="TOC3"/>
            <w:tabs>
              <w:tab w:val="right" w:leader="dot" w:pos="9350"/>
            </w:tabs>
            <w:rPr>
              <w:rFonts w:asciiTheme="minorHAnsi" w:eastAsiaTheme="minorEastAsia" w:hAnsiTheme="minorHAnsi"/>
              <w:noProof/>
              <w:sz w:val="24"/>
            </w:rPr>
          </w:pPr>
          <w:hyperlink w:anchor="_Toc226361744" w:history="1">
            <w:r w:rsidRPr="00626F03">
              <w:rPr>
                <w:rStyle w:val="Hyperlink"/>
                <w:rFonts w:cs="Arial"/>
                <w:noProof/>
              </w:rPr>
              <w:t>Public</w:t>
            </w:r>
            <w:r>
              <w:rPr>
                <w:noProof/>
                <w:webHidden/>
              </w:rPr>
              <w:tab/>
            </w:r>
            <w:r>
              <w:rPr>
                <w:noProof/>
                <w:webHidden/>
              </w:rPr>
              <w:fldChar w:fldCharType="begin"/>
            </w:r>
            <w:r>
              <w:rPr>
                <w:noProof/>
                <w:webHidden/>
              </w:rPr>
              <w:instrText xml:space="preserve"> PAGEREF _Toc226361744 \h </w:instrText>
            </w:r>
            <w:r>
              <w:rPr>
                <w:noProof/>
                <w:webHidden/>
              </w:rPr>
            </w:r>
            <w:r>
              <w:rPr>
                <w:noProof/>
                <w:webHidden/>
              </w:rPr>
              <w:fldChar w:fldCharType="separate"/>
            </w:r>
            <w:r>
              <w:rPr>
                <w:noProof/>
                <w:webHidden/>
              </w:rPr>
              <w:t>18</w:t>
            </w:r>
            <w:r>
              <w:rPr>
                <w:noProof/>
                <w:webHidden/>
              </w:rPr>
              <w:fldChar w:fldCharType="end"/>
            </w:r>
          </w:hyperlink>
        </w:p>
        <w:p w14:paraId="47DF499B" w14:textId="791FD1C8" w:rsidR="00AF7536" w:rsidRDefault="00AF7536">
          <w:pPr>
            <w:pStyle w:val="TOC3"/>
            <w:tabs>
              <w:tab w:val="right" w:leader="dot" w:pos="9350"/>
            </w:tabs>
            <w:rPr>
              <w:rFonts w:asciiTheme="minorHAnsi" w:eastAsiaTheme="minorEastAsia" w:hAnsiTheme="minorHAnsi"/>
              <w:noProof/>
              <w:sz w:val="24"/>
            </w:rPr>
          </w:pPr>
          <w:hyperlink w:anchor="_Toc226361745" w:history="1">
            <w:r w:rsidRPr="00626F03">
              <w:rPr>
                <w:rStyle w:val="Hyperlink"/>
                <w:rFonts w:cs="Arial"/>
                <w:noProof/>
              </w:rPr>
              <w:t>Large businesses - businesses with more than 50 employees</w:t>
            </w:r>
            <w:r>
              <w:rPr>
                <w:noProof/>
                <w:webHidden/>
              </w:rPr>
              <w:tab/>
            </w:r>
            <w:r>
              <w:rPr>
                <w:noProof/>
                <w:webHidden/>
              </w:rPr>
              <w:fldChar w:fldCharType="begin"/>
            </w:r>
            <w:r>
              <w:rPr>
                <w:noProof/>
                <w:webHidden/>
              </w:rPr>
              <w:instrText xml:space="preserve"> PAGEREF _Toc226361745 \h </w:instrText>
            </w:r>
            <w:r>
              <w:rPr>
                <w:noProof/>
                <w:webHidden/>
              </w:rPr>
            </w:r>
            <w:r>
              <w:rPr>
                <w:noProof/>
                <w:webHidden/>
              </w:rPr>
              <w:fldChar w:fldCharType="separate"/>
            </w:r>
            <w:r>
              <w:rPr>
                <w:noProof/>
                <w:webHidden/>
              </w:rPr>
              <w:t>19</w:t>
            </w:r>
            <w:r>
              <w:rPr>
                <w:noProof/>
                <w:webHidden/>
              </w:rPr>
              <w:fldChar w:fldCharType="end"/>
            </w:r>
          </w:hyperlink>
        </w:p>
        <w:p w14:paraId="5C178F8E" w14:textId="5ED6D234" w:rsidR="00AF7536" w:rsidRDefault="00AF7536">
          <w:pPr>
            <w:pStyle w:val="TOC3"/>
            <w:tabs>
              <w:tab w:val="right" w:leader="dot" w:pos="9350"/>
            </w:tabs>
            <w:rPr>
              <w:rFonts w:asciiTheme="minorHAnsi" w:eastAsiaTheme="minorEastAsia" w:hAnsiTheme="minorHAnsi"/>
              <w:noProof/>
              <w:sz w:val="24"/>
            </w:rPr>
          </w:pPr>
          <w:hyperlink w:anchor="_Toc226361746" w:history="1">
            <w:r w:rsidRPr="00626F03">
              <w:rPr>
                <w:rStyle w:val="Hyperlink"/>
                <w:rFonts w:cs="Arial"/>
                <w:noProof/>
              </w:rPr>
              <w:t>Small businesses – businesses with 50 or fewer employees</w:t>
            </w:r>
            <w:r>
              <w:rPr>
                <w:noProof/>
                <w:webHidden/>
              </w:rPr>
              <w:tab/>
            </w:r>
            <w:r>
              <w:rPr>
                <w:noProof/>
                <w:webHidden/>
              </w:rPr>
              <w:fldChar w:fldCharType="begin"/>
            </w:r>
            <w:r>
              <w:rPr>
                <w:noProof/>
                <w:webHidden/>
              </w:rPr>
              <w:instrText xml:space="preserve"> PAGEREF _Toc226361746 \h </w:instrText>
            </w:r>
            <w:r>
              <w:rPr>
                <w:noProof/>
                <w:webHidden/>
              </w:rPr>
            </w:r>
            <w:r>
              <w:rPr>
                <w:noProof/>
                <w:webHidden/>
              </w:rPr>
              <w:fldChar w:fldCharType="separate"/>
            </w:r>
            <w:r>
              <w:rPr>
                <w:noProof/>
                <w:webHidden/>
              </w:rPr>
              <w:t>20</w:t>
            </w:r>
            <w:r>
              <w:rPr>
                <w:noProof/>
                <w:webHidden/>
              </w:rPr>
              <w:fldChar w:fldCharType="end"/>
            </w:r>
          </w:hyperlink>
        </w:p>
        <w:p w14:paraId="0EEB2909" w14:textId="43D9FDE2" w:rsidR="00AF7536" w:rsidRDefault="00AF7536">
          <w:pPr>
            <w:pStyle w:val="TOC2"/>
            <w:tabs>
              <w:tab w:val="right" w:leader="dot" w:pos="9350"/>
            </w:tabs>
            <w:rPr>
              <w:rFonts w:asciiTheme="minorHAnsi" w:eastAsiaTheme="minorEastAsia" w:hAnsiTheme="minorHAnsi"/>
              <w:noProof/>
              <w:sz w:val="24"/>
            </w:rPr>
          </w:pPr>
          <w:hyperlink w:anchor="_Toc226361747" w:history="1">
            <w:r w:rsidRPr="00626F03">
              <w:rPr>
                <w:rStyle w:val="Hyperlink"/>
                <w:rFonts w:cs="Arial"/>
                <w:noProof/>
              </w:rPr>
              <w:t>Documents relied on for fiscal and economic impact</w:t>
            </w:r>
            <w:r>
              <w:rPr>
                <w:noProof/>
                <w:webHidden/>
              </w:rPr>
              <w:tab/>
            </w:r>
            <w:r>
              <w:rPr>
                <w:noProof/>
                <w:webHidden/>
              </w:rPr>
              <w:fldChar w:fldCharType="begin"/>
            </w:r>
            <w:r>
              <w:rPr>
                <w:noProof/>
                <w:webHidden/>
              </w:rPr>
              <w:instrText xml:space="preserve"> PAGEREF _Toc226361747 \h </w:instrText>
            </w:r>
            <w:r>
              <w:rPr>
                <w:noProof/>
                <w:webHidden/>
              </w:rPr>
            </w:r>
            <w:r>
              <w:rPr>
                <w:noProof/>
                <w:webHidden/>
              </w:rPr>
              <w:fldChar w:fldCharType="separate"/>
            </w:r>
            <w:r>
              <w:rPr>
                <w:noProof/>
                <w:webHidden/>
              </w:rPr>
              <w:t>21</w:t>
            </w:r>
            <w:r>
              <w:rPr>
                <w:noProof/>
                <w:webHidden/>
              </w:rPr>
              <w:fldChar w:fldCharType="end"/>
            </w:r>
          </w:hyperlink>
        </w:p>
        <w:p w14:paraId="6E91E7B4" w14:textId="654977F1" w:rsidR="00AF7536" w:rsidRDefault="00AF7536">
          <w:pPr>
            <w:pStyle w:val="TOC2"/>
            <w:tabs>
              <w:tab w:val="right" w:leader="dot" w:pos="9350"/>
            </w:tabs>
            <w:rPr>
              <w:rFonts w:asciiTheme="minorHAnsi" w:eastAsiaTheme="minorEastAsia" w:hAnsiTheme="minorHAnsi"/>
              <w:noProof/>
              <w:sz w:val="24"/>
            </w:rPr>
          </w:pPr>
          <w:hyperlink w:anchor="_Toc226361748" w:history="1">
            <w:r w:rsidRPr="00626F03">
              <w:rPr>
                <w:rStyle w:val="Hyperlink"/>
                <w:rFonts w:cs="Arial"/>
                <w:noProof/>
              </w:rPr>
              <w:t>Advisory committee fiscal review</w:t>
            </w:r>
            <w:r>
              <w:rPr>
                <w:noProof/>
                <w:webHidden/>
              </w:rPr>
              <w:tab/>
            </w:r>
            <w:r>
              <w:rPr>
                <w:noProof/>
                <w:webHidden/>
              </w:rPr>
              <w:fldChar w:fldCharType="begin"/>
            </w:r>
            <w:r>
              <w:rPr>
                <w:noProof/>
                <w:webHidden/>
              </w:rPr>
              <w:instrText xml:space="preserve"> PAGEREF _Toc226361748 \h </w:instrText>
            </w:r>
            <w:r>
              <w:rPr>
                <w:noProof/>
                <w:webHidden/>
              </w:rPr>
            </w:r>
            <w:r>
              <w:rPr>
                <w:noProof/>
                <w:webHidden/>
              </w:rPr>
              <w:fldChar w:fldCharType="separate"/>
            </w:r>
            <w:r>
              <w:rPr>
                <w:noProof/>
                <w:webHidden/>
              </w:rPr>
              <w:t>21</w:t>
            </w:r>
            <w:r>
              <w:rPr>
                <w:noProof/>
                <w:webHidden/>
              </w:rPr>
              <w:fldChar w:fldCharType="end"/>
            </w:r>
          </w:hyperlink>
        </w:p>
        <w:p w14:paraId="6E72CF63" w14:textId="50D90CCE" w:rsidR="00AF7536" w:rsidRDefault="00AF7536">
          <w:pPr>
            <w:pStyle w:val="TOC1"/>
            <w:tabs>
              <w:tab w:val="right" w:leader="dot" w:pos="9350"/>
            </w:tabs>
            <w:rPr>
              <w:rFonts w:asciiTheme="minorHAnsi" w:eastAsiaTheme="minorEastAsia" w:hAnsiTheme="minorHAnsi"/>
              <w:noProof/>
              <w:sz w:val="24"/>
            </w:rPr>
          </w:pPr>
          <w:hyperlink w:anchor="_Toc226361749" w:history="1">
            <w:r w:rsidRPr="00626F03">
              <w:rPr>
                <w:rStyle w:val="Hyperlink"/>
                <w:noProof/>
              </w:rPr>
              <w:t>Housing cost</w:t>
            </w:r>
            <w:r>
              <w:rPr>
                <w:noProof/>
                <w:webHidden/>
              </w:rPr>
              <w:tab/>
            </w:r>
            <w:r>
              <w:rPr>
                <w:noProof/>
                <w:webHidden/>
              </w:rPr>
              <w:fldChar w:fldCharType="begin"/>
            </w:r>
            <w:r>
              <w:rPr>
                <w:noProof/>
                <w:webHidden/>
              </w:rPr>
              <w:instrText xml:space="preserve"> PAGEREF _Toc226361749 \h </w:instrText>
            </w:r>
            <w:r>
              <w:rPr>
                <w:noProof/>
                <w:webHidden/>
              </w:rPr>
            </w:r>
            <w:r>
              <w:rPr>
                <w:noProof/>
                <w:webHidden/>
              </w:rPr>
              <w:fldChar w:fldCharType="separate"/>
            </w:r>
            <w:r>
              <w:rPr>
                <w:noProof/>
                <w:webHidden/>
              </w:rPr>
              <w:t>22</w:t>
            </w:r>
            <w:r>
              <w:rPr>
                <w:noProof/>
                <w:webHidden/>
              </w:rPr>
              <w:fldChar w:fldCharType="end"/>
            </w:r>
          </w:hyperlink>
        </w:p>
        <w:p w14:paraId="458AF17D" w14:textId="243FFB47" w:rsidR="00AF7536" w:rsidRDefault="00AF7536">
          <w:pPr>
            <w:pStyle w:val="TOC1"/>
            <w:tabs>
              <w:tab w:val="right" w:leader="dot" w:pos="9350"/>
            </w:tabs>
            <w:rPr>
              <w:rFonts w:asciiTheme="minorHAnsi" w:eastAsiaTheme="minorEastAsia" w:hAnsiTheme="minorHAnsi"/>
              <w:noProof/>
              <w:sz w:val="24"/>
            </w:rPr>
          </w:pPr>
          <w:hyperlink w:anchor="_Toc226361750" w:history="1">
            <w:r w:rsidRPr="00626F03">
              <w:rPr>
                <w:rStyle w:val="Hyperlink"/>
                <w:noProof/>
              </w:rPr>
              <w:t>Racial equity</w:t>
            </w:r>
            <w:r>
              <w:rPr>
                <w:noProof/>
                <w:webHidden/>
              </w:rPr>
              <w:tab/>
            </w:r>
            <w:r>
              <w:rPr>
                <w:noProof/>
                <w:webHidden/>
              </w:rPr>
              <w:fldChar w:fldCharType="begin"/>
            </w:r>
            <w:r>
              <w:rPr>
                <w:noProof/>
                <w:webHidden/>
              </w:rPr>
              <w:instrText xml:space="preserve"> PAGEREF _Toc226361750 \h </w:instrText>
            </w:r>
            <w:r>
              <w:rPr>
                <w:noProof/>
                <w:webHidden/>
              </w:rPr>
            </w:r>
            <w:r>
              <w:rPr>
                <w:noProof/>
                <w:webHidden/>
              </w:rPr>
              <w:fldChar w:fldCharType="separate"/>
            </w:r>
            <w:r>
              <w:rPr>
                <w:noProof/>
                <w:webHidden/>
              </w:rPr>
              <w:t>22</w:t>
            </w:r>
            <w:r>
              <w:rPr>
                <w:noProof/>
                <w:webHidden/>
              </w:rPr>
              <w:fldChar w:fldCharType="end"/>
            </w:r>
          </w:hyperlink>
        </w:p>
        <w:p w14:paraId="7E5F313B" w14:textId="669E5655" w:rsidR="00AF7536" w:rsidRDefault="00AF7536">
          <w:pPr>
            <w:pStyle w:val="TOC1"/>
            <w:tabs>
              <w:tab w:val="right" w:leader="dot" w:pos="9350"/>
            </w:tabs>
            <w:rPr>
              <w:rFonts w:asciiTheme="minorHAnsi" w:eastAsiaTheme="minorEastAsia" w:hAnsiTheme="minorHAnsi"/>
              <w:noProof/>
              <w:sz w:val="24"/>
            </w:rPr>
          </w:pPr>
          <w:hyperlink w:anchor="_Toc226361751" w:history="1">
            <w:r w:rsidRPr="00626F03">
              <w:rPr>
                <w:rStyle w:val="Hyperlink"/>
                <w:noProof/>
              </w:rPr>
              <w:t>Environmental justice considerations</w:t>
            </w:r>
            <w:r>
              <w:rPr>
                <w:noProof/>
                <w:webHidden/>
              </w:rPr>
              <w:tab/>
            </w:r>
            <w:r>
              <w:rPr>
                <w:noProof/>
                <w:webHidden/>
              </w:rPr>
              <w:fldChar w:fldCharType="begin"/>
            </w:r>
            <w:r>
              <w:rPr>
                <w:noProof/>
                <w:webHidden/>
              </w:rPr>
              <w:instrText xml:space="preserve"> PAGEREF _Toc226361751 \h </w:instrText>
            </w:r>
            <w:r>
              <w:rPr>
                <w:noProof/>
                <w:webHidden/>
              </w:rPr>
            </w:r>
            <w:r>
              <w:rPr>
                <w:noProof/>
                <w:webHidden/>
              </w:rPr>
              <w:fldChar w:fldCharType="separate"/>
            </w:r>
            <w:r>
              <w:rPr>
                <w:noProof/>
                <w:webHidden/>
              </w:rPr>
              <w:t>23</w:t>
            </w:r>
            <w:r>
              <w:rPr>
                <w:noProof/>
                <w:webHidden/>
              </w:rPr>
              <w:fldChar w:fldCharType="end"/>
            </w:r>
          </w:hyperlink>
        </w:p>
        <w:p w14:paraId="24F0A90F" w14:textId="645BC7EC" w:rsidR="00AF7536" w:rsidRDefault="00AF7536">
          <w:pPr>
            <w:pStyle w:val="TOC2"/>
            <w:tabs>
              <w:tab w:val="right" w:leader="dot" w:pos="9350"/>
            </w:tabs>
            <w:rPr>
              <w:rFonts w:asciiTheme="minorHAnsi" w:eastAsiaTheme="minorEastAsia" w:hAnsiTheme="minorHAnsi"/>
              <w:noProof/>
              <w:sz w:val="24"/>
            </w:rPr>
          </w:pPr>
          <w:hyperlink w:anchor="_Toc226361752" w:history="1">
            <w:r w:rsidRPr="00626F03">
              <w:rPr>
                <w:rStyle w:val="Hyperlink"/>
                <w:noProof/>
              </w:rPr>
              <w:t>Environmental justice analysis</w:t>
            </w:r>
            <w:r>
              <w:rPr>
                <w:noProof/>
                <w:webHidden/>
              </w:rPr>
              <w:tab/>
            </w:r>
            <w:r>
              <w:rPr>
                <w:noProof/>
                <w:webHidden/>
              </w:rPr>
              <w:fldChar w:fldCharType="begin"/>
            </w:r>
            <w:r>
              <w:rPr>
                <w:noProof/>
                <w:webHidden/>
              </w:rPr>
              <w:instrText xml:space="preserve"> PAGEREF _Toc226361752 \h </w:instrText>
            </w:r>
            <w:r>
              <w:rPr>
                <w:noProof/>
                <w:webHidden/>
              </w:rPr>
            </w:r>
            <w:r>
              <w:rPr>
                <w:noProof/>
                <w:webHidden/>
              </w:rPr>
              <w:fldChar w:fldCharType="separate"/>
            </w:r>
            <w:r>
              <w:rPr>
                <w:noProof/>
                <w:webHidden/>
              </w:rPr>
              <w:t>23</w:t>
            </w:r>
            <w:r>
              <w:rPr>
                <w:noProof/>
                <w:webHidden/>
              </w:rPr>
              <w:fldChar w:fldCharType="end"/>
            </w:r>
          </w:hyperlink>
        </w:p>
        <w:p w14:paraId="3F926B68" w14:textId="3012164B" w:rsidR="00AF7536" w:rsidRDefault="00AF7536">
          <w:pPr>
            <w:pStyle w:val="TOC1"/>
            <w:tabs>
              <w:tab w:val="right" w:leader="dot" w:pos="9350"/>
            </w:tabs>
            <w:rPr>
              <w:rFonts w:asciiTheme="minorHAnsi" w:eastAsiaTheme="minorEastAsia" w:hAnsiTheme="minorHAnsi"/>
              <w:noProof/>
              <w:sz w:val="24"/>
            </w:rPr>
          </w:pPr>
          <w:hyperlink w:anchor="_Toc226361753" w:history="1">
            <w:r w:rsidRPr="00626F03">
              <w:rPr>
                <w:rStyle w:val="Hyperlink"/>
                <w:noProof/>
              </w:rPr>
              <w:t>Land use</w:t>
            </w:r>
            <w:r>
              <w:rPr>
                <w:noProof/>
                <w:webHidden/>
              </w:rPr>
              <w:tab/>
            </w:r>
            <w:r>
              <w:rPr>
                <w:noProof/>
                <w:webHidden/>
              </w:rPr>
              <w:fldChar w:fldCharType="begin"/>
            </w:r>
            <w:r>
              <w:rPr>
                <w:noProof/>
                <w:webHidden/>
              </w:rPr>
              <w:instrText xml:space="preserve"> PAGEREF _Toc226361753 \h </w:instrText>
            </w:r>
            <w:r>
              <w:rPr>
                <w:noProof/>
                <w:webHidden/>
              </w:rPr>
            </w:r>
            <w:r>
              <w:rPr>
                <w:noProof/>
                <w:webHidden/>
              </w:rPr>
              <w:fldChar w:fldCharType="separate"/>
            </w:r>
            <w:r>
              <w:rPr>
                <w:noProof/>
                <w:webHidden/>
              </w:rPr>
              <w:t>24</w:t>
            </w:r>
            <w:r>
              <w:rPr>
                <w:noProof/>
                <w:webHidden/>
              </w:rPr>
              <w:fldChar w:fldCharType="end"/>
            </w:r>
          </w:hyperlink>
        </w:p>
        <w:p w14:paraId="6F2F4F24" w14:textId="05CBDFC6" w:rsidR="00AF7536" w:rsidRDefault="00AF7536">
          <w:pPr>
            <w:pStyle w:val="TOC2"/>
            <w:tabs>
              <w:tab w:val="right" w:leader="dot" w:pos="9350"/>
            </w:tabs>
            <w:rPr>
              <w:rFonts w:asciiTheme="minorHAnsi" w:eastAsiaTheme="minorEastAsia" w:hAnsiTheme="minorHAnsi"/>
              <w:noProof/>
              <w:sz w:val="24"/>
            </w:rPr>
          </w:pPr>
          <w:hyperlink w:anchor="_Toc226361754" w:history="1">
            <w:r w:rsidRPr="00626F03">
              <w:rPr>
                <w:rStyle w:val="Hyperlink"/>
                <w:rFonts w:cs="Arial"/>
                <w:noProof/>
              </w:rPr>
              <w:t>Land-use considerations</w:t>
            </w:r>
            <w:r>
              <w:rPr>
                <w:noProof/>
                <w:webHidden/>
              </w:rPr>
              <w:tab/>
            </w:r>
            <w:r>
              <w:rPr>
                <w:noProof/>
                <w:webHidden/>
              </w:rPr>
              <w:fldChar w:fldCharType="begin"/>
            </w:r>
            <w:r>
              <w:rPr>
                <w:noProof/>
                <w:webHidden/>
              </w:rPr>
              <w:instrText xml:space="preserve"> PAGEREF _Toc226361754 \h </w:instrText>
            </w:r>
            <w:r>
              <w:rPr>
                <w:noProof/>
                <w:webHidden/>
              </w:rPr>
            </w:r>
            <w:r>
              <w:rPr>
                <w:noProof/>
                <w:webHidden/>
              </w:rPr>
              <w:fldChar w:fldCharType="separate"/>
            </w:r>
            <w:r>
              <w:rPr>
                <w:noProof/>
                <w:webHidden/>
              </w:rPr>
              <w:t>24</w:t>
            </w:r>
            <w:r>
              <w:rPr>
                <w:noProof/>
                <w:webHidden/>
              </w:rPr>
              <w:fldChar w:fldCharType="end"/>
            </w:r>
          </w:hyperlink>
        </w:p>
        <w:p w14:paraId="04FC1A88" w14:textId="381EA11F" w:rsidR="00AF7536" w:rsidRDefault="00AF7536">
          <w:pPr>
            <w:pStyle w:val="TOC2"/>
            <w:tabs>
              <w:tab w:val="right" w:leader="dot" w:pos="9350"/>
            </w:tabs>
            <w:rPr>
              <w:rFonts w:asciiTheme="minorHAnsi" w:eastAsiaTheme="minorEastAsia" w:hAnsiTheme="minorHAnsi"/>
              <w:noProof/>
              <w:sz w:val="24"/>
            </w:rPr>
          </w:pPr>
          <w:hyperlink w:anchor="_Toc226361755" w:history="1">
            <w:r w:rsidRPr="00626F03">
              <w:rPr>
                <w:rStyle w:val="Hyperlink"/>
                <w:rFonts w:cs="Arial"/>
                <w:noProof/>
              </w:rPr>
              <w:t>Determination</w:t>
            </w:r>
            <w:r>
              <w:rPr>
                <w:noProof/>
                <w:webHidden/>
              </w:rPr>
              <w:tab/>
            </w:r>
            <w:r>
              <w:rPr>
                <w:noProof/>
                <w:webHidden/>
              </w:rPr>
              <w:fldChar w:fldCharType="begin"/>
            </w:r>
            <w:r>
              <w:rPr>
                <w:noProof/>
                <w:webHidden/>
              </w:rPr>
              <w:instrText xml:space="preserve"> PAGEREF _Toc226361755 \h </w:instrText>
            </w:r>
            <w:r>
              <w:rPr>
                <w:noProof/>
                <w:webHidden/>
              </w:rPr>
            </w:r>
            <w:r>
              <w:rPr>
                <w:noProof/>
                <w:webHidden/>
              </w:rPr>
              <w:fldChar w:fldCharType="separate"/>
            </w:r>
            <w:r>
              <w:rPr>
                <w:noProof/>
                <w:webHidden/>
              </w:rPr>
              <w:t>24</w:t>
            </w:r>
            <w:r>
              <w:rPr>
                <w:noProof/>
                <w:webHidden/>
              </w:rPr>
              <w:fldChar w:fldCharType="end"/>
            </w:r>
          </w:hyperlink>
        </w:p>
        <w:p w14:paraId="56929006" w14:textId="55F2BA52" w:rsidR="00AF7536" w:rsidRDefault="00AF7536">
          <w:pPr>
            <w:pStyle w:val="TOC1"/>
            <w:tabs>
              <w:tab w:val="right" w:leader="dot" w:pos="9350"/>
            </w:tabs>
            <w:rPr>
              <w:rFonts w:asciiTheme="minorHAnsi" w:eastAsiaTheme="minorEastAsia" w:hAnsiTheme="minorHAnsi"/>
              <w:noProof/>
              <w:sz w:val="24"/>
            </w:rPr>
          </w:pPr>
          <w:hyperlink w:anchor="_Toc226361756" w:history="1">
            <w:r w:rsidRPr="00626F03">
              <w:rPr>
                <w:rStyle w:val="Hyperlink"/>
                <w:noProof/>
              </w:rPr>
              <w:t>EQC prior involvement</w:t>
            </w:r>
            <w:r>
              <w:rPr>
                <w:noProof/>
                <w:webHidden/>
              </w:rPr>
              <w:tab/>
            </w:r>
            <w:r>
              <w:rPr>
                <w:noProof/>
                <w:webHidden/>
              </w:rPr>
              <w:fldChar w:fldCharType="begin"/>
            </w:r>
            <w:r>
              <w:rPr>
                <w:noProof/>
                <w:webHidden/>
              </w:rPr>
              <w:instrText xml:space="preserve"> PAGEREF _Toc226361756 \h </w:instrText>
            </w:r>
            <w:r>
              <w:rPr>
                <w:noProof/>
                <w:webHidden/>
              </w:rPr>
            </w:r>
            <w:r>
              <w:rPr>
                <w:noProof/>
                <w:webHidden/>
              </w:rPr>
              <w:fldChar w:fldCharType="separate"/>
            </w:r>
            <w:r>
              <w:rPr>
                <w:noProof/>
                <w:webHidden/>
              </w:rPr>
              <w:t>25</w:t>
            </w:r>
            <w:r>
              <w:rPr>
                <w:noProof/>
                <w:webHidden/>
              </w:rPr>
              <w:fldChar w:fldCharType="end"/>
            </w:r>
          </w:hyperlink>
        </w:p>
        <w:p w14:paraId="4FAC0DFF" w14:textId="274CC5E6" w:rsidR="00AF7536" w:rsidRDefault="00AF7536">
          <w:pPr>
            <w:pStyle w:val="TOC1"/>
            <w:tabs>
              <w:tab w:val="right" w:leader="dot" w:pos="9350"/>
            </w:tabs>
            <w:rPr>
              <w:rFonts w:asciiTheme="minorHAnsi" w:eastAsiaTheme="minorEastAsia" w:hAnsiTheme="minorHAnsi"/>
              <w:noProof/>
              <w:sz w:val="24"/>
            </w:rPr>
          </w:pPr>
          <w:hyperlink w:anchor="_Toc226361757" w:history="1">
            <w:r w:rsidRPr="00626F03">
              <w:rPr>
                <w:rStyle w:val="Hyperlink"/>
                <w:noProof/>
              </w:rPr>
              <w:t>Advisory committee</w:t>
            </w:r>
            <w:r>
              <w:rPr>
                <w:noProof/>
                <w:webHidden/>
              </w:rPr>
              <w:tab/>
            </w:r>
            <w:r>
              <w:rPr>
                <w:noProof/>
                <w:webHidden/>
              </w:rPr>
              <w:fldChar w:fldCharType="begin"/>
            </w:r>
            <w:r>
              <w:rPr>
                <w:noProof/>
                <w:webHidden/>
              </w:rPr>
              <w:instrText xml:space="preserve"> PAGEREF _Toc226361757 \h </w:instrText>
            </w:r>
            <w:r>
              <w:rPr>
                <w:noProof/>
                <w:webHidden/>
              </w:rPr>
            </w:r>
            <w:r>
              <w:rPr>
                <w:noProof/>
                <w:webHidden/>
              </w:rPr>
              <w:fldChar w:fldCharType="separate"/>
            </w:r>
            <w:r>
              <w:rPr>
                <w:noProof/>
                <w:webHidden/>
              </w:rPr>
              <w:t>26</w:t>
            </w:r>
            <w:r>
              <w:rPr>
                <w:noProof/>
                <w:webHidden/>
              </w:rPr>
              <w:fldChar w:fldCharType="end"/>
            </w:r>
          </w:hyperlink>
        </w:p>
        <w:p w14:paraId="16A1C4FC" w14:textId="018936B8" w:rsidR="00AF7536" w:rsidRDefault="00AF7536">
          <w:pPr>
            <w:pStyle w:val="TOC2"/>
            <w:tabs>
              <w:tab w:val="right" w:leader="dot" w:pos="9350"/>
            </w:tabs>
            <w:rPr>
              <w:rFonts w:asciiTheme="minorHAnsi" w:eastAsiaTheme="minorEastAsia" w:hAnsiTheme="minorHAnsi"/>
              <w:noProof/>
              <w:sz w:val="24"/>
            </w:rPr>
          </w:pPr>
          <w:hyperlink w:anchor="_Toc226361758" w:history="1">
            <w:r w:rsidRPr="00626F03">
              <w:rPr>
                <w:rStyle w:val="Hyperlink"/>
                <w:rFonts w:cs="Arial"/>
                <w:noProof/>
              </w:rPr>
              <w:t>Background</w:t>
            </w:r>
            <w:r>
              <w:rPr>
                <w:noProof/>
                <w:webHidden/>
              </w:rPr>
              <w:tab/>
            </w:r>
            <w:r>
              <w:rPr>
                <w:noProof/>
                <w:webHidden/>
              </w:rPr>
              <w:fldChar w:fldCharType="begin"/>
            </w:r>
            <w:r>
              <w:rPr>
                <w:noProof/>
                <w:webHidden/>
              </w:rPr>
              <w:instrText xml:space="preserve"> PAGEREF _Toc226361758 \h </w:instrText>
            </w:r>
            <w:r>
              <w:rPr>
                <w:noProof/>
                <w:webHidden/>
              </w:rPr>
            </w:r>
            <w:r>
              <w:rPr>
                <w:noProof/>
                <w:webHidden/>
              </w:rPr>
              <w:fldChar w:fldCharType="separate"/>
            </w:r>
            <w:r>
              <w:rPr>
                <w:noProof/>
                <w:webHidden/>
              </w:rPr>
              <w:t>26</w:t>
            </w:r>
            <w:r>
              <w:rPr>
                <w:noProof/>
                <w:webHidden/>
              </w:rPr>
              <w:fldChar w:fldCharType="end"/>
            </w:r>
          </w:hyperlink>
        </w:p>
        <w:p w14:paraId="570EA6C0" w14:textId="3BDDD050" w:rsidR="00AF7536" w:rsidRDefault="00AF7536">
          <w:pPr>
            <w:pStyle w:val="TOC2"/>
            <w:tabs>
              <w:tab w:val="right" w:leader="dot" w:pos="9350"/>
            </w:tabs>
            <w:rPr>
              <w:rFonts w:asciiTheme="minorHAnsi" w:eastAsiaTheme="minorEastAsia" w:hAnsiTheme="minorHAnsi"/>
              <w:noProof/>
              <w:sz w:val="24"/>
            </w:rPr>
          </w:pPr>
          <w:hyperlink w:anchor="_Toc226361759" w:history="1">
            <w:r w:rsidRPr="00626F03">
              <w:rPr>
                <w:rStyle w:val="Hyperlink"/>
                <w:rFonts w:cs="Arial"/>
                <w:noProof/>
              </w:rPr>
              <w:t>Meeting notifications</w:t>
            </w:r>
            <w:r>
              <w:rPr>
                <w:noProof/>
                <w:webHidden/>
              </w:rPr>
              <w:tab/>
            </w:r>
            <w:r>
              <w:rPr>
                <w:noProof/>
                <w:webHidden/>
              </w:rPr>
              <w:fldChar w:fldCharType="begin"/>
            </w:r>
            <w:r>
              <w:rPr>
                <w:noProof/>
                <w:webHidden/>
              </w:rPr>
              <w:instrText xml:space="preserve"> PAGEREF _Toc226361759 \h </w:instrText>
            </w:r>
            <w:r>
              <w:rPr>
                <w:noProof/>
                <w:webHidden/>
              </w:rPr>
            </w:r>
            <w:r>
              <w:rPr>
                <w:noProof/>
                <w:webHidden/>
              </w:rPr>
              <w:fldChar w:fldCharType="separate"/>
            </w:r>
            <w:r>
              <w:rPr>
                <w:noProof/>
                <w:webHidden/>
              </w:rPr>
              <w:t>27</w:t>
            </w:r>
            <w:r>
              <w:rPr>
                <w:noProof/>
                <w:webHidden/>
              </w:rPr>
              <w:fldChar w:fldCharType="end"/>
            </w:r>
          </w:hyperlink>
        </w:p>
        <w:p w14:paraId="681FFE39" w14:textId="143D69E3" w:rsidR="00AF7536" w:rsidRDefault="00AF7536">
          <w:pPr>
            <w:pStyle w:val="TOC2"/>
            <w:tabs>
              <w:tab w:val="right" w:leader="dot" w:pos="9350"/>
            </w:tabs>
            <w:rPr>
              <w:rFonts w:asciiTheme="minorHAnsi" w:eastAsiaTheme="minorEastAsia" w:hAnsiTheme="minorHAnsi"/>
              <w:noProof/>
              <w:sz w:val="24"/>
            </w:rPr>
          </w:pPr>
          <w:hyperlink w:anchor="_Toc226361760" w:history="1">
            <w:r w:rsidRPr="00626F03">
              <w:rPr>
                <w:rStyle w:val="Hyperlink"/>
                <w:rFonts w:cs="Arial"/>
                <w:noProof/>
              </w:rPr>
              <w:t>Committee discussions</w:t>
            </w:r>
            <w:r>
              <w:rPr>
                <w:noProof/>
                <w:webHidden/>
              </w:rPr>
              <w:tab/>
            </w:r>
            <w:r>
              <w:rPr>
                <w:noProof/>
                <w:webHidden/>
              </w:rPr>
              <w:fldChar w:fldCharType="begin"/>
            </w:r>
            <w:r>
              <w:rPr>
                <w:noProof/>
                <w:webHidden/>
              </w:rPr>
              <w:instrText xml:space="preserve"> PAGEREF _Toc226361760 \h </w:instrText>
            </w:r>
            <w:r>
              <w:rPr>
                <w:noProof/>
                <w:webHidden/>
              </w:rPr>
            </w:r>
            <w:r>
              <w:rPr>
                <w:noProof/>
                <w:webHidden/>
              </w:rPr>
              <w:fldChar w:fldCharType="separate"/>
            </w:r>
            <w:r>
              <w:rPr>
                <w:noProof/>
                <w:webHidden/>
              </w:rPr>
              <w:t>27</w:t>
            </w:r>
            <w:r>
              <w:rPr>
                <w:noProof/>
                <w:webHidden/>
              </w:rPr>
              <w:fldChar w:fldCharType="end"/>
            </w:r>
          </w:hyperlink>
        </w:p>
        <w:p w14:paraId="2E68AED2" w14:textId="7F3A76C0" w:rsidR="00AF7536" w:rsidRDefault="00AF7536">
          <w:pPr>
            <w:pStyle w:val="TOC1"/>
            <w:tabs>
              <w:tab w:val="right" w:leader="dot" w:pos="9350"/>
            </w:tabs>
            <w:rPr>
              <w:rFonts w:asciiTheme="minorHAnsi" w:eastAsiaTheme="minorEastAsia" w:hAnsiTheme="minorHAnsi"/>
              <w:noProof/>
              <w:sz w:val="24"/>
            </w:rPr>
          </w:pPr>
          <w:hyperlink w:anchor="_Toc226361761" w:history="1">
            <w:r w:rsidRPr="00626F03">
              <w:rPr>
                <w:rStyle w:val="Hyperlink"/>
                <w:noProof/>
              </w:rPr>
              <w:t>Public engagement</w:t>
            </w:r>
            <w:r>
              <w:rPr>
                <w:noProof/>
                <w:webHidden/>
              </w:rPr>
              <w:tab/>
            </w:r>
            <w:r>
              <w:rPr>
                <w:noProof/>
                <w:webHidden/>
              </w:rPr>
              <w:fldChar w:fldCharType="begin"/>
            </w:r>
            <w:r>
              <w:rPr>
                <w:noProof/>
                <w:webHidden/>
              </w:rPr>
              <w:instrText xml:space="preserve"> PAGEREF _Toc226361761 \h </w:instrText>
            </w:r>
            <w:r>
              <w:rPr>
                <w:noProof/>
                <w:webHidden/>
              </w:rPr>
            </w:r>
            <w:r>
              <w:rPr>
                <w:noProof/>
                <w:webHidden/>
              </w:rPr>
              <w:fldChar w:fldCharType="separate"/>
            </w:r>
            <w:r>
              <w:rPr>
                <w:noProof/>
                <w:webHidden/>
              </w:rPr>
              <w:t>28</w:t>
            </w:r>
            <w:r>
              <w:rPr>
                <w:noProof/>
                <w:webHidden/>
              </w:rPr>
              <w:fldChar w:fldCharType="end"/>
            </w:r>
          </w:hyperlink>
        </w:p>
        <w:p w14:paraId="0107672A" w14:textId="42E02D90" w:rsidR="00AF7536" w:rsidRDefault="00AF7536">
          <w:pPr>
            <w:pStyle w:val="TOC2"/>
            <w:tabs>
              <w:tab w:val="right" w:leader="dot" w:pos="9350"/>
            </w:tabs>
            <w:rPr>
              <w:rFonts w:asciiTheme="minorHAnsi" w:eastAsiaTheme="minorEastAsia" w:hAnsiTheme="minorHAnsi"/>
              <w:noProof/>
              <w:sz w:val="24"/>
            </w:rPr>
          </w:pPr>
          <w:hyperlink w:anchor="_Toc226361762" w:history="1">
            <w:r w:rsidRPr="00626F03">
              <w:rPr>
                <w:rStyle w:val="Hyperlink"/>
                <w:rFonts w:cs="Arial"/>
                <w:noProof/>
              </w:rPr>
              <w:t>Public notice</w:t>
            </w:r>
            <w:r>
              <w:rPr>
                <w:noProof/>
                <w:webHidden/>
              </w:rPr>
              <w:tab/>
            </w:r>
            <w:r>
              <w:rPr>
                <w:noProof/>
                <w:webHidden/>
              </w:rPr>
              <w:fldChar w:fldCharType="begin"/>
            </w:r>
            <w:r>
              <w:rPr>
                <w:noProof/>
                <w:webHidden/>
              </w:rPr>
              <w:instrText xml:space="preserve"> PAGEREF _Toc226361762 \h </w:instrText>
            </w:r>
            <w:r>
              <w:rPr>
                <w:noProof/>
                <w:webHidden/>
              </w:rPr>
            </w:r>
            <w:r>
              <w:rPr>
                <w:noProof/>
                <w:webHidden/>
              </w:rPr>
              <w:fldChar w:fldCharType="separate"/>
            </w:r>
            <w:r>
              <w:rPr>
                <w:noProof/>
                <w:webHidden/>
              </w:rPr>
              <w:t>28</w:t>
            </w:r>
            <w:r>
              <w:rPr>
                <w:noProof/>
                <w:webHidden/>
              </w:rPr>
              <w:fldChar w:fldCharType="end"/>
            </w:r>
          </w:hyperlink>
        </w:p>
        <w:p w14:paraId="140D6491" w14:textId="28BAA517" w:rsidR="00AF7536" w:rsidRDefault="00AF7536">
          <w:pPr>
            <w:pStyle w:val="TOC1"/>
            <w:tabs>
              <w:tab w:val="right" w:leader="dot" w:pos="9350"/>
            </w:tabs>
            <w:rPr>
              <w:rFonts w:asciiTheme="minorHAnsi" w:eastAsiaTheme="minorEastAsia" w:hAnsiTheme="minorHAnsi"/>
              <w:noProof/>
              <w:sz w:val="24"/>
            </w:rPr>
          </w:pPr>
          <w:hyperlink w:anchor="_Toc226361763" w:history="1">
            <w:r w:rsidRPr="00626F03">
              <w:rPr>
                <w:rStyle w:val="Hyperlink"/>
                <w:noProof/>
              </w:rPr>
              <w:t>Public hearing</w:t>
            </w:r>
            <w:r>
              <w:rPr>
                <w:noProof/>
                <w:webHidden/>
              </w:rPr>
              <w:tab/>
            </w:r>
            <w:r>
              <w:rPr>
                <w:noProof/>
                <w:webHidden/>
              </w:rPr>
              <w:fldChar w:fldCharType="begin"/>
            </w:r>
            <w:r>
              <w:rPr>
                <w:noProof/>
                <w:webHidden/>
              </w:rPr>
              <w:instrText xml:space="preserve"> PAGEREF _Toc226361763 \h </w:instrText>
            </w:r>
            <w:r>
              <w:rPr>
                <w:noProof/>
                <w:webHidden/>
              </w:rPr>
            </w:r>
            <w:r>
              <w:rPr>
                <w:noProof/>
                <w:webHidden/>
              </w:rPr>
              <w:fldChar w:fldCharType="separate"/>
            </w:r>
            <w:r>
              <w:rPr>
                <w:noProof/>
                <w:webHidden/>
              </w:rPr>
              <w:t>29</w:t>
            </w:r>
            <w:r>
              <w:rPr>
                <w:noProof/>
                <w:webHidden/>
              </w:rPr>
              <w:fldChar w:fldCharType="end"/>
            </w:r>
          </w:hyperlink>
        </w:p>
        <w:p w14:paraId="60D7CBE4" w14:textId="3B3A4922" w:rsidR="00AF7536" w:rsidRDefault="00AF7536">
          <w:pPr>
            <w:pStyle w:val="TOC2"/>
            <w:tabs>
              <w:tab w:val="right" w:leader="dot" w:pos="9350"/>
            </w:tabs>
            <w:rPr>
              <w:rFonts w:asciiTheme="minorHAnsi" w:eastAsiaTheme="minorEastAsia" w:hAnsiTheme="minorHAnsi"/>
              <w:noProof/>
              <w:sz w:val="24"/>
            </w:rPr>
          </w:pPr>
          <w:hyperlink w:anchor="_Toc226361764" w:history="1">
            <w:r w:rsidRPr="00626F03">
              <w:rPr>
                <w:rStyle w:val="Hyperlink"/>
                <w:noProof/>
              </w:rPr>
              <w:t>Presiding officers’ record</w:t>
            </w:r>
            <w:r>
              <w:rPr>
                <w:noProof/>
                <w:webHidden/>
              </w:rPr>
              <w:tab/>
            </w:r>
            <w:r>
              <w:rPr>
                <w:noProof/>
                <w:webHidden/>
              </w:rPr>
              <w:fldChar w:fldCharType="begin"/>
            </w:r>
            <w:r>
              <w:rPr>
                <w:noProof/>
                <w:webHidden/>
              </w:rPr>
              <w:instrText xml:space="preserve"> PAGEREF _Toc226361764 \h </w:instrText>
            </w:r>
            <w:r>
              <w:rPr>
                <w:noProof/>
                <w:webHidden/>
              </w:rPr>
            </w:r>
            <w:r>
              <w:rPr>
                <w:noProof/>
                <w:webHidden/>
              </w:rPr>
              <w:fldChar w:fldCharType="separate"/>
            </w:r>
            <w:r>
              <w:rPr>
                <w:noProof/>
                <w:webHidden/>
              </w:rPr>
              <w:t>29</w:t>
            </w:r>
            <w:r>
              <w:rPr>
                <w:noProof/>
                <w:webHidden/>
              </w:rPr>
              <w:fldChar w:fldCharType="end"/>
            </w:r>
          </w:hyperlink>
        </w:p>
        <w:p w14:paraId="51B5DE87" w14:textId="17700408" w:rsidR="00AF7536" w:rsidRDefault="00AF7536">
          <w:pPr>
            <w:pStyle w:val="TOC1"/>
            <w:tabs>
              <w:tab w:val="right" w:leader="dot" w:pos="9350"/>
            </w:tabs>
            <w:rPr>
              <w:rFonts w:asciiTheme="minorHAnsi" w:eastAsiaTheme="minorEastAsia" w:hAnsiTheme="minorHAnsi"/>
              <w:noProof/>
              <w:sz w:val="24"/>
            </w:rPr>
          </w:pPr>
          <w:hyperlink w:anchor="_Toc226361765" w:history="1">
            <w:r w:rsidRPr="00626F03">
              <w:rPr>
                <w:rStyle w:val="Hyperlink"/>
                <w:noProof/>
              </w:rPr>
              <w:t>Summary of public comments and DEQ responses</w:t>
            </w:r>
            <w:r>
              <w:rPr>
                <w:noProof/>
                <w:webHidden/>
              </w:rPr>
              <w:tab/>
            </w:r>
            <w:r>
              <w:rPr>
                <w:noProof/>
                <w:webHidden/>
              </w:rPr>
              <w:fldChar w:fldCharType="begin"/>
            </w:r>
            <w:r>
              <w:rPr>
                <w:noProof/>
                <w:webHidden/>
              </w:rPr>
              <w:instrText xml:space="preserve"> PAGEREF _Toc226361765 \h </w:instrText>
            </w:r>
            <w:r>
              <w:rPr>
                <w:noProof/>
                <w:webHidden/>
              </w:rPr>
            </w:r>
            <w:r>
              <w:rPr>
                <w:noProof/>
                <w:webHidden/>
              </w:rPr>
              <w:fldChar w:fldCharType="separate"/>
            </w:r>
            <w:r>
              <w:rPr>
                <w:noProof/>
                <w:webHidden/>
              </w:rPr>
              <w:t>31</w:t>
            </w:r>
            <w:r>
              <w:rPr>
                <w:noProof/>
                <w:webHidden/>
              </w:rPr>
              <w:fldChar w:fldCharType="end"/>
            </w:r>
          </w:hyperlink>
        </w:p>
        <w:p w14:paraId="4926CA64" w14:textId="16586616" w:rsidR="00AF7536" w:rsidRDefault="00AF7536">
          <w:pPr>
            <w:pStyle w:val="TOC2"/>
            <w:tabs>
              <w:tab w:val="right" w:leader="dot" w:pos="9350"/>
            </w:tabs>
            <w:rPr>
              <w:rFonts w:asciiTheme="minorHAnsi" w:eastAsiaTheme="minorEastAsia" w:hAnsiTheme="minorHAnsi"/>
              <w:noProof/>
              <w:sz w:val="24"/>
            </w:rPr>
          </w:pPr>
          <w:hyperlink w:anchor="_Toc226361766" w:history="1">
            <w:r w:rsidRPr="00626F03">
              <w:rPr>
                <w:rStyle w:val="Hyperlink"/>
                <w:noProof/>
              </w:rPr>
              <w:t>Public comment period</w:t>
            </w:r>
            <w:r>
              <w:rPr>
                <w:noProof/>
                <w:webHidden/>
              </w:rPr>
              <w:tab/>
            </w:r>
            <w:r>
              <w:rPr>
                <w:noProof/>
                <w:webHidden/>
              </w:rPr>
              <w:fldChar w:fldCharType="begin"/>
            </w:r>
            <w:r>
              <w:rPr>
                <w:noProof/>
                <w:webHidden/>
              </w:rPr>
              <w:instrText xml:space="preserve"> PAGEREF _Toc226361766 \h </w:instrText>
            </w:r>
            <w:r>
              <w:rPr>
                <w:noProof/>
                <w:webHidden/>
              </w:rPr>
            </w:r>
            <w:r>
              <w:rPr>
                <w:noProof/>
                <w:webHidden/>
              </w:rPr>
              <w:fldChar w:fldCharType="separate"/>
            </w:r>
            <w:r>
              <w:rPr>
                <w:noProof/>
                <w:webHidden/>
              </w:rPr>
              <w:t>31</w:t>
            </w:r>
            <w:r>
              <w:rPr>
                <w:noProof/>
                <w:webHidden/>
              </w:rPr>
              <w:fldChar w:fldCharType="end"/>
            </w:r>
          </w:hyperlink>
        </w:p>
        <w:p w14:paraId="702F4700" w14:textId="38AC8432" w:rsidR="00AF7536" w:rsidRDefault="00AF7536">
          <w:pPr>
            <w:pStyle w:val="TOC3"/>
            <w:tabs>
              <w:tab w:val="right" w:leader="dot" w:pos="9350"/>
            </w:tabs>
            <w:rPr>
              <w:rFonts w:asciiTheme="minorHAnsi" w:eastAsiaTheme="minorEastAsia" w:hAnsiTheme="minorHAnsi"/>
              <w:noProof/>
              <w:sz w:val="24"/>
            </w:rPr>
          </w:pPr>
          <w:hyperlink w:anchor="_Toc226361767" w:history="1">
            <w:r w:rsidRPr="00626F03">
              <w:rPr>
                <w:rStyle w:val="Hyperlink"/>
                <w:noProof/>
              </w:rPr>
              <w:t>Comment 1: EV Rebates 2026 - OCVRP and ZERO Fleet - General support</w:t>
            </w:r>
            <w:r>
              <w:rPr>
                <w:noProof/>
                <w:webHidden/>
              </w:rPr>
              <w:tab/>
            </w:r>
            <w:r>
              <w:rPr>
                <w:noProof/>
                <w:webHidden/>
              </w:rPr>
              <w:fldChar w:fldCharType="begin"/>
            </w:r>
            <w:r>
              <w:rPr>
                <w:noProof/>
                <w:webHidden/>
              </w:rPr>
              <w:instrText xml:space="preserve"> PAGEREF _Toc226361767 \h </w:instrText>
            </w:r>
            <w:r>
              <w:rPr>
                <w:noProof/>
                <w:webHidden/>
              </w:rPr>
            </w:r>
            <w:r>
              <w:rPr>
                <w:noProof/>
                <w:webHidden/>
              </w:rPr>
              <w:fldChar w:fldCharType="separate"/>
            </w:r>
            <w:r>
              <w:rPr>
                <w:noProof/>
                <w:webHidden/>
              </w:rPr>
              <w:t>31</w:t>
            </w:r>
            <w:r>
              <w:rPr>
                <w:noProof/>
                <w:webHidden/>
              </w:rPr>
              <w:fldChar w:fldCharType="end"/>
            </w:r>
          </w:hyperlink>
        </w:p>
        <w:p w14:paraId="60C3C1AF" w14:textId="50F54230" w:rsidR="00AF7536" w:rsidRDefault="00AF7536">
          <w:pPr>
            <w:pStyle w:val="TOC3"/>
            <w:tabs>
              <w:tab w:val="right" w:leader="dot" w:pos="9350"/>
            </w:tabs>
            <w:rPr>
              <w:rFonts w:asciiTheme="minorHAnsi" w:eastAsiaTheme="minorEastAsia" w:hAnsiTheme="minorHAnsi"/>
              <w:noProof/>
              <w:sz w:val="24"/>
            </w:rPr>
          </w:pPr>
          <w:hyperlink w:anchor="_Toc226361768" w:history="1">
            <w:r w:rsidRPr="00626F03">
              <w:rPr>
                <w:rStyle w:val="Hyperlink"/>
                <w:noProof/>
              </w:rPr>
              <w:t>Comment 2: EV Rebates 2026 - OCVRP and ZERO Fleet - General opposition</w:t>
            </w:r>
            <w:r>
              <w:rPr>
                <w:noProof/>
                <w:webHidden/>
              </w:rPr>
              <w:tab/>
            </w:r>
            <w:r>
              <w:rPr>
                <w:noProof/>
                <w:webHidden/>
              </w:rPr>
              <w:fldChar w:fldCharType="begin"/>
            </w:r>
            <w:r>
              <w:rPr>
                <w:noProof/>
                <w:webHidden/>
              </w:rPr>
              <w:instrText xml:space="preserve"> PAGEREF _Toc226361768 \h </w:instrText>
            </w:r>
            <w:r>
              <w:rPr>
                <w:noProof/>
                <w:webHidden/>
              </w:rPr>
            </w:r>
            <w:r>
              <w:rPr>
                <w:noProof/>
                <w:webHidden/>
              </w:rPr>
              <w:fldChar w:fldCharType="separate"/>
            </w:r>
            <w:r>
              <w:rPr>
                <w:noProof/>
                <w:webHidden/>
              </w:rPr>
              <w:t>31</w:t>
            </w:r>
            <w:r>
              <w:rPr>
                <w:noProof/>
                <w:webHidden/>
              </w:rPr>
              <w:fldChar w:fldCharType="end"/>
            </w:r>
          </w:hyperlink>
        </w:p>
        <w:p w14:paraId="50EA4BFC" w14:textId="4C3DBB9A" w:rsidR="00AF7536" w:rsidRDefault="00AF7536">
          <w:pPr>
            <w:pStyle w:val="TOC3"/>
            <w:tabs>
              <w:tab w:val="right" w:leader="dot" w:pos="9350"/>
            </w:tabs>
            <w:rPr>
              <w:rFonts w:asciiTheme="minorHAnsi" w:eastAsiaTheme="minorEastAsia" w:hAnsiTheme="minorHAnsi"/>
              <w:noProof/>
              <w:sz w:val="24"/>
            </w:rPr>
          </w:pPr>
          <w:hyperlink w:anchor="_Toc226361769" w:history="1">
            <w:r w:rsidRPr="00626F03">
              <w:rPr>
                <w:rStyle w:val="Hyperlink"/>
                <w:noProof/>
              </w:rPr>
              <w:t>Comment 3: OCVRP – Supports rebate amount decreases</w:t>
            </w:r>
            <w:r>
              <w:rPr>
                <w:noProof/>
                <w:webHidden/>
              </w:rPr>
              <w:tab/>
            </w:r>
            <w:r>
              <w:rPr>
                <w:noProof/>
                <w:webHidden/>
              </w:rPr>
              <w:fldChar w:fldCharType="begin"/>
            </w:r>
            <w:r>
              <w:rPr>
                <w:noProof/>
                <w:webHidden/>
              </w:rPr>
              <w:instrText xml:space="preserve"> PAGEREF _Toc226361769 \h </w:instrText>
            </w:r>
            <w:r>
              <w:rPr>
                <w:noProof/>
                <w:webHidden/>
              </w:rPr>
            </w:r>
            <w:r>
              <w:rPr>
                <w:noProof/>
                <w:webHidden/>
              </w:rPr>
              <w:fldChar w:fldCharType="separate"/>
            </w:r>
            <w:r>
              <w:rPr>
                <w:noProof/>
                <w:webHidden/>
              </w:rPr>
              <w:t>32</w:t>
            </w:r>
            <w:r>
              <w:rPr>
                <w:noProof/>
                <w:webHidden/>
              </w:rPr>
              <w:fldChar w:fldCharType="end"/>
            </w:r>
          </w:hyperlink>
        </w:p>
        <w:p w14:paraId="4771F496" w14:textId="40BEDEC3" w:rsidR="00AF7536" w:rsidRDefault="00AF7536">
          <w:pPr>
            <w:pStyle w:val="TOC3"/>
            <w:tabs>
              <w:tab w:val="right" w:leader="dot" w:pos="9350"/>
            </w:tabs>
            <w:rPr>
              <w:rFonts w:asciiTheme="minorHAnsi" w:eastAsiaTheme="minorEastAsia" w:hAnsiTheme="minorHAnsi"/>
              <w:noProof/>
              <w:sz w:val="24"/>
            </w:rPr>
          </w:pPr>
          <w:hyperlink w:anchor="_Toc226361770" w:history="1">
            <w:r w:rsidRPr="00626F03">
              <w:rPr>
                <w:rStyle w:val="Hyperlink"/>
                <w:noProof/>
              </w:rPr>
              <w:t>Comment 4: OCVRP – Opposes rebate amount decreases</w:t>
            </w:r>
            <w:r>
              <w:rPr>
                <w:noProof/>
                <w:webHidden/>
              </w:rPr>
              <w:tab/>
            </w:r>
            <w:r>
              <w:rPr>
                <w:noProof/>
                <w:webHidden/>
              </w:rPr>
              <w:fldChar w:fldCharType="begin"/>
            </w:r>
            <w:r>
              <w:rPr>
                <w:noProof/>
                <w:webHidden/>
              </w:rPr>
              <w:instrText xml:space="preserve"> PAGEREF _Toc226361770 \h </w:instrText>
            </w:r>
            <w:r>
              <w:rPr>
                <w:noProof/>
                <w:webHidden/>
              </w:rPr>
            </w:r>
            <w:r>
              <w:rPr>
                <w:noProof/>
                <w:webHidden/>
              </w:rPr>
              <w:fldChar w:fldCharType="separate"/>
            </w:r>
            <w:r>
              <w:rPr>
                <w:noProof/>
                <w:webHidden/>
              </w:rPr>
              <w:t>32</w:t>
            </w:r>
            <w:r>
              <w:rPr>
                <w:noProof/>
                <w:webHidden/>
              </w:rPr>
              <w:fldChar w:fldCharType="end"/>
            </w:r>
          </w:hyperlink>
        </w:p>
        <w:p w14:paraId="79C109DC" w14:textId="18345007" w:rsidR="00AF7536" w:rsidRDefault="00AF7536">
          <w:pPr>
            <w:pStyle w:val="TOC3"/>
            <w:tabs>
              <w:tab w:val="right" w:leader="dot" w:pos="9350"/>
            </w:tabs>
            <w:rPr>
              <w:rFonts w:asciiTheme="minorHAnsi" w:eastAsiaTheme="minorEastAsia" w:hAnsiTheme="minorHAnsi"/>
              <w:noProof/>
              <w:sz w:val="24"/>
            </w:rPr>
          </w:pPr>
          <w:hyperlink w:anchor="_Toc226361771" w:history="1">
            <w:r w:rsidRPr="00626F03">
              <w:rPr>
                <w:rStyle w:val="Hyperlink"/>
                <w:noProof/>
              </w:rPr>
              <w:t>Comment 5: OCVRP – Individual rebate cap</w:t>
            </w:r>
            <w:r>
              <w:rPr>
                <w:noProof/>
                <w:webHidden/>
              </w:rPr>
              <w:tab/>
            </w:r>
            <w:r>
              <w:rPr>
                <w:noProof/>
                <w:webHidden/>
              </w:rPr>
              <w:fldChar w:fldCharType="begin"/>
            </w:r>
            <w:r>
              <w:rPr>
                <w:noProof/>
                <w:webHidden/>
              </w:rPr>
              <w:instrText xml:space="preserve"> PAGEREF _Toc226361771 \h </w:instrText>
            </w:r>
            <w:r>
              <w:rPr>
                <w:noProof/>
                <w:webHidden/>
              </w:rPr>
            </w:r>
            <w:r>
              <w:rPr>
                <w:noProof/>
                <w:webHidden/>
              </w:rPr>
              <w:fldChar w:fldCharType="separate"/>
            </w:r>
            <w:r>
              <w:rPr>
                <w:noProof/>
                <w:webHidden/>
              </w:rPr>
              <w:t>33</w:t>
            </w:r>
            <w:r>
              <w:rPr>
                <w:noProof/>
                <w:webHidden/>
              </w:rPr>
              <w:fldChar w:fldCharType="end"/>
            </w:r>
          </w:hyperlink>
        </w:p>
        <w:p w14:paraId="7DA44849" w14:textId="490E28BB" w:rsidR="00AF7536" w:rsidRDefault="00AF7536">
          <w:pPr>
            <w:pStyle w:val="TOC3"/>
            <w:tabs>
              <w:tab w:val="right" w:leader="dot" w:pos="9350"/>
            </w:tabs>
            <w:rPr>
              <w:rFonts w:asciiTheme="minorHAnsi" w:eastAsiaTheme="minorEastAsia" w:hAnsiTheme="minorHAnsi"/>
              <w:noProof/>
              <w:sz w:val="24"/>
            </w:rPr>
          </w:pPr>
          <w:hyperlink w:anchor="_Toc226361772" w:history="1">
            <w:r w:rsidRPr="00626F03">
              <w:rPr>
                <w:rStyle w:val="Hyperlink"/>
                <w:noProof/>
              </w:rPr>
              <w:t>Comment 6: OCVRP - Used vehicle range considerations</w:t>
            </w:r>
            <w:r>
              <w:rPr>
                <w:noProof/>
                <w:webHidden/>
              </w:rPr>
              <w:tab/>
            </w:r>
            <w:r>
              <w:rPr>
                <w:noProof/>
                <w:webHidden/>
              </w:rPr>
              <w:fldChar w:fldCharType="begin"/>
            </w:r>
            <w:r>
              <w:rPr>
                <w:noProof/>
                <w:webHidden/>
              </w:rPr>
              <w:instrText xml:space="preserve"> PAGEREF _Toc226361772 \h </w:instrText>
            </w:r>
            <w:r>
              <w:rPr>
                <w:noProof/>
                <w:webHidden/>
              </w:rPr>
            </w:r>
            <w:r>
              <w:rPr>
                <w:noProof/>
                <w:webHidden/>
              </w:rPr>
              <w:fldChar w:fldCharType="separate"/>
            </w:r>
            <w:r>
              <w:rPr>
                <w:noProof/>
                <w:webHidden/>
              </w:rPr>
              <w:t>33</w:t>
            </w:r>
            <w:r>
              <w:rPr>
                <w:noProof/>
                <w:webHidden/>
              </w:rPr>
              <w:fldChar w:fldCharType="end"/>
            </w:r>
          </w:hyperlink>
        </w:p>
        <w:p w14:paraId="22761308" w14:textId="31C8A858" w:rsidR="00AF7536" w:rsidRDefault="00AF7536">
          <w:pPr>
            <w:pStyle w:val="TOC3"/>
            <w:tabs>
              <w:tab w:val="right" w:leader="dot" w:pos="9350"/>
            </w:tabs>
            <w:rPr>
              <w:rFonts w:asciiTheme="minorHAnsi" w:eastAsiaTheme="minorEastAsia" w:hAnsiTheme="minorHAnsi"/>
              <w:noProof/>
              <w:sz w:val="24"/>
            </w:rPr>
          </w:pPr>
          <w:hyperlink w:anchor="_Toc226361773" w:history="1">
            <w:r w:rsidRPr="00626F03">
              <w:rPr>
                <w:rStyle w:val="Hyperlink"/>
                <w:noProof/>
              </w:rPr>
              <w:t>Comment 7: OCVRP - Rebate reservation system</w:t>
            </w:r>
            <w:r>
              <w:rPr>
                <w:noProof/>
                <w:webHidden/>
              </w:rPr>
              <w:tab/>
            </w:r>
            <w:r>
              <w:rPr>
                <w:noProof/>
                <w:webHidden/>
              </w:rPr>
              <w:fldChar w:fldCharType="begin"/>
            </w:r>
            <w:r>
              <w:rPr>
                <w:noProof/>
                <w:webHidden/>
              </w:rPr>
              <w:instrText xml:space="preserve"> PAGEREF _Toc226361773 \h </w:instrText>
            </w:r>
            <w:r>
              <w:rPr>
                <w:noProof/>
                <w:webHidden/>
              </w:rPr>
            </w:r>
            <w:r>
              <w:rPr>
                <w:noProof/>
                <w:webHidden/>
              </w:rPr>
              <w:fldChar w:fldCharType="separate"/>
            </w:r>
            <w:r>
              <w:rPr>
                <w:noProof/>
                <w:webHidden/>
              </w:rPr>
              <w:t>34</w:t>
            </w:r>
            <w:r>
              <w:rPr>
                <w:noProof/>
                <w:webHidden/>
              </w:rPr>
              <w:fldChar w:fldCharType="end"/>
            </w:r>
          </w:hyperlink>
        </w:p>
        <w:p w14:paraId="26C4CCC9" w14:textId="623D92DF" w:rsidR="00AF7536" w:rsidRDefault="00AF7536">
          <w:pPr>
            <w:pStyle w:val="TOC3"/>
            <w:tabs>
              <w:tab w:val="right" w:leader="dot" w:pos="9350"/>
            </w:tabs>
            <w:rPr>
              <w:rFonts w:asciiTheme="minorHAnsi" w:eastAsiaTheme="minorEastAsia" w:hAnsiTheme="minorHAnsi"/>
              <w:noProof/>
              <w:sz w:val="24"/>
            </w:rPr>
          </w:pPr>
          <w:hyperlink w:anchor="_Toc226361774" w:history="1">
            <w:r w:rsidRPr="00626F03">
              <w:rPr>
                <w:rStyle w:val="Hyperlink"/>
                <w:noProof/>
              </w:rPr>
              <w:t>Comment 8: EV Rebates 2026 - OCVRP and ZERO Fleet Miscellaneous – Economic impacts</w:t>
            </w:r>
            <w:r>
              <w:rPr>
                <w:noProof/>
                <w:webHidden/>
              </w:rPr>
              <w:tab/>
            </w:r>
            <w:r>
              <w:rPr>
                <w:noProof/>
                <w:webHidden/>
              </w:rPr>
              <w:fldChar w:fldCharType="begin"/>
            </w:r>
            <w:r>
              <w:rPr>
                <w:noProof/>
                <w:webHidden/>
              </w:rPr>
              <w:instrText xml:space="preserve"> PAGEREF _Toc226361774 \h </w:instrText>
            </w:r>
            <w:r>
              <w:rPr>
                <w:noProof/>
                <w:webHidden/>
              </w:rPr>
            </w:r>
            <w:r>
              <w:rPr>
                <w:noProof/>
                <w:webHidden/>
              </w:rPr>
              <w:fldChar w:fldCharType="separate"/>
            </w:r>
            <w:r>
              <w:rPr>
                <w:noProof/>
                <w:webHidden/>
              </w:rPr>
              <w:t>34</w:t>
            </w:r>
            <w:r>
              <w:rPr>
                <w:noProof/>
                <w:webHidden/>
              </w:rPr>
              <w:fldChar w:fldCharType="end"/>
            </w:r>
          </w:hyperlink>
        </w:p>
        <w:p w14:paraId="66F0FB4E" w14:textId="60D0B4DD" w:rsidR="00AF7536" w:rsidRDefault="00AF7536">
          <w:pPr>
            <w:pStyle w:val="TOC3"/>
            <w:tabs>
              <w:tab w:val="right" w:leader="dot" w:pos="9350"/>
            </w:tabs>
            <w:rPr>
              <w:rFonts w:asciiTheme="minorHAnsi" w:eastAsiaTheme="minorEastAsia" w:hAnsiTheme="minorHAnsi"/>
              <w:noProof/>
              <w:sz w:val="24"/>
            </w:rPr>
          </w:pPr>
          <w:hyperlink w:anchor="_Toc226361775" w:history="1">
            <w:r w:rsidRPr="00626F03">
              <w:rPr>
                <w:rStyle w:val="Hyperlink"/>
                <w:noProof/>
              </w:rPr>
              <w:t>Comment 9: EV Rebates 2026 - OCVRP and ZERO Fleet 2026 Miscellaneous – Environmental Justice and public health impacts</w:t>
            </w:r>
            <w:r>
              <w:rPr>
                <w:noProof/>
                <w:webHidden/>
              </w:rPr>
              <w:tab/>
            </w:r>
            <w:r>
              <w:rPr>
                <w:noProof/>
                <w:webHidden/>
              </w:rPr>
              <w:fldChar w:fldCharType="begin"/>
            </w:r>
            <w:r>
              <w:rPr>
                <w:noProof/>
                <w:webHidden/>
              </w:rPr>
              <w:instrText xml:space="preserve"> PAGEREF _Toc226361775 \h </w:instrText>
            </w:r>
            <w:r>
              <w:rPr>
                <w:noProof/>
                <w:webHidden/>
              </w:rPr>
            </w:r>
            <w:r>
              <w:rPr>
                <w:noProof/>
                <w:webHidden/>
              </w:rPr>
              <w:fldChar w:fldCharType="separate"/>
            </w:r>
            <w:r>
              <w:rPr>
                <w:noProof/>
                <w:webHidden/>
              </w:rPr>
              <w:t>35</w:t>
            </w:r>
            <w:r>
              <w:rPr>
                <w:noProof/>
                <w:webHidden/>
              </w:rPr>
              <w:fldChar w:fldCharType="end"/>
            </w:r>
          </w:hyperlink>
        </w:p>
        <w:p w14:paraId="45E5D9B2" w14:textId="32BD84A4" w:rsidR="00AF7536" w:rsidRDefault="00AF7536">
          <w:pPr>
            <w:pStyle w:val="TOC3"/>
            <w:tabs>
              <w:tab w:val="right" w:leader="dot" w:pos="9350"/>
            </w:tabs>
            <w:rPr>
              <w:rFonts w:asciiTheme="minorHAnsi" w:eastAsiaTheme="minorEastAsia" w:hAnsiTheme="minorHAnsi"/>
              <w:noProof/>
              <w:sz w:val="24"/>
            </w:rPr>
          </w:pPr>
          <w:hyperlink w:anchor="_Toc226361776" w:history="1">
            <w:r w:rsidRPr="00626F03">
              <w:rPr>
                <w:rStyle w:val="Hyperlink"/>
                <w:noProof/>
              </w:rPr>
              <w:t>Comment 10: EV Rebates 2026 - OCVRP and ZERO Fleet Miscellaneous – Implementation recommendations</w:t>
            </w:r>
            <w:r>
              <w:rPr>
                <w:noProof/>
                <w:webHidden/>
              </w:rPr>
              <w:tab/>
            </w:r>
            <w:r>
              <w:rPr>
                <w:noProof/>
                <w:webHidden/>
              </w:rPr>
              <w:fldChar w:fldCharType="begin"/>
            </w:r>
            <w:r>
              <w:rPr>
                <w:noProof/>
                <w:webHidden/>
              </w:rPr>
              <w:instrText xml:space="preserve"> PAGEREF _Toc226361776 \h </w:instrText>
            </w:r>
            <w:r>
              <w:rPr>
                <w:noProof/>
                <w:webHidden/>
              </w:rPr>
            </w:r>
            <w:r>
              <w:rPr>
                <w:noProof/>
                <w:webHidden/>
              </w:rPr>
              <w:fldChar w:fldCharType="separate"/>
            </w:r>
            <w:r>
              <w:rPr>
                <w:noProof/>
                <w:webHidden/>
              </w:rPr>
              <w:t>35</w:t>
            </w:r>
            <w:r>
              <w:rPr>
                <w:noProof/>
                <w:webHidden/>
              </w:rPr>
              <w:fldChar w:fldCharType="end"/>
            </w:r>
          </w:hyperlink>
        </w:p>
        <w:p w14:paraId="1DDD4CE5" w14:textId="43D64F86" w:rsidR="00AF7536" w:rsidRDefault="00AF7536">
          <w:pPr>
            <w:pStyle w:val="TOC3"/>
            <w:tabs>
              <w:tab w:val="right" w:leader="dot" w:pos="9350"/>
            </w:tabs>
            <w:rPr>
              <w:rFonts w:asciiTheme="minorHAnsi" w:eastAsiaTheme="minorEastAsia" w:hAnsiTheme="minorHAnsi"/>
              <w:noProof/>
              <w:sz w:val="24"/>
            </w:rPr>
          </w:pPr>
          <w:hyperlink w:anchor="_Toc226361777" w:history="1">
            <w:r w:rsidRPr="00626F03">
              <w:rPr>
                <w:rStyle w:val="Hyperlink"/>
                <w:noProof/>
              </w:rPr>
              <w:t>Comment 11: EV Rebates 2026 - OCVRP and ZERO Fleet Miscellaneous – EV registration and road user fees</w:t>
            </w:r>
            <w:r>
              <w:rPr>
                <w:noProof/>
                <w:webHidden/>
              </w:rPr>
              <w:tab/>
            </w:r>
            <w:r>
              <w:rPr>
                <w:noProof/>
                <w:webHidden/>
              </w:rPr>
              <w:fldChar w:fldCharType="begin"/>
            </w:r>
            <w:r>
              <w:rPr>
                <w:noProof/>
                <w:webHidden/>
              </w:rPr>
              <w:instrText xml:space="preserve"> PAGEREF _Toc226361777 \h </w:instrText>
            </w:r>
            <w:r>
              <w:rPr>
                <w:noProof/>
                <w:webHidden/>
              </w:rPr>
            </w:r>
            <w:r>
              <w:rPr>
                <w:noProof/>
                <w:webHidden/>
              </w:rPr>
              <w:fldChar w:fldCharType="separate"/>
            </w:r>
            <w:r>
              <w:rPr>
                <w:noProof/>
                <w:webHidden/>
              </w:rPr>
              <w:t>35</w:t>
            </w:r>
            <w:r>
              <w:rPr>
                <w:noProof/>
                <w:webHidden/>
              </w:rPr>
              <w:fldChar w:fldCharType="end"/>
            </w:r>
          </w:hyperlink>
        </w:p>
        <w:p w14:paraId="4DDBAEC1" w14:textId="47E52743" w:rsidR="00AF7536" w:rsidRDefault="00AF7536">
          <w:pPr>
            <w:pStyle w:val="TOC3"/>
            <w:tabs>
              <w:tab w:val="right" w:leader="dot" w:pos="9350"/>
            </w:tabs>
            <w:rPr>
              <w:rFonts w:asciiTheme="minorHAnsi" w:eastAsiaTheme="minorEastAsia" w:hAnsiTheme="minorHAnsi"/>
              <w:noProof/>
              <w:sz w:val="24"/>
            </w:rPr>
          </w:pPr>
          <w:hyperlink w:anchor="_Toc226361778" w:history="1">
            <w:r w:rsidRPr="00626F03">
              <w:rPr>
                <w:rStyle w:val="Hyperlink"/>
                <w:noProof/>
              </w:rPr>
              <w:t>Comment 12: OCVRP Miscellaneous – Rebate processing recommendations</w:t>
            </w:r>
            <w:r>
              <w:rPr>
                <w:noProof/>
                <w:webHidden/>
              </w:rPr>
              <w:tab/>
            </w:r>
            <w:r>
              <w:rPr>
                <w:noProof/>
                <w:webHidden/>
              </w:rPr>
              <w:fldChar w:fldCharType="begin"/>
            </w:r>
            <w:r>
              <w:rPr>
                <w:noProof/>
                <w:webHidden/>
              </w:rPr>
              <w:instrText xml:space="preserve"> PAGEREF _Toc226361778 \h </w:instrText>
            </w:r>
            <w:r>
              <w:rPr>
                <w:noProof/>
                <w:webHidden/>
              </w:rPr>
            </w:r>
            <w:r>
              <w:rPr>
                <w:noProof/>
                <w:webHidden/>
              </w:rPr>
              <w:fldChar w:fldCharType="separate"/>
            </w:r>
            <w:r>
              <w:rPr>
                <w:noProof/>
                <w:webHidden/>
              </w:rPr>
              <w:t>36</w:t>
            </w:r>
            <w:r>
              <w:rPr>
                <w:noProof/>
                <w:webHidden/>
              </w:rPr>
              <w:fldChar w:fldCharType="end"/>
            </w:r>
          </w:hyperlink>
        </w:p>
        <w:p w14:paraId="7FCBF97A" w14:textId="119CED44" w:rsidR="00AF7536" w:rsidRDefault="00AF7536">
          <w:pPr>
            <w:pStyle w:val="TOC3"/>
            <w:tabs>
              <w:tab w:val="right" w:leader="dot" w:pos="9350"/>
            </w:tabs>
            <w:rPr>
              <w:rFonts w:asciiTheme="minorHAnsi" w:eastAsiaTheme="minorEastAsia" w:hAnsiTheme="minorHAnsi"/>
              <w:noProof/>
              <w:sz w:val="24"/>
            </w:rPr>
          </w:pPr>
          <w:hyperlink w:anchor="_Toc226361779" w:history="1">
            <w:r w:rsidRPr="00626F03">
              <w:rPr>
                <w:rStyle w:val="Hyperlink"/>
                <w:noProof/>
              </w:rPr>
              <w:t>Comment 13: OCVRP Miscellaneous – Charge Ahead Voucher use</w:t>
            </w:r>
            <w:r>
              <w:rPr>
                <w:noProof/>
                <w:webHidden/>
              </w:rPr>
              <w:tab/>
            </w:r>
            <w:r>
              <w:rPr>
                <w:noProof/>
                <w:webHidden/>
              </w:rPr>
              <w:fldChar w:fldCharType="begin"/>
            </w:r>
            <w:r>
              <w:rPr>
                <w:noProof/>
                <w:webHidden/>
              </w:rPr>
              <w:instrText xml:space="preserve"> PAGEREF _Toc226361779 \h </w:instrText>
            </w:r>
            <w:r>
              <w:rPr>
                <w:noProof/>
                <w:webHidden/>
              </w:rPr>
            </w:r>
            <w:r>
              <w:rPr>
                <w:noProof/>
                <w:webHidden/>
              </w:rPr>
              <w:fldChar w:fldCharType="separate"/>
            </w:r>
            <w:r>
              <w:rPr>
                <w:noProof/>
                <w:webHidden/>
              </w:rPr>
              <w:t>36</w:t>
            </w:r>
            <w:r>
              <w:rPr>
                <w:noProof/>
                <w:webHidden/>
              </w:rPr>
              <w:fldChar w:fldCharType="end"/>
            </w:r>
          </w:hyperlink>
        </w:p>
        <w:p w14:paraId="4F2EB594" w14:textId="5BA2116A" w:rsidR="00AF7536" w:rsidRDefault="00AF7536">
          <w:pPr>
            <w:pStyle w:val="TOC3"/>
            <w:tabs>
              <w:tab w:val="right" w:leader="dot" w:pos="9350"/>
            </w:tabs>
            <w:rPr>
              <w:rFonts w:asciiTheme="minorHAnsi" w:eastAsiaTheme="minorEastAsia" w:hAnsiTheme="minorHAnsi"/>
              <w:noProof/>
              <w:sz w:val="24"/>
            </w:rPr>
          </w:pPr>
          <w:hyperlink w:anchor="_Toc226361780" w:history="1">
            <w:r w:rsidRPr="00626F03">
              <w:rPr>
                <w:rStyle w:val="Hyperlink"/>
                <w:noProof/>
              </w:rPr>
              <w:t>Comment 14: OCVRP Miscellaneous – Participating dealer list</w:t>
            </w:r>
            <w:r>
              <w:rPr>
                <w:noProof/>
                <w:webHidden/>
              </w:rPr>
              <w:tab/>
            </w:r>
            <w:r>
              <w:rPr>
                <w:noProof/>
                <w:webHidden/>
              </w:rPr>
              <w:fldChar w:fldCharType="begin"/>
            </w:r>
            <w:r>
              <w:rPr>
                <w:noProof/>
                <w:webHidden/>
              </w:rPr>
              <w:instrText xml:space="preserve"> PAGEREF _Toc226361780 \h </w:instrText>
            </w:r>
            <w:r>
              <w:rPr>
                <w:noProof/>
                <w:webHidden/>
              </w:rPr>
            </w:r>
            <w:r>
              <w:rPr>
                <w:noProof/>
                <w:webHidden/>
              </w:rPr>
              <w:fldChar w:fldCharType="separate"/>
            </w:r>
            <w:r>
              <w:rPr>
                <w:noProof/>
                <w:webHidden/>
              </w:rPr>
              <w:t>36</w:t>
            </w:r>
            <w:r>
              <w:rPr>
                <w:noProof/>
                <w:webHidden/>
              </w:rPr>
              <w:fldChar w:fldCharType="end"/>
            </w:r>
          </w:hyperlink>
        </w:p>
        <w:p w14:paraId="4DF8DD22" w14:textId="0277F367" w:rsidR="00AF7536" w:rsidRDefault="00AF7536">
          <w:pPr>
            <w:pStyle w:val="TOC3"/>
            <w:tabs>
              <w:tab w:val="right" w:leader="dot" w:pos="9350"/>
            </w:tabs>
            <w:rPr>
              <w:rFonts w:asciiTheme="minorHAnsi" w:eastAsiaTheme="minorEastAsia" w:hAnsiTheme="minorHAnsi"/>
              <w:noProof/>
              <w:sz w:val="24"/>
            </w:rPr>
          </w:pPr>
          <w:hyperlink w:anchor="_Toc226361781" w:history="1">
            <w:r w:rsidRPr="00626F03">
              <w:rPr>
                <w:rStyle w:val="Hyperlink"/>
                <w:noProof/>
              </w:rPr>
              <w:t>Comment 15: OCVRP Miscellaneous – Dealer pricing restrictions</w:t>
            </w:r>
            <w:r>
              <w:rPr>
                <w:noProof/>
                <w:webHidden/>
              </w:rPr>
              <w:tab/>
            </w:r>
            <w:r>
              <w:rPr>
                <w:noProof/>
                <w:webHidden/>
              </w:rPr>
              <w:fldChar w:fldCharType="begin"/>
            </w:r>
            <w:r>
              <w:rPr>
                <w:noProof/>
                <w:webHidden/>
              </w:rPr>
              <w:instrText xml:space="preserve"> PAGEREF _Toc226361781 \h </w:instrText>
            </w:r>
            <w:r>
              <w:rPr>
                <w:noProof/>
                <w:webHidden/>
              </w:rPr>
            </w:r>
            <w:r>
              <w:rPr>
                <w:noProof/>
                <w:webHidden/>
              </w:rPr>
              <w:fldChar w:fldCharType="separate"/>
            </w:r>
            <w:r>
              <w:rPr>
                <w:noProof/>
                <w:webHidden/>
              </w:rPr>
              <w:t>37</w:t>
            </w:r>
            <w:r>
              <w:rPr>
                <w:noProof/>
                <w:webHidden/>
              </w:rPr>
              <w:fldChar w:fldCharType="end"/>
            </w:r>
          </w:hyperlink>
        </w:p>
        <w:p w14:paraId="5F48508B" w14:textId="6B6A5A7C" w:rsidR="00AF7536" w:rsidRDefault="00AF7536">
          <w:pPr>
            <w:pStyle w:val="TOC3"/>
            <w:tabs>
              <w:tab w:val="right" w:leader="dot" w:pos="9350"/>
            </w:tabs>
            <w:rPr>
              <w:rFonts w:asciiTheme="minorHAnsi" w:eastAsiaTheme="minorEastAsia" w:hAnsiTheme="minorHAnsi"/>
              <w:noProof/>
              <w:sz w:val="24"/>
            </w:rPr>
          </w:pPr>
          <w:hyperlink w:anchor="_Toc226361782" w:history="1">
            <w:r w:rsidRPr="00626F03">
              <w:rPr>
                <w:rStyle w:val="Hyperlink"/>
                <w:noProof/>
              </w:rPr>
              <w:t>Comment 16: OCVRP Miscellaneous – Dealer payments</w:t>
            </w:r>
            <w:r>
              <w:rPr>
                <w:noProof/>
                <w:webHidden/>
              </w:rPr>
              <w:tab/>
            </w:r>
            <w:r>
              <w:rPr>
                <w:noProof/>
                <w:webHidden/>
              </w:rPr>
              <w:fldChar w:fldCharType="begin"/>
            </w:r>
            <w:r>
              <w:rPr>
                <w:noProof/>
                <w:webHidden/>
              </w:rPr>
              <w:instrText xml:space="preserve"> PAGEREF _Toc226361782 \h </w:instrText>
            </w:r>
            <w:r>
              <w:rPr>
                <w:noProof/>
                <w:webHidden/>
              </w:rPr>
            </w:r>
            <w:r>
              <w:rPr>
                <w:noProof/>
                <w:webHidden/>
              </w:rPr>
              <w:fldChar w:fldCharType="separate"/>
            </w:r>
            <w:r>
              <w:rPr>
                <w:noProof/>
                <w:webHidden/>
              </w:rPr>
              <w:t>37</w:t>
            </w:r>
            <w:r>
              <w:rPr>
                <w:noProof/>
                <w:webHidden/>
              </w:rPr>
              <w:fldChar w:fldCharType="end"/>
            </w:r>
          </w:hyperlink>
        </w:p>
        <w:p w14:paraId="7446D39D" w14:textId="26F3902C" w:rsidR="00AF7536" w:rsidRDefault="00AF7536">
          <w:pPr>
            <w:pStyle w:val="TOC3"/>
            <w:tabs>
              <w:tab w:val="right" w:leader="dot" w:pos="9350"/>
            </w:tabs>
            <w:rPr>
              <w:rFonts w:asciiTheme="minorHAnsi" w:eastAsiaTheme="minorEastAsia" w:hAnsiTheme="minorHAnsi"/>
              <w:noProof/>
              <w:sz w:val="24"/>
            </w:rPr>
          </w:pPr>
          <w:hyperlink w:anchor="_Toc226361783" w:history="1">
            <w:r w:rsidRPr="00626F03">
              <w:rPr>
                <w:rStyle w:val="Hyperlink"/>
                <w:noProof/>
              </w:rPr>
              <w:t>Comment 17: OCVRP Miscellaneous – Allow vehicles purchased or leased during the suspension to receive the rebate</w:t>
            </w:r>
            <w:r>
              <w:rPr>
                <w:noProof/>
                <w:webHidden/>
              </w:rPr>
              <w:tab/>
            </w:r>
            <w:r>
              <w:rPr>
                <w:noProof/>
                <w:webHidden/>
              </w:rPr>
              <w:fldChar w:fldCharType="begin"/>
            </w:r>
            <w:r>
              <w:rPr>
                <w:noProof/>
                <w:webHidden/>
              </w:rPr>
              <w:instrText xml:space="preserve"> PAGEREF _Toc226361783 \h </w:instrText>
            </w:r>
            <w:r>
              <w:rPr>
                <w:noProof/>
                <w:webHidden/>
              </w:rPr>
            </w:r>
            <w:r>
              <w:rPr>
                <w:noProof/>
                <w:webHidden/>
              </w:rPr>
              <w:fldChar w:fldCharType="separate"/>
            </w:r>
            <w:r>
              <w:rPr>
                <w:noProof/>
                <w:webHidden/>
              </w:rPr>
              <w:t>37</w:t>
            </w:r>
            <w:r>
              <w:rPr>
                <w:noProof/>
                <w:webHidden/>
              </w:rPr>
              <w:fldChar w:fldCharType="end"/>
            </w:r>
          </w:hyperlink>
        </w:p>
        <w:p w14:paraId="5C31162F" w14:textId="29D3B5BB" w:rsidR="00AF7536" w:rsidRDefault="00AF7536">
          <w:pPr>
            <w:pStyle w:val="TOC3"/>
            <w:tabs>
              <w:tab w:val="right" w:leader="dot" w:pos="9350"/>
            </w:tabs>
            <w:rPr>
              <w:rFonts w:asciiTheme="minorHAnsi" w:eastAsiaTheme="minorEastAsia" w:hAnsiTheme="minorHAnsi"/>
              <w:noProof/>
              <w:sz w:val="24"/>
            </w:rPr>
          </w:pPr>
          <w:hyperlink w:anchor="_Toc226361784" w:history="1">
            <w:r w:rsidRPr="00626F03">
              <w:rPr>
                <w:rStyle w:val="Hyperlink"/>
                <w:noProof/>
              </w:rPr>
              <w:t>Comment 18: EV Rebates 2026 - OCVRP Miscellaneous – Vehicle MSRP Increases</w:t>
            </w:r>
            <w:r>
              <w:rPr>
                <w:noProof/>
                <w:webHidden/>
              </w:rPr>
              <w:tab/>
            </w:r>
            <w:r>
              <w:rPr>
                <w:noProof/>
                <w:webHidden/>
              </w:rPr>
              <w:fldChar w:fldCharType="begin"/>
            </w:r>
            <w:r>
              <w:rPr>
                <w:noProof/>
                <w:webHidden/>
              </w:rPr>
              <w:instrText xml:space="preserve"> PAGEREF _Toc226361784 \h </w:instrText>
            </w:r>
            <w:r>
              <w:rPr>
                <w:noProof/>
                <w:webHidden/>
              </w:rPr>
            </w:r>
            <w:r>
              <w:rPr>
                <w:noProof/>
                <w:webHidden/>
              </w:rPr>
              <w:fldChar w:fldCharType="separate"/>
            </w:r>
            <w:r>
              <w:rPr>
                <w:noProof/>
                <w:webHidden/>
              </w:rPr>
              <w:t>38</w:t>
            </w:r>
            <w:r>
              <w:rPr>
                <w:noProof/>
                <w:webHidden/>
              </w:rPr>
              <w:fldChar w:fldCharType="end"/>
            </w:r>
          </w:hyperlink>
        </w:p>
        <w:p w14:paraId="622CF57E" w14:textId="38CC7F8B" w:rsidR="00AF7536" w:rsidRDefault="00AF7536">
          <w:pPr>
            <w:pStyle w:val="TOC3"/>
            <w:tabs>
              <w:tab w:val="right" w:leader="dot" w:pos="9350"/>
            </w:tabs>
            <w:rPr>
              <w:rFonts w:asciiTheme="minorHAnsi" w:eastAsiaTheme="minorEastAsia" w:hAnsiTheme="minorHAnsi"/>
              <w:noProof/>
              <w:sz w:val="24"/>
            </w:rPr>
          </w:pPr>
          <w:hyperlink w:anchor="_Toc226361785" w:history="1">
            <w:r w:rsidRPr="00626F03">
              <w:rPr>
                <w:rStyle w:val="Hyperlink"/>
                <w:noProof/>
              </w:rPr>
              <w:t>Comment 19: OCVRP Miscellaneous – Income limits</w:t>
            </w:r>
            <w:r>
              <w:rPr>
                <w:noProof/>
                <w:webHidden/>
              </w:rPr>
              <w:tab/>
            </w:r>
            <w:r>
              <w:rPr>
                <w:noProof/>
                <w:webHidden/>
              </w:rPr>
              <w:fldChar w:fldCharType="begin"/>
            </w:r>
            <w:r>
              <w:rPr>
                <w:noProof/>
                <w:webHidden/>
              </w:rPr>
              <w:instrText xml:space="preserve"> PAGEREF _Toc226361785 \h </w:instrText>
            </w:r>
            <w:r>
              <w:rPr>
                <w:noProof/>
                <w:webHidden/>
              </w:rPr>
            </w:r>
            <w:r>
              <w:rPr>
                <w:noProof/>
                <w:webHidden/>
              </w:rPr>
              <w:fldChar w:fldCharType="separate"/>
            </w:r>
            <w:r>
              <w:rPr>
                <w:noProof/>
                <w:webHidden/>
              </w:rPr>
              <w:t>38</w:t>
            </w:r>
            <w:r>
              <w:rPr>
                <w:noProof/>
                <w:webHidden/>
              </w:rPr>
              <w:fldChar w:fldCharType="end"/>
            </w:r>
          </w:hyperlink>
        </w:p>
        <w:p w14:paraId="71D2DC9B" w14:textId="472F5C6D" w:rsidR="00AF7536" w:rsidRDefault="00AF7536">
          <w:pPr>
            <w:pStyle w:val="TOC3"/>
            <w:tabs>
              <w:tab w:val="right" w:leader="dot" w:pos="9350"/>
            </w:tabs>
            <w:rPr>
              <w:rFonts w:asciiTheme="minorHAnsi" w:eastAsiaTheme="minorEastAsia" w:hAnsiTheme="minorHAnsi"/>
              <w:noProof/>
              <w:sz w:val="24"/>
            </w:rPr>
          </w:pPr>
          <w:hyperlink w:anchor="_Toc226361786" w:history="1">
            <w:r w:rsidRPr="00626F03">
              <w:rPr>
                <w:rStyle w:val="Hyperlink"/>
                <w:noProof/>
              </w:rPr>
              <w:t>Comment 20: OCVRP Miscellaneous – Other rebate incentive considerations</w:t>
            </w:r>
            <w:r>
              <w:rPr>
                <w:noProof/>
                <w:webHidden/>
              </w:rPr>
              <w:tab/>
            </w:r>
            <w:r>
              <w:rPr>
                <w:noProof/>
                <w:webHidden/>
              </w:rPr>
              <w:fldChar w:fldCharType="begin"/>
            </w:r>
            <w:r>
              <w:rPr>
                <w:noProof/>
                <w:webHidden/>
              </w:rPr>
              <w:instrText xml:space="preserve"> PAGEREF _Toc226361786 \h </w:instrText>
            </w:r>
            <w:r>
              <w:rPr>
                <w:noProof/>
                <w:webHidden/>
              </w:rPr>
            </w:r>
            <w:r>
              <w:rPr>
                <w:noProof/>
                <w:webHidden/>
              </w:rPr>
              <w:fldChar w:fldCharType="separate"/>
            </w:r>
            <w:r>
              <w:rPr>
                <w:noProof/>
                <w:webHidden/>
              </w:rPr>
              <w:t>38</w:t>
            </w:r>
            <w:r>
              <w:rPr>
                <w:noProof/>
                <w:webHidden/>
              </w:rPr>
              <w:fldChar w:fldCharType="end"/>
            </w:r>
          </w:hyperlink>
        </w:p>
        <w:p w14:paraId="41660D7C" w14:textId="48DB48B6" w:rsidR="00AF7536" w:rsidRDefault="00AF7536">
          <w:pPr>
            <w:pStyle w:val="TOC3"/>
            <w:tabs>
              <w:tab w:val="right" w:leader="dot" w:pos="9350"/>
            </w:tabs>
            <w:rPr>
              <w:rFonts w:asciiTheme="minorHAnsi" w:eastAsiaTheme="minorEastAsia" w:hAnsiTheme="minorHAnsi"/>
              <w:noProof/>
              <w:sz w:val="24"/>
            </w:rPr>
          </w:pPr>
          <w:hyperlink w:anchor="_Toc226361787" w:history="1">
            <w:r w:rsidRPr="00626F03">
              <w:rPr>
                <w:rStyle w:val="Hyperlink"/>
                <w:noProof/>
              </w:rPr>
              <w:t>Comment 21: OCVRP Miscellaneous – Funding allocation</w:t>
            </w:r>
            <w:r>
              <w:rPr>
                <w:noProof/>
                <w:webHidden/>
              </w:rPr>
              <w:tab/>
            </w:r>
            <w:r>
              <w:rPr>
                <w:noProof/>
                <w:webHidden/>
              </w:rPr>
              <w:fldChar w:fldCharType="begin"/>
            </w:r>
            <w:r>
              <w:rPr>
                <w:noProof/>
                <w:webHidden/>
              </w:rPr>
              <w:instrText xml:space="preserve"> PAGEREF _Toc226361787 \h </w:instrText>
            </w:r>
            <w:r>
              <w:rPr>
                <w:noProof/>
                <w:webHidden/>
              </w:rPr>
            </w:r>
            <w:r>
              <w:rPr>
                <w:noProof/>
                <w:webHidden/>
              </w:rPr>
              <w:fldChar w:fldCharType="separate"/>
            </w:r>
            <w:r>
              <w:rPr>
                <w:noProof/>
                <w:webHidden/>
              </w:rPr>
              <w:t>38</w:t>
            </w:r>
            <w:r>
              <w:rPr>
                <w:noProof/>
                <w:webHidden/>
              </w:rPr>
              <w:fldChar w:fldCharType="end"/>
            </w:r>
          </w:hyperlink>
        </w:p>
        <w:p w14:paraId="03202C89" w14:textId="404D35AC" w:rsidR="00AF7536" w:rsidRDefault="00AF7536">
          <w:pPr>
            <w:pStyle w:val="TOC3"/>
            <w:tabs>
              <w:tab w:val="right" w:leader="dot" w:pos="9350"/>
            </w:tabs>
            <w:rPr>
              <w:rFonts w:asciiTheme="minorHAnsi" w:eastAsiaTheme="minorEastAsia" w:hAnsiTheme="minorHAnsi"/>
              <w:noProof/>
              <w:sz w:val="24"/>
            </w:rPr>
          </w:pPr>
          <w:hyperlink w:anchor="_Toc226361788" w:history="1">
            <w:r w:rsidRPr="00626F03">
              <w:rPr>
                <w:rStyle w:val="Hyperlink"/>
                <w:noProof/>
              </w:rPr>
              <w:t>Comment 22: ZERO Fleet – Support for proposed application process updates</w:t>
            </w:r>
            <w:r>
              <w:rPr>
                <w:noProof/>
                <w:webHidden/>
              </w:rPr>
              <w:tab/>
            </w:r>
            <w:r>
              <w:rPr>
                <w:noProof/>
                <w:webHidden/>
              </w:rPr>
              <w:fldChar w:fldCharType="begin"/>
            </w:r>
            <w:r>
              <w:rPr>
                <w:noProof/>
                <w:webHidden/>
              </w:rPr>
              <w:instrText xml:space="preserve"> PAGEREF _Toc226361788 \h </w:instrText>
            </w:r>
            <w:r>
              <w:rPr>
                <w:noProof/>
                <w:webHidden/>
              </w:rPr>
            </w:r>
            <w:r>
              <w:rPr>
                <w:noProof/>
                <w:webHidden/>
              </w:rPr>
              <w:fldChar w:fldCharType="separate"/>
            </w:r>
            <w:r>
              <w:rPr>
                <w:noProof/>
                <w:webHidden/>
              </w:rPr>
              <w:t>39</w:t>
            </w:r>
            <w:r>
              <w:rPr>
                <w:noProof/>
                <w:webHidden/>
              </w:rPr>
              <w:fldChar w:fldCharType="end"/>
            </w:r>
          </w:hyperlink>
        </w:p>
        <w:p w14:paraId="0459391F" w14:textId="3C02BA6D" w:rsidR="00AF7536" w:rsidRDefault="00AF7536">
          <w:pPr>
            <w:pStyle w:val="TOC3"/>
            <w:tabs>
              <w:tab w:val="right" w:leader="dot" w:pos="9350"/>
            </w:tabs>
            <w:rPr>
              <w:rFonts w:asciiTheme="minorHAnsi" w:eastAsiaTheme="minorEastAsia" w:hAnsiTheme="minorHAnsi"/>
              <w:noProof/>
              <w:sz w:val="24"/>
            </w:rPr>
          </w:pPr>
          <w:hyperlink w:anchor="_Toc226361789" w:history="1">
            <w:r w:rsidRPr="00626F03">
              <w:rPr>
                <w:rStyle w:val="Hyperlink"/>
                <w:noProof/>
              </w:rPr>
              <w:t>Comment 23: ZERO Fleet Miscellaneous – Rebate allocation caps by class</w:t>
            </w:r>
            <w:r>
              <w:rPr>
                <w:noProof/>
                <w:webHidden/>
              </w:rPr>
              <w:tab/>
            </w:r>
            <w:r>
              <w:rPr>
                <w:noProof/>
                <w:webHidden/>
              </w:rPr>
              <w:fldChar w:fldCharType="begin"/>
            </w:r>
            <w:r>
              <w:rPr>
                <w:noProof/>
                <w:webHidden/>
              </w:rPr>
              <w:instrText xml:space="preserve"> PAGEREF _Toc226361789 \h </w:instrText>
            </w:r>
            <w:r>
              <w:rPr>
                <w:noProof/>
                <w:webHidden/>
              </w:rPr>
            </w:r>
            <w:r>
              <w:rPr>
                <w:noProof/>
                <w:webHidden/>
              </w:rPr>
              <w:fldChar w:fldCharType="separate"/>
            </w:r>
            <w:r>
              <w:rPr>
                <w:noProof/>
                <w:webHidden/>
              </w:rPr>
              <w:t>39</w:t>
            </w:r>
            <w:r>
              <w:rPr>
                <w:noProof/>
                <w:webHidden/>
              </w:rPr>
              <w:fldChar w:fldCharType="end"/>
            </w:r>
          </w:hyperlink>
        </w:p>
        <w:p w14:paraId="6DF11A53" w14:textId="3316211E" w:rsidR="00AF7536" w:rsidRDefault="00AF7536">
          <w:pPr>
            <w:pStyle w:val="TOC3"/>
            <w:tabs>
              <w:tab w:val="right" w:leader="dot" w:pos="9350"/>
            </w:tabs>
            <w:rPr>
              <w:rFonts w:asciiTheme="minorHAnsi" w:eastAsiaTheme="minorEastAsia" w:hAnsiTheme="minorHAnsi"/>
              <w:noProof/>
              <w:sz w:val="24"/>
            </w:rPr>
          </w:pPr>
          <w:hyperlink w:anchor="_Toc226361790" w:history="1">
            <w:r w:rsidRPr="00626F03">
              <w:rPr>
                <w:rStyle w:val="Hyperlink"/>
                <w:noProof/>
              </w:rPr>
              <w:t>Comment 24: ZERO Fleet Miscellaneous – Equity and Public Health Impacts</w:t>
            </w:r>
            <w:r>
              <w:rPr>
                <w:noProof/>
                <w:webHidden/>
              </w:rPr>
              <w:tab/>
            </w:r>
            <w:r>
              <w:rPr>
                <w:noProof/>
                <w:webHidden/>
              </w:rPr>
              <w:fldChar w:fldCharType="begin"/>
            </w:r>
            <w:r>
              <w:rPr>
                <w:noProof/>
                <w:webHidden/>
              </w:rPr>
              <w:instrText xml:space="preserve"> PAGEREF _Toc226361790 \h </w:instrText>
            </w:r>
            <w:r>
              <w:rPr>
                <w:noProof/>
                <w:webHidden/>
              </w:rPr>
            </w:r>
            <w:r>
              <w:rPr>
                <w:noProof/>
                <w:webHidden/>
              </w:rPr>
              <w:fldChar w:fldCharType="separate"/>
            </w:r>
            <w:r>
              <w:rPr>
                <w:noProof/>
                <w:webHidden/>
              </w:rPr>
              <w:t>39</w:t>
            </w:r>
            <w:r>
              <w:rPr>
                <w:noProof/>
                <w:webHidden/>
              </w:rPr>
              <w:fldChar w:fldCharType="end"/>
            </w:r>
          </w:hyperlink>
        </w:p>
        <w:p w14:paraId="558BDE99" w14:textId="127465AB" w:rsidR="00AF7536" w:rsidRDefault="00AF7536">
          <w:pPr>
            <w:pStyle w:val="TOC2"/>
            <w:tabs>
              <w:tab w:val="right" w:leader="dot" w:pos="9350"/>
            </w:tabs>
            <w:rPr>
              <w:rFonts w:asciiTheme="minorHAnsi" w:eastAsiaTheme="minorEastAsia" w:hAnsiTheme="minorHAnsi"/>
              <w:noProof/>
              <w:sz w:val="24"/>
            </w:rPr>
          </w:pPr>
          <w:hyperlink w:anchor="_Toc226361791" w:history="1">
            <w:r w:rsidRPr="00626F03">
              <w:rPr>
                <w:rStyle w:val="Hyperlink"/>
                <w:noProof/>
              </w:rPr>
              <w:t>List of commenters</w:t>
            </w:r>
            <w:r>
              <w:rPr>
                <w:noProof/>
                <w:webHidden/>
              </w:rPr>
              <w:tab/>
            </w:r>
            <w:r>
              <w:rPr>
                <w:noProof/>
                <w:webHidden/>
              </w:rPr>
              <w:fldChar w:fldCharType="begin"/>
            </w:r>
            <w:r>
              <w:rPr>
                <w:noProof/>
                <w:webHidden/>
              </w:rPr>
              <w:instrText xml:space="preserve"> PAGEREF _Toc226361791 \h </w:instrText>
            </w:r>
            <w:r>
              <w:rPr>
                <w:noProof/>
                <w:webHidden/>
              </w:rPr>
            </w:r>
            <w:r>
              <w:rPr>
                <w:noProof/>
                <w:webHidden/>
              </w:rPr>
              <w:fldChar w:fldCharType="separate"/>
            </w:r>
            <w:r>
              <w:rPr>
                <w:noProof/>
                <w:webHidden/>
              </w:rPr>
              <w:t>40</w:t>
            </w:r>
            <w:r>
              <w:rPr>
                <w:noProof/>
                <w:webHidden/>
              </w:rPr>
              <w:fldChar w:fldCharType="end"/>
            </w:r>
          </w:hyperlink>
        </w:p>
        <w:p w14:paraId="71E77942" w14:textId="6E703D99" w:rsidR="00AF7536" w:rsidRDefault="00AF7536">
          <w:pPr>
            <w:pStyle w:val="TOC1"/>
            <w:tabs>
              <w:tab w:val="right" w:leader="dot" w:pos="9350"/>
            </w:tabs>
            <w:rPr>
              <w:rFonts w:asciiTheme="minorHAnsi" w:eastAsiaTheme="minorEastAsia" w:hAnsiTheme="minorHAnsi"/>
              <w:noProof/>
              <w:sz w:val="24"/>
            </w:rPr>
          </w:pPr>
          <w:hyperlink w:anchor="_Toc226361792" w:history="1">
            <w:r w:rsidRPr="00626F03">
              <w:rPr>
                <w:rStyle w:val="Hyperlink"/>
                <w:noProof/>
              </w:rPr>
              <w:t>Implementation</w:t>
            </w:r>
            <w:r>
              <w:rPr>
                <w:noProof/>
                <w:webHidden/>
              </w:rPr>
              <w:tab/>
            </w:r>
            <w:r>
              <w:rPr>
                <w:noProof/>
                <w:webHidden/>
              </w:rPr>
              <w:fldChar w:fldCharType="begin"/>
            </w:r>
            <w:r>
              <w:rPr>
                <w:noProof/>
                <w:webHidden/>
              </w:rPr>
              <w:instrText xml:space="preserve"> PAGEREF _Toc226361792 \h </w:instrText>
            </w:r>
            <w:r>
              <w:rPr>
                <w:noProof/>
                <w:webHidden/>
              </w:rPr>
            </w:r>
            <w:r>
              <w:rPr>
                <w:noProof/>
                <w:webHidden/>
              </w:rPr>
              <w:fldChar w:fldCharType="separate"/>
            </w:r>
            <w:r>
              <w:rPr>
                <w:noProof/>
                <w:webHidden/>
              </w:rPr>
              <w:t>41</w:t>
            </w:r>
            <w:r>
              <w:rPr>
                <w:noProof/>
                <w:webHidden/>
              </w:rPr>
              <w:fldChar w:fldCharType="end"/>
            </w:r>
          </w:hyperlink>
        </w:p>
        <w:p w14:paraId="5823C579" w14:textId="6027CA71" w:rsidR="00AF7536" w:rsidRDefault="00AF7536">
          <w:pPr>
            <w:pStyle w:val="TOC2"/>
            <w:tabs>
              <w:tab w:val="right" w:leader="dot" w:pos="9350"/>
            </w:tabs>
            <w:rPr>
              <w:rFonts w:asciiTheme="minorHAnsi" w:eastAsiaTheme="minorEastAsia" w:hAnsiTheme="minorHAnsi"/>
              <w:noProof/>
              <w:sz w:val="24"/>
            </w:rPr>
          </w:pPr>
          <w:hyperlink w:anchor="_Toc226361793" w:history="1">
            <w:r w:rsidRPr="00626F03">
              <w:rPr>
                <w:rStyle w:val="Hyperlink"/>
                <w:noProof/>
              </w:rPr>
              <w:t>Notification</w:t>
            </w:r>
            <w:r>
              <w:rPr>
                <w:noProof/>
                <w:webHidden/>
              </w:rPr>
              <w:tab/>
            </w:r>
            <w:r>
              <w:rPr>
                <w:noProof/>
                <w:webHidden/>
              </w:rPr>
              <w:fldChar w:fldCharType="begin"/>
            </w:r>
            <w:r>
              <w:rPr>
                <w:noProof/>
                <w:webHidden/>
              </w:rPr>
              <w:instrText xml:space="preserve"> PAGEREF _Toc226361793 \h </w:instrText>
            </w:r>
            <w:r>
              <w:rPr>
                <w:noProof/>
                <w:webHidden/>
              </w:rPr>
            </w:r>
            <w:r>
              <w:rPr>
                <w:noProof/>
                <w:webHidden/>
              </w:rPr>
              <w:fldChar w:fldCharType="separate"/>
            </w:r>
            <w:r>
              <w:rPr>
                <w:noProof/>
                <w:webHidden/>
              </w:rPr>
              <w:t>41</w:t>
            </w:r>
            <w:r>
              <w:rPr>
                <w:noProof/>
                <w:webHidden/>
              </w:rPr>
              <w:fldChar w:fldCharType="end"/>
            </w:r>
          </w:hyperlink>
        </w:p>
        <w:p w14:paraId="6F5B8D65" w14:textId="76F91406" w:rsidR="00AF7536" w:rsidRDefault="00AF7536">
          <w:pPr>
            <w:pStyle w:val="TOC2"/>
            <w:tabs>
              <w:tab w:val="right" w:leader="dot" w:pos="9350"/>
            </w:tabs>
            <w:rPr>
              <w:rFonts w:asciiTheme="minorHAnsi" w:eastAsiaTheme="minorEastAsia" w:hAnsiTheme="minorHAnsi"/>
              <w:noProof/>
              <w:sz w:val="24"/>
            </w:rPr>
          </w:pPr>
          <w:hyperlink w:anchor="_Toc226361794" w:history="1">
            <w:r w:rsidRPr="00626F03">
              <w:rPr>
                <w:rStyle w:val="Hyperlink"/>
                <w:noProof/>
              </w:rPr>
              <w:t>Compliance and enforcement</w:t>
            </w:r>
            <w:r>
              <w:rPr>
                <w:noProof/>
                <w:webHidden/>
              </w:rPr>
              <w:tab/>
            </w:r>
            <w:r>
              <w:rPr>
                <w:noProof/>
                <w:webHidden/>
              </w:rPr>
              <w:fldChar w:fldCharType="begin"/>
            </w:r>
            <w:r>
              <w:rPr>
                <w:noProof/>
                <w:webHidden/>
              </w:rPr>
              <w:instrText xml:space="preserve"> PAGEREF _Toc226361794 \h </w:instrText>
            </w:r>
            <w:r>
              <w:rPr>
                <w:noProof/>
                <w:webHidden/>
              </w:rPr>
            </w:r>
            <w:r>
              <w:rPr>
                <w:noProof/>
                <w:webHidden/>
              </w:rPr>
              <w:fldChar w:fldCharType="separate"/>
            </w:r>
            <w:r>
              <w:rPr>
                <w:noProof/>
                <w:webHidden/>
              </w:rPr>
              <w:t>41</w:t>
            </w:r>
            <w:r>
              <w:rPr>
                <w:noProof/>
                <w:webHidden/>
              </w:rPr>
              <w:fldChar w:fldCharType="end"/>
            </w:r>
          </w:hyperlink>
        </w:p>
        <w:p w14:paraId="264C3EC0" w14:textId="348A726D" w:rsidR="00AF7536" w:rsidRDefault="00AF7536">
          <w:pPr>
            <w:pStyle w:val="TOC2"/>
            <w:tabs>
              <w:tab w:val="right" w:leader="dot" w:pos="9350"/>
            </w:tabs>
            <w:rPr>
              <w:rFonts w:asciiTheme="minorHAnsi" w:eastAsiaTheme="minorEastAsia" w:hAnsiTheme="minorHAnsi"/>
              <w:noProof/>
              <w:sz w:val="24"/>
            </w:rPr>
          </w:pPr>
          <w:hyperlink w:anchor="_Toc226361795" w:history="1">
            <w:r w:rsidRPr="00626F03">
              <w:rPr>
                <w:rStyle w:val="Hyperlink"/>
                <w:noProof/>
              </w:rPr>
              <w:t>Measuring, sampling, monitoring and reporting</w:t>
            </w:r>
            <w:r>
              <w:rPr>
                <w:noProof/>
                <w:webHidden/>
              </w:rPr>
              <w:tab/>
            </w:r>
            <w:r>
              <w:rPr>
                <w:noProof/>
                <w:webHidden/>
              </w:rPr>
              <w:fldChar w:fldCharType="begin"/>
            </w:r>
            <w:r>
              <w:rPr>
                <w:noProof/>
                <w:webHidden/>
              </w:rPr>
              <w:instrText xml:space="preserve"> PAGEREF _Toc226361795 \h </w:instrText>
            </w:r>
            <w:r>
              <w:rPr>
                <w:noProof/>
                <w:webHidden/>
              </w:rPr>
            </w:r>
            <w:r>
              <w:rPr>
                <w:noProof/>
                <w:webHidden/>
              </w:rPr>
              <w:fldChar w:fldCharType="separate"/>
            </w:r>
            <w:r>
              <w:rPr>
                <w:noProof/>
                <w:webHidden/>
              </w:rPr>
              <w:t>41</w:t>
            </w:r>
            <w:r>
              <w:rPr>
                <w:noProof/>
                <w:webHidden/>
              </w:rPr>
              <w:fldChar w:fldCharType="end"/>
            </w:r>
          </w:hyperlink>
        </w:p>
        <w:p w14:paraId="56100452" w14:textId="4A5EFF99" w:rsidR="00AF7536" w:rsidRDefault="00AF7536">
          <w:pPr>
            <w:pStyle w:val="TOC2"/>
            <w:tabs>
              <w:tab w:val="right" w:leader="dot" w:pos="9350"/>
            </w:tabs>
            <w:rPr>
              <w:rFonts w:asciiTheme="minorHAnsi" w:eastAsiaTheme="minorEastAsia" w:hAnsiTheme="minorHAnsi"/>
              <w:noProof/>
              <w:sz w:val="24"/>
            </w:rPr>
          </w:pPr>
          <w:hyperlink w:anchor="_Toc226361796" w:history="1">
            <w:r w:rsidRPr="00626F03">
              <w:rPr>
                <w:rStyle w:val="Hyperlink"/>
                <w:noProof/>
              </w:rPr>
              <w:t>Systems</w:t>
            </w:r>
            <w:r>
              <w:rPr>
                <w:noProof/>
                <w:webHidden/>
              </w:rPr>
              <w:tab/>
            </w:r>
            <w:r>
              <w:rPr>
                <w:noProof/>
                <w:webHidden/>
              </w:rPr>
              <w:fldChar w:fldCharType="begin"/>
            </w:r>
            <w:r>
              <w:rPr>
                <w:noProof/>
                <w:webHidden/>
              </w:rPr>
              <w:instrText xml:space="preserve"> PAGEREF _Toc226361796 \h </w:instrText>
            </w:r>
            <w:r>
              <w:rPr>
                <w:noProof/>
                <w:webHidden/>
              </w:rPr>
            </w:r>
            <w:r>
              <w:rPr>
                <w:noProof/>
                <w:webHidden/>
              </w:rPr>
              <w:fldChar w:fldCharType="separate"/>
            </w:r>
            <w:r>
              <w:rPr>
                <w:noProof/>
                <w:webHidden/>
              </w:rPr>
              <w:t>41</w:t>
            </w:r>
            <w:r>
              <w:rPr>
                <w:noProof/>
                <w:webHidden/>
              </w:rPr>
              <w:fldChar w:fldCharType="end"/>
            </w:r>
          </w:hyperlink>
        </w:p>
        <w:p w14:paraId="3F829CF3" w14:textId="0ED2DF29" w:rsidR="00AF7536" w:rsidRDefault="00AF7536">
          <w:pPr>
            <w:pStyle w:val="TOC2"/>
            <w:tabs>
              <w:tab w:val="right" w:leader="dot" w:pos="9350"/>
            </w:tabs>
            <w:rPr>
              <w:rFonts w:asciiTheme="minorHAnsi" w:eastAsiaTheme="minorEastAsia" w:hAnsiTheme="minorHAnsi"/>
              <w:noProof/>
              <w:sz w:val="24"/>
            </w:rPr>
          </w:pPr>
          <w:hyperlink w:anchor="_Toc226361797" w:history="1">
            <w:r w:rsidRPr="00626F03">
              <w:rPr>
                <w:rStyle w:val="Hyperlink"/>
                <w:noProof/>
              </w:rPr>
              <w:t>Training</w:t>
            </w:r>
            <w:r>
              <w:rPr>
                <w:noProof/>
                <w:webHidden/>
              </w:rPr>
              <w:tab/>
            </w:r>
            <w:r>
              <w:rPr>
                <w:noProof/>
                <w:webHidden/>
              </w:rPr>
              <w:fldChar w:fldCharType="begin"/>
            </w:r>
            <w:r>
              <w:rPr>
                <w:noProof/>
                <w:webHidden/>
              </w:rPr>
              <w:instrText xml:space="preserve"> PAGEREF _Toc226361797 \h </w:instrText>
            </w:r>
            <w:r>
              <w:rPr>
                <w:noProof/>
                <w:webHidden/>
              </w:rPr>
            </w:r>
            <w:r>
              <w:rPr>
                <w:noProof/>
                <w:webHidden/>
              </w:rPr>
              <w:fldChar w:fldCharType="separate"/>
            </w:r>
            <w:r>
              <w:rPr>
                <w:noProof/>
                <w:webHidden/>
              </w:rPr>
              <w:t>41</w:t>
            </w:r>
            <w:r>
              <w:rPr>
                <w:noProof/>
                <w:webHidden/>
              </w:rPr>
              <w:fldChar w:fldCharType="end"/>
            </w:r>
          </w:hyperlink>
        </w:p>
        <w:p w14:paraId="10CBE3FB" w14:textId="6F7CC596" w:rsidR="00AF7536" w:rsidRDefault="00AF7536">
          <w:pPr>
            <w:pStyle w:val="TOC1"/>
            <w:tabs>
              <w:tab w:val="right" w:leader="dot" w:pos="9350"/>
            </w:tabs>
            <w:rPr>
              <w:rFonts w:asciiTheme="minorHAnsi" w:eastAsiaTheme="minorEastAsia" w:hAnsiTheme="minorHAnsi"/>
              <w:noProof/>
              <w:sz w:val="24"/>
            </w:rPr>
          </w:pPr>
          <w:hyperlink w:anchor="_Toc226361798" w:history="1">
            <w:r w:rsidRPr="00626F03">
              <w:rPr>
                <w:rStyle w:val="Hyperlink"/>
                <w:noProof/>
              </w:rPr>
              <w:t>Five-year review</w:t>
            </w:r>
            <w:r>
              <w:rPr>
                <w:noProof/>
                <w:webHidden/>
              </w:rPr>
              <w:tab/>
            </w:r>
            <w:r>
              <w:rPr>
                <w:noProof/>
                <w:webHidden/>
              </w:rPr>
              <w:fldChar w:fldCharType="begin"/>
            </w:r>
            <w:r>
              <w:rPr>
                <w:noProof/>
                <w:webHidden/>
              </w:rPr>
              <w:instrText xml:space="preserve"> PAGEREF _Toc226361798 \h </w:instrText>
            </w:r>
            <w:r>
              <w:rPr>
                <w:noProof/>
                <w:webHidden/>
              </w:rPr>
            </w:r>
            <w:r>
              <w:rPr>
                <w:noProof/>
                <w:webHidden/>
              </w:rPr>
              <w:fldChar w:fldCharType="separate"/>
            </w:r>
            <w:r>
              <w:rPr>
                <w:noProof/>
                <w:webHidden/>
              </w:rPr>
              <w:t>42</w:t>
            </w:r>
            <w:r>
              <w:rPr>
                <w:noProof/>
                <w:webHidden/>
              </w:rPr>
              <w:fldChar w:fldCharType="end"/>
            </w:r>
          </w:hyperlink>
        </w:p>
        <w:p w14:paraId="78F5D585" w14:textId="5C635F46" w:rsidR="00AF7536" w:rsidRDefault="00AF7536">
          <w:pPr>
            <w:pStyle w:val="TOC3"/>
            <w:tabs>
              <w:tab w:val="right" w:leader="dot" w:pos="9350"/>
            </w:tabs>
            <w:rPr>
              <w:rFonts w:asciiTheme="minorHAnsi" w:eastAsiaTheme="minorEastAsia" w:hAnsiTheme="minorHAnsi"/>
              <w:noProof/>
              <w:sz w:val="24"/>
            </w:rPr>
          </w:pPr>
          <w:hyperlink w:anchor="_Toc226361799" w:history="1">
            <w:r w:rsidRPr="00626F03">
              <w:rPr>
                <w:rStyle w:val="Hyperlink"/>
                <w:noProof/>
              </w:rPr>
              <w:t>Requirement</w:t>
            </w:r>
            <w:r>
              <w:rPr>
                <w:noProof/>
                <w:webHidden/>
              </w:rPr>
              <w:tab/>
            </w:r>
            <w:r>
              <w:rPr>
                <w:noProof/>
                <w:webHidden/>
              </w:rPr>
              <w:fldChar w:fldCharType="begin"/>
            </w:r>
            <w:r>
              <w:rPr>
                <w:noProof/>
                <w:webHidden/>
              </w:rPr>
              <w:instrText xml:space="preserve"> PAGEREF _Toc226361799 \h </w:instrText>
            </w:r>
            <w:r>
              <w:rPr>
                <w:noProof/>
                <w:webHidden/>
              </w:rPr>
            </w:r>
            <w:r>
              <w:rPr>
                <w:noProof/>
                <w:webHidden/>
              </w:rPr>
              <w:fldChar w:fldCharType="separate"/>
            </w:r>
            <w:r>
              <w:rPr>
                <w:noProof/>
                <w:webHidden/>
              </w:rPr>
              <w:t>42</w:t>
            </w:r>
            <w:r>
              <w:rPr>
                <w:noProof/>
                <w:webHidden/>
              </w:rPr>
              <w:fldChar w:fldCharType="end"/>
            </w:r>
          </w:hyperlink>
        </w:p>
        <w:p w14:paraId="0A0D3825" w14:textId="3516D309" w:rsidR="00AF7536" w:rsidRDefault="00AF7536">
          <w:pPr>
            <w:pStyle w:val="TOC2"/>
            <w:tabs>
              <w:tab w:val="right" w:leader="dot" w:pos="9350"/>
            </w:tabs>
            <w:rPr>
              <w:rFonts w:asciiTheme="minorHAnsi" w:eastAsiaTheme="minorEastAsia" w:hAnsiTheme="minorHAnsi"/>
              <w:noProof/>
              <w:sz w:val="24"/>
            </w:rPr>
          </w:pPr>
          <w:hyperlink w:anchor="_Toc226361800" w:history="1">
            <w:r w:rsidRPr="00626F03">
              <w:rPr>
                <w:rStyle w:val="Hyperlink"/>
                <w:noProof/>
              </w:rPr>
              <w:t>Non-discrimination statement</w:t>
            </w:r>
            <w:r>
              <w:rPr>
                <w:noProof/>
                <w:webHidden/>
              </w:rPr>
              <w:tab/>
            </w:r>
            <w:r>
              <w:rPr>
                <w:noProof/>
                <w:webHidden/>
              </w:rPr>
              <w:fldChar w:fldCharType="begin"/>
            </w:r>
            <w:r>
              <w:rPr>
                <w:noProof/>
                <w:webHidden/>
              </w:rPr>
              <w:instrText xml:space="preserve"> PAGEREF _Toc226361800 \h </w:instrText>
            </w:r>
            <w:r>
              <w:rPr>
                <w:noProof/>
                <w:webHidden/>
              </w:rPr>
            </w:r>
            <w:r>
              <w:rPr>
                <w:noProof/>
                <w:webHidden/>
              </w:rPr>
              <w:fldChar w:fldCharType="separate"/>
            </w:r>
            <w:r>
              <w:rPr>
                <w:noProof/>
                <w:webHidden/>
              </w:rPr>
              <w:t>42</w:t>
            </w:r>
            <w:r>
              <w:rPr>
                <w:noProof/>
                <w:webHidden/>
              </w:rPr>
              <w:fldChar w:fldCharType="end"/>
            </w:r>
          </w:hyperlink>
        </w:p>
        <w:p w14:paraId="349A0CCC" w14:textId="175B52F8" w:rsidR="007D4B4A" w:rsidRDefault="007D4B4A">
          <w:r>
            <w:fldChar w:fldCharType="end"/>
          </w:r>
        </w:p>
      </w:sdtContent>
    </w:sdt>
    <w:p w14:paraId="1B9820D7" w14:textId="77777777" w:rsidR="00ED47E6" w:rsidRDefault="00ED47E6" w:rsidP="009F5BC9"/>
    <w:p w14:paraId="5CCCF0C2" w14:textId="77777777" w:rsidR="004555AD" w:rsidRDefault="004555AD">
      <w:pPr>
        <w:spacing w:after="160"/>
        <w:rPr>
          <w:rFonts w:eastAsiaTheme="majorEastAsia" w:cstheme="majorBidi"/>
          <w:b/>
          <w:color w:val="000000" w:themeColor="text1"/>
          <w:sz w:val="44"/>
          <w:szCs w:val="40"/>
        </w:rPr>
      </w:pPr>
      <w:r>
        <w:br w:type="page"/>
      </w:r>
    </w:p>
    <w:p w14:paraId="2605D38A" w14:textId="3217F98A" w:rsidR="00ED47E6" w:rsidRDefault="00ED47E6" w:rsidP="00ED47E6">
      <w:pPr>
        <w:pStyle w:val="Heading1"/>
      </w:pPr>
      <w:bookmarkStart w:id="1" w:name="_Toc226361706"/>
      <w:r>
        <w:lastRenderedPageBreak/>
        <w:t>DEQ recommendation to the EQC</w:t>
      </w:r>
      <w:bookmarkEnd w:id="1"/>
    </w:p>
    <w:p w14:paraId="0F3B3F68" w14:textId="5059D33F" w:rsidR="00ED47E6" w:rsidRDefault="00ED47E6" w:rsidP="00563365">
      <w:r>
        <w:t>DEQ recommends that the Environmental Quality Commission adopt the proposed rules in Attachment A as part of Chapter 340 of the Oregon Administrative Rules.</w:t>
      </w:r>
    </w:p>
    <w:p w14:paraId="6EFC3ED6" w14:textId="759DE4A5" w:rsidR="00ED47E6" w:rsidRDefault="00ED47E6" w:rsidP="00563365">
      <w:pPr>
        <w:pStyle w:val="Heading2"/>
      </w:pPr>
      <w:bookmarkStart w:id="2" w:name="_Toc226361707"/>
      <w:r>
        <w:t xml:space="preserve">Language of </w:t>
      </w:r>
      <w:r w:rsidR="00563365">
        <w:t>p</w:t>
      </w:r>
      <w:r>
        <w:t xml:space="preserve">roposed EQC </w:t>
      </w:r>
      <w:r w:rsidR="00563365">
        <w:t>m</w:t>
      </w:r>
      <w:r>
        <w:t>otion:</w:t>
      </w:r>
      <w:bookmarkEnd w:id="2"/>
    </w:p>
    <w:p w14:paraId="5E039193" w14:textId="5707EC29" w:rsidR="00ED47E6" w:rsidRPr="00563365" w:rsidRDefault="00ED47E6" w:rsidP="00ED47E6">
      <w:pPr>
        <w:rPr>
          <w:i/>
          <w:iCs/>
        </w:rPr>
      </w:pPr>
      <w:r w:rsidRPr="00563365">
        <w:rPr>
          <w:i/>
          <w:iCs/>
        </w:rPr>
        <w:t xml:space="preserve">“I move that the commission adopt the proposed rule amendments in Attachment A as part of </w:t>
      </w:r>
      <w:r w:rsidR="003D2EAA">
        <w:rPr>
          <w:i/>
          <w:iCs/>
        </w:rPr>
        <w:t>C</w:t>
      </w:r>
      <w:r w:rsidRPr="00563365">
        <w:rPr>
          <w:i/>
          <w:iCs/>
        </w:rPr>
        <w:t>hapter 340 of the Oregon Administrative Rules.”</w:t>
      </w:r>
    </w:p>
    <w:p w14:paraId="587D9F6C" w14:textId="77777777" w:rsidR="00563365" w:rsidRDefault="00563365">
      <w:pPr>
        <w:spacing w:after="160"/>
      </w:pPr>
      <w:r>
        <w:br w:type="page"/>
      </w:r>
    </w:p>
    <w:p w14:paraId="71F60EBA" w14:textId="77777777" w:rsidR="007C251E" w:rsidRPr="00A373FD" w:rsidRDefault="007C251E" w:rsidP="007C251E">
      <w:pPr>
        <w:pStyle w:val="Heading1"/>
      </w:pPr>
      <w:bookmarkStart w:id="3" w:name="_Toc2849071"/>
      <w:bookmarkStart w:id="4" w:name="_Toc218065401"/>
      <w:bookmarkStart w:id="5" w:name="_Toc226361709"/>
      <w:r w:rsidRPr="00A373FD">
        <w:lastRenderedPageBreak/>
        <w:t>Overview</w:t>
      </w:r>
      <w:bookmarkEnd w:id="3"/>
      <w:bookmarkEnd w:id="4"/>
      <w:bookmarkEnd w:id="5"/>
    </w:p>
    <w:p w14:paraId="1BA22157" w14:textId="0B0E5AA6" w:rsidR="007C251E" w:rsidRDefault="007C251E" w:rsidP="007C251E">
      <w:pPr>
        <w:rPr>
          <w:rFonts w:cs="Arial"/>
        </w:rPr>
      </w:pPr>
      <w:r w:rsidRPr="00690AC1">
        <w:rPr>
          <w:rFonts w:cs="Arial"/>
        </w:rPr>
        <w:t>This rulemaking proposes amendments that revise and clarify rules for both the Oregon Clean Vehicle Rebate Program (</w:t>
      </w:r>
      <w:r w:rsidRPr="6256579D">
        <w:rPr>
          <w:rFonts w:cs="Arial"/>
        </w:rPr>
        <w:t xml:space="preserve">OCVRP), </w:t>
      </w:r>
      <w:r w:rsidR="003D2EAA">
        <w:rPr>
          <w:rFonts w:cs="Arial"/>
        </w:rPr>
        <w:t xml:space="preserve">which </w:t>
      </w:r>
      <w:r w:rsidRPr="6256579D">
        <w:rPr>
          <w:rFonts w:cs="Arial"/>
        </w:rPr>
        <w:t>address</w:t>
      </w:r>
      <w:r w:rsidR="003D2EAA">
        <w:rPr>
          <w:rFonts w:cs="Arial"/>
        </w:rPr>
        <w:t>es</w:t>
      </w:r>
      <w:r w:rsidRPr="6256579D">
        <w:rPr>
          <w:rFonts w:cs="Arial"/>
        </w:rPr>
        <w:t xml:space="preserve"> </w:t>
      </w:r>
      <w:r w:rsidRPr="00690AC1">
        <w:rPr>
          <w:rFonts w:cs="Arial"/>
        </w:rPr>
        <w:t>light</w:t>
      </w:r>
      <w:r w:rsidRPr="6256579D">
        <w:rPr>
          <w:rFonts w:cs="Arial"/>
        </w:rPr>
        <w:t>-</w:t>
      </w:r>
      <w:r w:rsidRPr="00690AC1">
        <w:rPr>
          <w:rFonts w:cs="Arial"/>
        </w:rPr>
        <w:t xml:space="preserve">duty electric vehicles and the </w:t>
      </w:r>
      <w:r w:rsidRPr="6256579D">
        <w:rPr>
          <w:rFonts w:cs="Arial"/>
        </w:rPr>
        <w:t xml:space="preserve">Zero-Emissions Rebates for Oregon Fleets </w:t>
      </w:r>
      <w:r w:rsidRPr="00690AC1">
        <w:rPr>
          <w:rFonts w:cs="Arial"/>
        </w:rPr>
        <w:t>Program (</w:t>
      </w:r>
      <w:r w:rsidRPr="6256579D">
        <w:rPr>
          <w:rFonts w:cs="Arial"/>
        </w:rPr>
        <w:t xml:space="preserve">ZERO Fleet Rebate program), </w:t>
      </w:r>
      <w:r w:rsidR="003D2EAA">
        <w:rPr>
          <w:rFonts w:cs="Arial"/>
        </w:rPr>
        <w:t xml:space="preserve">which </w:t>
      </w:r>
      <w:r w:rsidRPr="6256579D">
        <w:rPr>
          <w:rFonts w:cs="Arial"/>
        </w:rPr>
        <w:t>address</w:t>
      </w:r>
      <w:r w:rsidR="003D2EAA">
        <w:rPr>
          <w:rFonts w:cs="Arial"/>
        </w:rPr>
        <w:t>es</w:t>
      </w:r>
      <w:r w:rsidRPr="6256579D">
        <w:rPr>
          <w:rFonts w:cs="Arial"/>
        </w:rPr>
        <w:t xml:space="preserve"> </w:t>
      </w:r>
      <w:r w:rsidRPr="00690AC1">
        <w:rPr>
          <w:rFonts w:cs="Arial"/>
        </w:rPr>
        <w:t>medium- and heavy-duty electric vehicles</w:t>
      </w:r>
      <w:r w:rsidRPr="6256579D">
        <w:rPr>
          <w:rFonts w:cs="Arial"/>
        </w:rPr>
        <w:t xml:space="preserve">. </w:t>
      </w:r>
      <w:r w:rsidRPr="00787F94">
        <w:rPr>
          <w:rFonts w:cs="Arial"/>
        </w:rPr>
        <w:t xml:space="preserve">The focus of this rulemaking is adjusting program rules </w:t>
      </w:r>
      <w:r w:rsidR="602E9FBF" w:rsidRPr="0960D5C2">
        <w:rPr>
          <w:rFonts w:cs="Arial"/>
        </w:rPr>
        <w:t>to conserve funding</w:t>
      </w:r>
      <w:r w:rsidRPr="00787F94">
        <w:rPr>
          <w:rFonts w:cs="Arial"/>
        </w:rPr>
        <w:t xml:space="preserve"> and </w:t>
      </w:r>
      <w:r w:rsidR="031CE022" w:rsidRPr="0960D5C2">
        <w:rPr>
          <w:rFonts w:cs="Arial"/>
        </w:rPr>
        <w:t>enhance</w:t>
      </w:r>
      <w:r w:rsidRPr="0960D5C2">
        <w:rPr>
          <w:rFonts w:cs="Arial"/>
        </w:rPr>
        <w:t xml:space="preserve"> </w:t>
      </w:r>
      <w:r w:rsidRPr="00787F94">
        <w:rPr>
          <w:rFonts w:cs="Arial"/>
        </w:rPr>
        <w:t>clarity.</w:t>
      </w:r>
      <w:r>
        <w:rPr>
          <w:rFonts w:cs="Arial"/>
        </w:rPr>
        <w:t xml:space="preserve"> </w:t>
      </w:r>
      <w:r w:rsidRPr="6256579D">
        <w:rPr>
          <w:rFonts w:cs="Arial"/>
        </w:rPr>
        <w:t xml:space="preserve">Both programs anticipate interest to exceed funding in future years. OCVRP has </w:t>
      </w:r>
      <w:r>
        <w:rPr>
          <w:rFonts w:cs="Arial"/>
        </w:rPr>
        <w:t xml:space="preserve">required </w:t>
      </w:r>
      <w:r w:rsidR="003D2EAA">
        <w:rPr>
          <w:rFonts w:cs="Arial"/>
        </w:rPr>
        <w:t xml:space="preserve">a suspension </w:t>
      </w:r>
      <w:r>
        <w:rPr>
          <w:rFonts w:cs="Arial"/>
        </w:rPr>
        <w:t xml:space="preserve">period of </w:t>
      </w:r>
      <w:r w:rsidRPr="6256579D">
        <w:rPr>
          <w:rFonts w:cs="Arial"/>
        </w:rPr>
        <w:t xml:space="preserve">each year since </w:t>
      </w:r>
      <w:r>
        <w:rPr>
          <w:rFonts w:cs="Arial"/>
        </w:rPr>
        <w:t>2023</w:t>
      </w:r>
      <w:r w:rsidRPr="6256579D">
        <w:rPr>
          <w:rFonts w:cs="Arial"/>
        </w:rPr>
        <w:t xml:space="preserve">, due to demand outpacing available funding. </w:t>
      </w:r>
      <w:r>
        <w:rPr>
          <w:rFonts w:cs="Arial"/>
        </w:rPr>
        <w:t>Proposed</w:t>
      </w:r>
      <w:r w:rsidRPr="6256579D">
        <w:rPr>
          <w:rFonts w:cs="Arial"/>
        </w:rPr>
        <w:t xml:space="preserve"> </w:t>
      </w:r>
      <w:r>
        <w:rPr>
          <w:rFonts w:cs="Arial"/>
        </w:rPr>
        <w:t xml:space="preserve">OCVRP amendments </w:t>
      </w:r>
      <w:r w:rsidRPr="6256579D">
        <w:rPr>
          <w:rFonts w:cs="Arial"/>
        </w:rPr>
        <w:t>include</w:t>
      </w:r>
      <w:r w:rsidRPr="00600C2A">
        <w:rPr>
          <w:rFonts w:cs="Arial"/>
        </w:rPr>
        <w:t xml:space="preserve"> adjustments to current Standard and Charge Ahead Rebate levels</w:t>
      </w:r>
      <w:r>
        <w:rPr>
          <w:rFonts w:cs="Arial"/>
        </w:rPr>
        <w:t>, l</w:t>
      </w:r>
      <w:r w:rsidRPr="00600C2A">
        <w:rPr>
          <w:rFonts w:cs="Arial"/>
        </w:rPr>
        <w:t>imiting the number of rebates an individual can receive</w:t>
      </w:r>
      <w:r w:rsidRPr="6256579D">
        <w:rPr>
          <w:rFonts w:cs="Arial"/>
        </w:rPr>
        <w:t>,</w:t>
      </w:r>
      <w:r w:rsidRPr="00600C2A">
        <w:rPr>
          <w:rFonts w:cs="Arial"/>
        </w:rPr>
        <w:t xml:space="preserve"> </w:t>
      </w:r>
      <w:r>
        <w:rPr>
          <w:rFonts w:cs="Arial"/>
        </w:rPr>
        <w:t>c</w:t>
      </w:r>
      <w:r w:rsidRPr="00600C2A">
        <w:rPr>
          <w:rFonts w:cs="Arial"/>
        </w:rPr>
        <w:t>larifying definitions</w:t>
      </w:r>
      <w:r w:rsidRPr="6256579D">
        <w:rPr>
          <w:rFonts w:cs="Arial"/>
        </w:rPr>
        <w:t xml:space="preserve"> and</w:t>
      </w:r>
      <w:r w:rsidRPr="00600C2A">
        <w:rPr>
          <w:rFonts w:cs="Arial"/>
        </w:rPr>
        <w:t xml:space="preserve"> updating citations and program processes.</w:t>
      </w:r>
      <w:r w:rsidRPr="6256579D">
        <w:rPr>
          <w:rFonts w:cs="Arial"/>
        </w:rPr>
        <w:t> For</w:t>
      </w:r>
      <w:r>
        <w:rPr>
          <w:rFonts w:cs="Arial"/>
        </w:rPr>
        <w:t xml:space="preserve"> </w:t>
      </w:r>
      <w:r w:rsidRPr="6256579D">
        <w:rPr>
          <w:rFonts w:cs="Arial"/>
        </w:rPr>
        <w:t xml:space="preserve">the ZERO Fleet Rebate program, </w:t>
      </w:r>
      <w:r>
        <w:rPr>
          <w:rFonts w:cs="Arial"/>
        </w:rPr>
        <w:t>proposed amendments include a</w:t>
      </w:r>
      <w:r w:rsidRPr="00F951EF">
        <w:rPr>
          <w:rFonts w:cs="Arial"/>
        </w:rPr>
        <w:t>dding eligibility details for medium</w:t>
      </w:r>
      <w:r w:rsidRPr="6256579D">
        <w:rPr>
          <w:rFonts w:cs="Arial"/>
        </w:rPr>
        <w:t>-</w:t>
      </w:r>
      <w:r w:rsidRPr="00F951EF">
        <w:rPr>
          <w:rFonts w:cs="Arial"/>
        </w:rPr>
        <w:t xml:space="preserve"> and heavy-duty vehicles, </w:t>
      </w:r>
      <w:r>
        <w:rPr>
          <w:rFonts w:cs="Arial"/>
        </w:rPr>
        <w:t>c</w:t>
      </w:r>
      <w:r w:rsidRPr="00F951EF">
        <w:rPr>
          <w:rFonts w:cs="Arial"/>
        </w:rPr>
        <w:t xml:space="preserve">larifying </w:t>
      </w:r>
      <w:r w:rsidR="003D2EAA">
        <w:rPr>
          <w:rFonts w:cs="Arial"/>
        </w:rPr>
        <w:t xml:space="preserve">the </w:t>
      </w:r>
      <w:r w:rsidRPr="00F951EF">
        <w:rPr>
          <w:rFonts w:cs="Arial"/>
        </w:rPr>
        <w:t>rebate award decision</w:t>
      </w:r>
      <w:r w:rsidRPr="6256579D">
        <w:rPr>
          <w:rFonts w:cs="Arial"/>
        </w:rPr>
        <w:t>-</w:t>
      </w:r>
      <w:r w:rsidRPr="00F951EF">
        <w:rPr>
          <w:rFonts w:cs="Arial"/>
        </w:rPr>
        <w:t>making process and </w:t>
      </w:r>
      <w:r>
        <w:rPr>
          <w:rFonts w:cs="Arial"/>
        </w:rPr>
        <w:t>e</w:t>
      </w:r>
      <w:r w:rsidRPr="00F951EF">
        <w:rPr>
          <w:rFonts w:cs="Arial"/>
        </w:rPr>
        <w:t>nsuring healthy price competition when spending public dollars. </w:t>
      </w:r>
    </w:p>
    <w:p w14:paraId="48E42C04" w14:textId="40B83F56" w:rsidR="007C251E" w:rsidRDefault="007C251E" w:rsidP="007C251E">
      <w:pPr>
        <w:rPr>
          <w:rFonts w:cs="Arial"/>
        </w:rPr>
      </w:pPr>
      <w:r>
        <w:rPr>
          <w:rFonts w:cs="Arial"/>
        </w:rPr>
        <w:t>A Rules Advisory Committee considered amendments to both programs. The R</w:t>
      </w:r>
      <w:r w:rsidR="003D2EAA">
        <w:rPr>
          <w:rFonts w:cs="Arial"/>
        </w:rPr>
        <w:t>AC</w:t>
      </w:r>
      <w:r>
        <w:rPr>
          <w:rFonts w:cs="Arial"/>
        </w:rPr>
        <w:t xml:space="preserve"> was composed of representatives from affected communities, including vehicle manufacturers, dealers and industry groups, purchasers of new and used eligible electric vehicles, vehicle fleet owners, environmental and community-based organizations, EV associations, a rural conservation and development council, the City of Portland, and the public. </w:t>
      </w:r>
    </w:p>
    <w:p w14:paraId="747978A8" w14:textId="1E986C4F" w:rsidR="007C251E" w:rsidRDefault="007C251E" w:rsidP="007C251E">
      <w:pPr>
        <w:rPr>
          <w:rFonts w:cs="Arial"/>
        </w:rPr>
      </w:pPr>
      <w:r>
        <w:rPr>
          <w:rFonts w:cs="Arial"/>
        </w:rPr>
        <w:t xml:space="preserve">DEQ </w:t>
      </w:r>
      <w:r w:rsidR="5EB19F2B">
        <w:rPr>
          <w:rFonts w:cs="Arial"/>
        </w:rPr>
        <w:t>also provided</w:t>
      </w:r>
      <w:r>
        <w:rPr>
          <w:rFonts w:cs="Arial"/>
        </w:rPr>
        <w:t xml:space="preserve"> </w:t>
      </w:r>
      <w:r w:rsidRPr="00980EDF">
        <w:rPr>
          <w:rFonts w:cs="Arial"/>
        </w:rPr>
        <w:t xml:space="preserve">rulemaking notice through the Oregon Trucking Association, </w:t>
      </w:r>
      <w:r w:rsidR="003D2EAA">
        <w:rPr>
          <w:rFonts w:cs="Arial"/>
        </w:rPr>
        <w:t xml:space="preserve">the </w:t>
      </w:r>
      <w:r w:rsidRPr="00980EDF">
        <w:rPr>
          <w:rFonts w:cs="Arial"/>
        </w:rPr>
        <w:t xml:space="preserve">Professional Business Development Group, </w:t>
      </w:r>
      <w:r w:rsidR="003D2EAA">
        <w:rPr>
          <w:rFonts w:cs="Arial"/>
        </w:rPr>
        <w:t xml:space="preserve">the </w:t>
      </w:r>
      <w:r w:rsidRPr="00980EDF">
        <w:rPr>
          <w:rFonts w:cs="Arial"/>
        </w:rPr>
        <w:t xml:space="preserve">Columbia Willamette Clean Cities Coalition, and </w:t>
      </w:r>
      <w:r w:rsidR="003D2EAA">
        <w:rPr>
          <w:rFonts w:cs="Arial"/>
        </w:rPr>
        <w:t xml:space="preserve">the </w:t>
      </w:r>
      <w:r w:rsidRPr="00980EDF">
        <w:rPr>
          <w:rFonts w:cs="Arial"/>
        </w:rPr>
        <w:t>Breaking Barriers Collaborative.</w:t>
      </w:r>
      <w:r>
        <w:rPr>
          <w:rFonts w:cs="Arial"/>
        </w:rPr>
        <w:t xml:space="preserve"> T</w:t>
      </w:r>
      <w:r w:rsidRPr="00EB4192">
        <w:rPr>
          <w:rFonts w:cs="Arial"/>
        </w:rPr>
        <w:t>he proposed rules are not expected to</w:t>
      </w:r>
      <w:r w:rsidR="003D2EAA">
        <w:rPr>
          <w:rFonts w:cs="Arial"/>
        </w:rPr>
        <w:t xml:space="preserve"> have a</w:t>
      </w:r>
      <w:r w:rsidRPr="00EB4192">
        <w:rPr>
          <w:rFonts w:cs="Arial"/>
        </w:rPr>
        <w:t xml:space="preserve"> significant negative economic impact</w:t>
      </w:r>
      <w:r w:rsidR="00827F9E">
        <w:rPr>
          <w:rFonts w:cs="Arial"/>
        </w:rPr>
        <w:t xml:space="preserve"> on</w:t>
      </w:r>
      <w:r w:rsidRPr="00EB4192">
        <w:rPr>
          <w:rFonts w:cs="Arial"/>
        </w:rPr>
        <w:t xml:space="preserve"> any entit</w:t>
      </w:r>
      <w:r>
        <w:rPr>
          <w:rFonts w:cs="Arial"/>
        </w:rPr>
        <w:t>y.</w:t>
      </w:r>
      <w:r w:rsidRPr="6F0B3864">
        <w:rPr>
          <w:rFonts w:cs="Arial"/>
          <w:color w:val="000000"/>
          <w:shd w:val="clear" w:color="auto" w:fill="FFFFFF"/>
        </w:rPr>
        <w:t xml:space="preserve"> </w:t>
      </w:r>
      <w:r w:rsidRPr="00B56E94">
        <w:rPr>
          <w:rFonts w:cs="Arial"/>
        </w:rPr>
        <w:t xml:space="preserve">These </w:t>
      </w:r>
      <w:r>
        <w:rPr>
          <w:rFonts w:cs="Arial"/>
        </w:rPr>
        <w:t>proposed</w:t>
      </w:r>
      <w:r w:rsidRPr="00B56E94">
        <w:rPr>
          <w:rFonts w:cs="Arial"/>
        </w:rPr>
        <w:t xml:space="preserve"> rules do not impose </w:t>
      </w:r>
      <w:r w:rsidR="206D099D" w:rsidRPr="00B56E94">
        <w:rPr>
          <w:rFonts w:cs="Arial"/>
        </w:rPr>
        <w:t xml:space="preserve">any mandatory obligations because </w:t>
      </w:r>
      <w:r w:rsidRPr="00B56E94">
        <w:rPr>
          <w:rFonts w:cs="Arial"/>
        </w:rPr>
        <w:t>there is no requirement to participate in OCVRP or the ZERO Fleet Rebate program.</w:t>
      </w:r>
      <w:r>
        <w:rPr>
          <w:rFonts w:cs="Arial"/>
        </w:rPr>
        <w:t xml:space="preserve"> </w:t>
      </w:r>
    </w:p>
    <w:p w14:paraId="0CB30FF5" w14:textId="015FF94D" w:rsidR="00ED47E6" w:rsidRDefault="00ED47E6" w:rsidP="00ED47E6"/>
    <w:p w14:paraId="4C77E2F3" w14:textId="77777777" w:rsidR="00ED47E6" w:rsidRDefault="00ED47E6" w:rsidP="00ED47E6">
      <w:r>
        <w:t xml:space="preserve"> </w:t>
      </w:r>
    </w:p>
    <w:p w14:paraId="5AC0D0F7" w14:textId="77777777" w:rsidR="00563365" w:rsidRDefault="00563365">
      <w:pPr>
        <w:spacing w:after="160"/>
      </w:pPr>
      <w:r>
        <w:br w:type="page"/>
      </w:r>
    </w:p>
    <w:p w14:paraId="2E4A5FEB" w14:textId="5EF3B010" w:rsidR="00ED47E6" w:rsidRDefault="00ED47E6" w:rsidP="00563365">
      <w:pPr>
        <w:pStyle w:val="Heading1"/>
      </w:pPr>
      <w:bookmarkStart w:id="6" w:name="_Toc226361710"/>
      <w:r>
        <w:lastRenderedPageBreak/>
        <w:t>O</w:t>
      </w:r>
      <w:r w:rsidR="3B9A342D">
        <w:t>ther topics considered</w:t>
      </w:r>
      <w:bookmarkEnd w:id="6"/>
    </w:p>
    <w:p w14:paraId="700ACFA9" w14:textId="55AF11FE" w:rsidR="00CE4B4E" w:rsidRDefault="00CE4B4E" w:rsidP="00CE4B4E">
      <w:pPr>
        <w:rPr>
          <w:rFonts w:cs="Arial"/>
        </w:rPr>
      </w:pPr>
      <w:r w:rsidRPr="00A373FD">
        <w:rPr>
          <w:rFonts w:cs="Arial"/>
        </w:rPr>
        <w:t xml:space="preserve">During the public comment period, DEQ </w:t>
      </w:r>
      <w:r>
        <w:rPr>
          <w:rFonts w:cs="Arial"/>
        </w:rPr>
        <w:t>asked</w:t>
      </w:r>
      <w:r w:rsidRPr="00A373FD">
        <w:rPr>
          <w:rFonts w:cs="Arial"/>
        </w:rPr>
        <w:t xml:space="preserve"> for public comment on whether there are other options for achieving the rules’ substantive goals while reducing the</w:t>
      </w:r>
      <w:r w:rsidR="003D2EAA">
        <w:rPr>
          <w:rFonts w:cs="Arial"/>
        </w:rPr>
        <w:t>ir</w:t>
      </w:r>
      <w:r w:rsidRPr="00A373FD">
        <w:rPr>
          <w:rFonts w:cs="Arial"/>
        </w:rPr>
        <w:t xml:space="preserve"> negative economic impact on business</w:t>
      </w:r>
      <w:r w:rsidR="003D2EAA">
        <w:rPr>
          <w:rFonts w:cs="Arial"/>
        </w:rPr>
        <w:t>es</w:t>
      </w:r>
      <w:r w:rsidRPr="00A373FD">
        <w:rPr>
          <w:rFonts w:cs="Arial"/>
        </w:rPr>
        <w:t xml:space="preserve">. </w:t>
      </w:r>
    </w:p>
    <w:p w14:paraId="0AB78418" w14:textId="4B954E77" w:rsidR="00CE4B4E" w:rsidRDefault="00CE4B4E" w:rsidP="00CE4B4E">
      <w:pPr>
        <w:rPr>
          <w:rFonts w:cs="Arial"/>
        </w:rPr>
      </w:pPr>
      <w:r w:rsidRPr="000A6C98">
        <w:rPr>
          <w:rFonts w:cs="Arial"/>
        </w:rPr>
        <w:t xml:space="preserve">DEQ </w:t>
      </w:r>
      <w:r>
        <w:rPr>
          <w:rFonts w:cs="Arial"/>
        </w:rPr>
        <w:t>requested</w:t>
      </w:r>
      <w:r w:rsidRPr="000A6C98">
        <w:rPr>
          <w:rFonts w:cs="Arial"/>
        </w:rPr>
        <w:t xml:space="preserve"> specific comment</w:t>
      </w:r>
      <w:r>
        <w:rPr>
          <w:rFonts w:cs="Arial"/>
        </w:rPr>
        <w:t>s</w:t>
      </w:r>
      <w:r w:rsidRPr="000A6C98">
        <w:rPr>
          <w:rFonts w:cs="Arial"/>
        </w:rPr>
        <w:t xml:space="preserve"> on</w:t>
      </w:r>
      <w:r>
        <w:rPr>
          <w:rFonts w:cs="Arial"/>
        </w:rPr>
        <w:t xml:space="preserve"> the following items:</w:t>
      </w:r>
    </w:p>
    <w:p w14:paraId="3E42AACB" w14:textId="77777777" w:rsidR="00CE4B4E" w:rsidRDefault="00CE4B4E" w:rsidP="00D5077D">
      <w:pPr>
        <w:pStyle w:val="Heading2"/>
      </w:pPr>
      <w:bookmarkStart w:id="7" w:name="_Toc226361711"/>
      <w:r>
        <w:t>Rebate adjustments</w:t>
      </w:r>
      <w:bookmarkEnd w:id="7"/>
    </w:p>
    <w:p w14:paraId="1E9EFFDF" w14:textId="65A9FD43" w:rsidR="00CE4B4E" w:rsidRDefault="00CE4B4E" w:rsidP="00CE4B4E">
      <w:pPr>
        <w:rPr>
          <w:rFonts w:cs="Arial"/>
        </w:rPr>
      </w:pPr>
      <w:r>
        <w:rPr>
          <w:rFonts w:cs="Arial"/>
        </w:rPr>
        <w:t xml:space="preserve">In the proposed rules, </w:t>
      </w:r>
      <w:r w:rsidRPr="4F69D5C9">
        <w:rPr>
          <w:rFonts w:cs="Arial"/>
        </w:rPr>
        <w:t>DEQ propos</w:t>
      </w:r>
      <w:r w:rsidR="003D2EAA">
        <w:rPr>
          <w:rFonts w:cs="Arial"/>
        </w:rPr>
        <w:t>es</w:t>
      </w:r>
      <w:r w:rsidRPr="4F69D5C9">
        <w:rPr>
          <w:rFonts w:cs="Arial"/>
        </w:rPr>
        <w:t xml:space="preserve"> a Standard Rebate adjustment</w:t>
      </w:r>
      <w:r w:rsidRPr="746E4762">
        <w:rPr>
          <w:rFonts w:cs="Arial"/>
        </w:rPr>
        <w:t>,</w:t>
      </w:r>
      <w:r w:rsidRPr="4F69D5C9">
        <w:rPr>
          <w:rFonts w:cs="Arial"/>
        </w:rPr>
        <w:t xml:space="preserve"> lower</w:t>
      </w:r>
      <w:r>
        <w:rPr>
          <w:rFonts w:cs="Arial"/>
        </w:rPr>
        <w:t>ing</w:t>
      </w:r>
      <w:r w:rsidRPr="4F69D5C9">
        <w:rPr>
          <w:rFonts w:cs="Arial"/>
        </w:rPr>
        <w:t xml:space="preserve"> the rebate amount for plug-in hybrid vehicles to focus funds on those that provide the greatest air quality benefits. </w:t>
      </w:r>
    </w:p>
    <w:p w14:paraId="01E0A4EA" w14:textId="4143BC8E" w:rsidR="00CE4B4E" w:rsidRDefault="00CE4B4E" w:rsidP="00CE4B4E">
      <w:pPr>
        <w:rPr>
          <w:rFonts w:cs="Arial"/>
        </w:rPr>
      </w:pPr>
      <w:r w:rsidRPr="00AA4E3D">
        <w:rPr>
          <w:rFonts w:cs="Arial"/>
        </w:rPr>
        <w:t xml:space="preserve">While DEQ </w:t>
      </w:r>
      <w:r w:rsidR="00615ED8">
        <w:rPr>
          <w:rFonts w:cs="Arial"/>
        </w:rPr>
        <w:t xml:space="preserve">did not </w:t>
      </w:r>
      <w:r w:rsidRPr="00AA4E3D">
        <w:rPr>
          <w:rFonts w:cs="Arial"/>
        </w:rPr>
        <w:t>propos</w:t>
      </w:r>
      <w:r w:rsidR="00615ED8">
        <w:rPr>
          <w:rFonts w:cs="Arial"/>
        </w:rPr>
        <w:t>e</w:t>
      </w:r>
      <w:r w:rsidRPr="00AA4E3D">
        <w:rPr>
          <w:rFonts w:cs="Arial"/>
        </w:rPr>
        <w:t xml:space="preserve"> a specific rule change </w:t>
      </w:r>
      <w:r w:rsidR="00615ED8">
        <w:rPr>
          <w:rFonts w:cs="Arial"/>
        </w:rPr>
        <w:t>in the public notice package for</w:t>
      </w:r>
      <w:r w:rsidRPr="00AA4E3D">
        <w:rPr>
          <w:rFonts w:cs="Arial"/>
        </w:rPr>
        <w:t xml:space="preserve"> the Charge Ahead Rebate, the agency request</w:t>
      </w:r>
      <w:r w:rsidR="00615ED8">
        <w:rPr>
          <w:rFonts w:cs="Arial"/>
        </w:rPr>
        <w:t>ed</w:t>
      </w:r>
      <w:r w:rsidRPr="00AA4E3D">
        <w:rPr>
          <w:rFonts w:cs="Arial"/>
        </w:rPr>
        <w:t xml:space="preserve"> public input on whether a similar adjustment should be considered for new or </w:t>
      </w:r>
      <w:r w:rsidR="00615ED8" w:rsidRPr="00AA4E3D">
        <w:rPr>
          <w:rFonts w:cs="Arial"/>
        </w:rPr>
        <w:t>used</w:t>
      </w:r>
      <w:r w:rsidRPr="00AA4E3D">
        <w:rPr>
          <w:rFonts w:cs="Arial"/>
        </w:rPr>
        <w:t xml:space="preserve"> </w:t>
      </w:r>
      <w:r w:rsidR="00615ED8">
        <w:rPr>
          <w:rFonts w:cs="Arial"/>
        </w:rPr>
        <w:t xml:space="preserve">plug-in </w:t>
      </w:r>
      <w:r w:rsidRPr="00AA4E3D">
        <w:rPr>
          <w:rFonts w:cs="Arial"/>
        </w:rPr>
        <w:t>hybrid vehicles under the program</w:t>
      </w:r>
      <w:r w:rsidRPr="4F69D5C9">
        <w:rPr>
          <w:rFonts w:cs="Arial"/>
        </w:rPr>
        <w:t>.</w:t>
      </w:r>
      <w:r w:rsidR="00615ED8">
        <w:rPr>
          <w:rFonts w:cs="Arial"/>
        </w:rPr>
        <w:t xml:space="preserve"> DEQ </w:t>
      </w:r>
      <w:r w:rsidR="00C730FC">
        <w:rPr>
          <w:rFonts w:cs="Arial"/>
        </w:rPr>
        <w:t xml:space="preserve">received one </w:t>
      </w:r>
      <w:r w:rsidR="00615ED8">
        <w:rPr>
          <w:rFonts w:cs="Arial"/>
        </w:rPr>
        <w:t>comment</w:t>
      </w:r>
      <w:r w:rsidR="002F51DB">
        <w:rPr>
          <w:rFonts w:cs="Arial"/>
        </w:rPr>
        <w:t xml:space="preserve"> on this </w:t>
      </w:r>
      <w:r w:rsidR="0044250C">
        <w:rPr>
          <w:rFonts w:cs="Arial"/>
        </w:rPr>
        <w:t>topic,</w:t>
      </w:r>
      <w:r w:rsidR="002F51DB">
        <w:rPr>
          <w:rFonts w:cs="Arial"/>
        </w:rPr>
        <w:t xml:space="preserve"> and </w:t>
      </w:r>
      <w:r w:rsidR="0044250C">
        <w:rPr>
          <w:rFonts w:cs="Arial"/>
        </w:rPr>
        <w:t>it is</w:t>
      </w:r>
      <w:r w:rsidR="002F51DB">
        <w:rPr>
          <w:rFonts w:cs="Arial"/>
        </w:rPr>
        <w:t xml:space="preserve"> summarized in the </w:t>
      </w:r>
      <w:r w:rsidR="006D6F3A">
        <w:rPr>
          <w:rFonts w:cs="Arial"/>
        </w:rPr>
        <w:t xml:space="preserve">Summary of Public Comments and DEQ Response section of this </w:t>
      </w:r>
      <w:r w:rsidR="00D5077D">
        <w:rPr>
          <w:rFonts w:cs="Arial"/>
        </w:rPr>
        <w:t>report.</w:t>
      </w:r>
    </w:p>
    <w:p w14:paraId="3F403328" w14:textId="77777777" w:rsidR="00CE4B4E" w:rsidRDefault="00CE4B4E" w:rsidP="00D5077D">
      <w:pPr>
        <w:pStyle w:val="Heading2"/>
      </w:pPr>
      <w:bookmarkStart w:id="8" w:name="_Toc226361712"/>
      <w:r>
        <w:t>Rebate reservation process</w:t>
      </w:r>
      <w:bookmarkEnd w:id="8"/>
    </w:p>
    <w:p w14:paraId="568BCE48" w14:textId="31CBF389" w:rsidR="00CE4B4E" w:rsidRPr="00A373FD" w:rsidRDefault="00CE4B4E" w:rsidP="00CE4B4E">
      <w:pPr>
        <w:rPr>
          <w:rFonts w:cs="Arial"/>
        </w:rPr>
      </w:pPr>
      <w:r>
        <w:rPr>
          <w:rFonts w:cs="Arial"/>
        </w:rPr>
        <w:t>During</w:t>
      </w:r>
      <w:r w:rsidRPr="4F69D5C9">
        <w:rPr>
          <w:rFonts w:cs="Arial"/>
        </w:rPr>
        <w:t xml:space="preserve"> the Rule Advisory Committee </w:t>
      </w:r>
      <w:r w:rsidR="00D5077D" w:rsidRPr="4F69D5C9">
        <w:rPr>
          <w:rFonts w:cs="Arial"/>
        </w:rPr>
        <w:t>meetings,</w:t>
      </w:r>
      <w:r w:rsidRPr="4F69D5C9">
        <w:rPr>
          <w:rFonts w:cs="Arial"/>
        </w:rPr>
        <w:t xml:space="preserve"> </w:t>
      </w:r>
      <w:r>
        <w:rPr>
          <w:rFonts w:cs="Arial"/>
        </w:rPr>
        <w:t xml:space="preserve">the concept of </w:t>
      </w:r>
      <w:r w:rsidRPr="4F69D5C9">
        <w:rPr>
          <w:rFonts w:cs="Arial"/>
        </w:rPr>
        <w:t>implement</w:t>
      </w:r>
      <w:r>
        <w:rPr>
          <w:rFonts w:cs="Arial"/>
        </w:rPr>
        <w:t>ing</w:t>
      </w:r>
      <w:r w:rsidRPr="4F69D5C9">
        <w:rPr>
          <w:rFonts w:cs="Arial"/>
        </w:rPr>
        <w:t xml:space="preserve"> a rebate reservation system for the Oregon Clean Vehicle Rebate Program</w:t>
      </w:r>
      <w:r>
        <w:rPr>
          <w:rFonts w:cs="Arial"/>
        </w:rPr>
        <w:t xml:space="preserve"> was discussed</w:t>
      </w:r>
      <w:r w:rsidRPr="4F69D5C9">
        <w:rPr>
          <w:rFonts w:cs="Arial"/>
        </w:rPr>
        <w:t>. The model would require all interested applicants to complete a simple rebate reservation form and receive a</w:t>
      </w:r>
      <w:r w:rsidRPr="4F69D5C9" w:rsidDel="00650DDB">
        <w:rPr>
          <w:rFonts w:cs="Arial"/>
        </w:rPr>
        <w:t xml:space="preserve"> </w:t>
      </w:r>
      <w:r w:rsidRPr="4F69D5C9">
        <w:rPr>
          <w:rFonts w:cs="Arial"/>
        </w:rPr>
        <w:t xml:space="preserve">reservation to be eligible for the rebate. </w:t>
      </w:r>
    </w:p>
    <w:p w14:paraId="4C758010" w14:textId="3030F1D4" w:rsidR="00CE4B4E" w:rsidRDefault="00CE4B4E" w:rsidP="00CE4B4E">
      <w:pPr>
        <w:rPr>
          <w:rFonts w:cs="Arial"/>
        </w:rPr>
      </w:pPr>
      <w:r w:rsidRPr="508E65B9">
        <w:rPr>
          <w:rFonts w:cs="Arial"/>
        </w:rPr>
        <w:t xml:space="preserve">DEQ </w:t>
      </w:r>
      <w:r w:rsidR="00D5077D">
        <w:rPr>
          <w:rFonts w:cs="Arial"/>
        </w:rPr>
        <w:t>requested</w:t>
      </w:r>
      <w:r w:rsidRPr="508E65B9">
        <w:rPr>
          <w:rFonts w:cs="Arial"/>
        </w:rPr>
        <w:t xml:space="preserve"> feedback on </w:t>
      </w:r>
      <w:r w:rsidR="00D5077D">
        <w:rPr>
          <w:rFonts w:cs="Arial"/>
        </w:rPr>
        <w:t>whether</w:t>
      </w:r>
      <w:r w:rsidRPr="508E65B9">
        <w:rPr>
          <w:rFonts w:cs="Arial"/>
        </w:rPr>
        <w:t xml:space="preserve"> this reservation-based model would improve program accessibility and equity, reduce uncertainty for applicants and help avoid annual program suspensions. DEQ also </w:t>
      </w:r>
      <w:r w:rsidR="00D5077D">
        <w:rPr>
          <w:rFonts w:cs="Arial"/>
        </w:rPr>
        <w:t xml:space="preserve">expressed </w:t>
      </w:r>
      <w:r w:rsidRPr="508E65B9">
        <w:rPr>
          <w:rFonts w:cs="Arial"/>
        </w:rPr>
        <w:t xml:space="preserve">interest in comments on potential impacts to vehicle purchasing decisions, dealer participation, administrative complexity, and the program’s ability to increase zero-emission vehicle adoption as they relate to OCVRP. </w:t>
      </w:r>
    </w:p>
    <w:p w14:paraId="6DEC81B8" w14:textId="5EA57B5C" w:rsidR="00EC13B0" w:rsidRDefault="00EC13B0" w:rsidP="00EC13B0">
      <w:pPr>
        <w:rPr>
          <w:rFonts w:cs="Arial"/>
        </w:rPr>
      </w:pPr>
      <w:r>
        <w:rPr>
          <w:rFonts w:cs="Arial"/>
        </w:rPr>
        <w:t xml:space="preserve">DEQ received </w:t>
      </w:r>
      <w:r w:rsidR="73362453" w:rsidRPr="5ADB3238">
        <w:rPr>
          <w:rFonts w:cs="Arial"/>
        </w:rPr>
        <w:t>3</w:t>
      </w:r>
      <w:r>
        <w:rPr>
          <w:rFonts w:cs="Arial"/>
        </w:rPr>
        <w:t xml:space="preserve"> comments on this </w:t>
      </w:r>
      <w:r w:rsidR="009B3D44">
        <w:rPr>
          <w:rFonts w:cs="Arial"/>
        </w:rPr>
        <w:t>topic,</w:t>
      </w:r>
      <w:r>
        <w:rPr>
          <w:rFonts w:cs="Arial"/>
        </w:rPr>
        <w:t xml:space="preserve"> and they are summarized in the Summary of Public Comments and DEQ Response section of this report.</w:t>
      </w:r>
    </w:p>
    <w:p w14:paraId="7DAB1A3B" w14:textId="3D57BA11" w:rsidR="00CE4B4E" w:rsidRDefault="00CE4B4E" w:rsidP="00D5077D">
      <w:pPr>
        <w:pStyle w:val="Heading2"/>
      </w:pPr>
      <w:bookmarkStart w:id="9" w:name="_Toc226361713"/>
      <w:r>
        <w:t>Program optimization</w:t>
      </w:r>
      <w:bookmarkEnd w:id="9"/>
    </w:p>
    <w:p w14:paraId="281A3602" w14:textId="03979C41" w:rsidR="00CE4B4E" w:rsidRDefault="00CE4B4E" w:rsidP="00CE4B4E">
      <w:pPr>
        <w:rPr>
          <w:rFonts w:cs="Arial"/>
        </w:rPr>
      </w:pPr>
      <w:r w:rsidRPr="4F69D5C9">
        <w:rPr>
          <w:rFonts w:cs="Arial"/>
        </w:rPr>
        <w:t xml:space="preserve">Also, DEQ </w:t>
      </w:r>
      <w:r w:rsidR="00D5077D">
        <w:rPr>
          <w:rFonts w:cs="Arial"/>
        </w:rPr>
        <w:t>requested</w:t>
      </w:r>
      <w:r w:rsidRPr="4F69D5C9">
        <w:rPr>
          <w:rFonts w:cs="Arial"/>
        </w:rPr>
        <w:t xml:space="preserve"> specific comment</w:t>
      </w:r>
      <w:r w:rsidR="00D5077D">
        <w:rPr>
          <w:rFonts w:cs="Arial"/>
        </w:rPr>
        <w:t>s</w:t>
      </w:r>
      <w:r w:rsidRPr="4F69D5C9">
        <w:rPr>
          <w:rFonts w:cs="Arial"/>
        </w:rPr>
        <w:t xml:space="preserve"> on ways to optimize </w:t>
      </w:r>
      <w:r w:rsidRPr="1F3AF9AA">
        <w:rPr>
          <w:rFonts w:cs="Arial"/>
        </w:rPr>
        <w:t xml:space="preserve">the use of available </w:t>
      </w:r>
      <w:r w:rsidRPr="4F69D5C9">
        <w:rPr>
          <w:rFonts w:cs="Arial"/>
        </w:rPr>
        <w:t>funding in a way that considers the following:</w:t>
      </w:r>
    </w:p>
    <w:p w14:paraId="1096A5D9" w14:textId="0D7A6838" w:rsidR="00CE4B4E" w:rsidRPr="00CE09CF" w:rsidRDefault="00CE4B4E" w:rsidP="00CE4B4E">
      <w:pPr>
        <w:pStyle w:val="ListParagraph"/>
        <w:numPr>
          <w:ilvl w:val="0"/>
          <w:numId w:val="18"/>
        </w:numPr>
        <w:spacing w:after="0" w:line="240" w:lineRule="auto"/>
        <w:outlineLvl w:val="0"/>
        <w:rPr>
          <w:rFonts w:cs="Arial"/>
        </w:rPr>
      </w:pPr>
      <w:r w:rsidRPr="00CE09CF">
        <w:rPr>
          <w:rFonts w:cs="Arial"/>
        </w:rPr>
        <w:t>Avoid</w:t>
      </w:r>
      <w:r>
        <w:rPr>
          <w:rFonts w:cs="Arial"/>
        </w:rPr>
        <w:t>ing</w:t>
      </w:r>
      <w:r w:rsidRPr="00CE09CF">
        <w:rPr>
          <w:rFonts w:cs="Arial"/>
        </w:rPr>
        <w:t xml:space="preserve"> annual program suspension</w:t>
      </w:r>
      <w:r>
        <w:rPr>
          <w:rFonts w:cs="Arial"/>
        </w:rPr>
        <w:t>s</w:t>
      </w:r>
      <w:r w:rsidRPr="00CE09CF">
        <w:rPr>
          <w:rFonts w:cs="Arial"/>
        </w:rPr>
        <w:t> </w:t>
      </w:r>
      <w:r>
        <w:rPr>
          <w:rFonts w:cs="Arial"/>
        </w:rPr>
        <w:t xml:space="preserve">and </w:t>
      </w:r>
      <w:r w:rsidR="009B3D44">
        <w:rPr>
          <w:rFonts w:cs="Arial"/>
        </w:rPr>
        <w:t>improving</w:t>
      </w:r>
      <w:r>
        <w:rPr>
          <w:rFonts w:cs="Arial"/>
        </w:rPr>
        <w:t xml:space="preserve"> predictability</w:t>
      </w:r>
      <w:r w:rsidR="00827F9E">
        <w:rPr>
          <w:rFonts w:cs="Arial"/>
        </w:rPr>
        <w:t>.</w:t>
      </w:r>
    </w:p>
    <w:p w14:paraId="7E65355E" w14:textId="0B29B546" w:rsidR="00CE4B4E" w:rsidRPr="00CE09CF" w:rsidRDefault="00CE4B4E" w:rsidP="00CE4B4E">
      <w:pPr>
        <w:pStyle w:val="ListParagraph"/>
        <w:numPr>
          <w:ilvl w:val="0"/>
          <w:numId w:val="18"/>
        </w:numPr>
        <w:spacing w:after="0" w:line="240" w:lineRule="auto"/>
        <w:outlineLvl w:val="0"/>
        <w:rPr>
          <w:rFonts w:cs="Arial"/>
        </w:rPr>
      </w:pPr>
      <w:r w:rsidRPr="00CE09CF">
        <w:rPr>
          <w:rFonts w:cs="Arial"/>
        </w:rPr>
        <w:t>Limit</w:t>
      </w:r>
      <w:r>
        <w:rPr>
          <w:rFonts w:cs="Arial"/>
        </w:rPr>
        <w:t>ing</w:t>
      </w:r>
      <w:r w:rsidRPr="00CE09CF">
        <w:rPr>
          <w:rFonts w:cs="Arial"/>
        </w:rPr>
        <w:t xml:space="preserve"> rebate spending to the available funding each year</w:t>
      </w:r>
      <w:r w:rsidR="00827F9E">
        <w:rPr>
          <w:rFonts w:cs="Arial"/>
        </w:rPr>
        <w:t>.</w:t>
      </w:r>
      <w:r w:rsidRPr="00CE09CF">
        <w:rPr>
          <w:rFonts w:cs="Arial"/>
        </w:rPr>
        <w:t> </w:t>
      </w:r>
    </w:p>
    <w:p w14:paraId="0BBD588E" w14:textId="4F9FAE74" w:rsidR="00CE4B4E" w:rsidRDefault="00CE4B4E" w:rsidP="00CE4B4E">
      <w:pPr>
        <w:pStyle w:val="ListParagraph"/>
        <w:numPr>
          <w:ilvl w:val="0"/>
          <w:numId w:val="18"/>
        </w:numPr>
        <w:spacing w:after="0" w:line="240" w:lineRule="auto"/>
        <w:outlineLvl w:val="0"/>
        <w:rPr>
          <w:rFonts w:cs="Arial"/>
        </w:rPr>
      </w:pPr>
      <w:r w:rsidRPr="00CE09CF">
        <w:rPr>
          <w:rFonts w:cs="Arial"/>
        </w:rPr>
        <w:t>Distribut</w:t>
      </w:r>
      <w:r>
        <w:rPr>
          <w:rFonts w:cs="Arial"/>
        </w:rPr>
        <w:t>ing</w:t>
      </w:r>
      <w:r w:rsidRPr="00CE09CF">
        <w:rPr>
          <w:rFonts w:cs="Arial"/>
        </w:rPr>
        <w:t xml:space="preserve"> funds throughout the year</w:t>
      </w:r>
      <w:r w:rsidR="00827F9E">
        <w:rPr>
          <w:rFonts w:cs="Arial"/>
        </w:rPr>
        <w:t>.</w:t>
      </w:r>
      <w:r w:rsidRPr="00CE09CF">
        <w:rPr>
          <w:rFonts w:cs="Arial"/>
        </w:rPr>
        <w:t> </w:t>
      </w:r>
    </w:p>
    <w:p w14:paraId="79FAE75F" w14:textId="00A24F32" w:rsidR="00CE4B4E" w:rsidRPr="00FC2B94" w:rsidRDefault="00CE4B4E" w:rsidP="00CE4B4E">
      <w:pPr>
        <w:pStyle w:val="ListParagraph"/>
        <w:numPr>
          <w:ilvl w:val="0"/>
          <w:numId w:val="18"/>
        </w:numPr>
        <w:spacing w:after="0" w:line="240" w:lineRule="auto"/>
        <w:outlineLvl w:val="0"/>
        <w:rPr>
          <w:rFonts w:cs="Arial"/>
        </w:rPr>
      </w:pPr>
      <w:r w:rsidRPr="508E65B9">
        <w:rPr>
          <w:rFonts w:cs="Arial"/>
        </w:rPr>
        <w:t>Increas</w:t>
      </w:r>
      <w:r>
        <w:rPr>
          <w:rFonts w:cs="Arial"/>
        </w:rPr>
        <w:t>ing</w:t>
      </w:r>
      <w:r w:rsidRPr="00FC2B94">
        <w:rPr>
          <w:rFonts w:cs="Arial"/>
        </w:rPr>
        <w:t xml:space="preserve"> zero-emission vehicle adoption</w:t>
      </w:r>
      <w:r w:rsidR="00827F9E">
        <w:rPr>
          <w:rFonts w:cs="Arial"/>
        </w:rPr>
        <w:t>.</w:t>
      </w:r>
    </w:p>
    <w:p w14:paraId="2A70CE1B" w14:textId="610993AC" w:rsidR="00ED47E6" w:rsidRPr="00EC13B0" w:rsidRDefault="00CE4B4E" w:rsidP="00ED47E6">
      <w:pPr>
        <w:pStyle w:val="ListParagraph"/>
        <w:numPr>
          <w:ilvl w:val="0"/>
          <w:numId w:val="18"/>
        </w:numPr>
        <w:spacing w:after="0" w:line="240" w:lineRule="auto"/>
        <w:outlineLvl w:val="0"/>
        <w:rPr>
          <w:rFonts w:cs="Arial"/>
        </w:rPr>
      </w:pPr>
      <w:r w:rsidRPr="508E65B9">
        <w:rPr>
          <w:rFonts w:cs="Arial"/>
        </w:rPr>
        <w:t>Reduc</w:t>
      </w:r>
      <w:r>
        <w:rPr>
          <w:rFonts w:cs="Arial"/>
        </w:rPr>
        <w:t>ing</w:t>
      </w:r>
      <w:r w:rsidRPr="00FC2B94">
        <w:rPr>
          <w:rFonts w:cs="Arial"/>
        </w:rPr>
        <w:t xml:space="preserve"> administrative strain</w:t>
      </w:r>
      <w:r w:rsidR="00827F9E">
        <w:rPr>
          <w:rFonts w:cs="Arial"/>
        </w:rPr>
        <w:t>.</w:t>
      </w:r>
      <w:r w:rsidR="00ED47E6">
        <w:t> </w:t>
      </w:r>
    </w:p>
    <w:p w14:paraId="31EDE709" w14:textId="77777777" w:rsidR="00EC13B0" w:rsidRDefault="00EC13B0" w:rsidP="00EC13B0">
      <w:pPr>
        <w:spacing w:after="0" w:line="240" w:lineRule="auto"/>
        <w:outlineLvl w:val="0"/>
        <w:rPr>
          <w:rFonts w:cs="Arial"/>
        </w:rPr>
      </w:pPr>
    </w:p>
    <w:p w14:paraId="585AF930" w14:textId="17A6EC60" w:rsidR="00815EE6" w:rsidRDefault="00815EE6" w:rsidP="00815EE6">
      <w:pPr>
        <w:rPr>
          <w:rFonts w:cs="Arial"/>
        </w:rPr>
      </w:pPr>
      <w:r>
        <w:rPr>
          <w:rFonts w:cs="Arial"/>
        </w:rPr>
        <w:t>DEQ did not receive comments on this topic.</w:t>
      </w:r>
    </w:p>
    <w:p w14:paraId="4F6F204F" w14:textId="77777777" w:rsidR="00EC13B0" w:rsidRDefault="00EC13B0" w:rsidP="00EC13B0">
      <w:pPr>
        <w:spacing w:after="0" w:line="240" w:lineRule="auto"/>
        <w:outlineLvl w:val="0"/>
        <w:rPr>
          <w:rFonts w:cs="Arial"/>
        </w:rPr>
      </w:pPr>
    </w:p>
    <w:p w14:paraId="09CEA77D" w14:textId="77777777" w:rsidR="00EC13B0" w:rsidRPr="00EC13B0" w:rsidRDefault="00EC13B0" w:rsidP="00EC13B0">
      <w:pPr>
        <w:spacing w:after="0" w:line="240" w:lineRule="auto"/>
        <w:outlineLvl w:val="0"/>
        <w:rPr>
          <w:rFonts w:cs="Arial"/>
        </w:rPr>
      </w:pPr>
    </w:p>
    <w:p w14:paraId="449F9D4D" w14:textId="64A0A917" w:rsidR="00ED47E6" w:rsidRDefault="00ED47E6" w:rsidP="002D1D58">
      <w:pPr>
        <w:pStyle w:val="Heading1"/>
      </w:pPr>
      <w:bookmarkStart w:id="10" w:name="_Toc226361714"/>
      <w:r>
        <w:t>Statement of need</w:t>
      </w:r>
      <w:bookmarkEnd w:id="10"/>
    </w:p>
    <w:p w14:paraId="758EC635" w14:textId="77777777" w:rsidR="005537F5" w:rsidRDefault="005537F5" w:rsidP="005537F5">
      <w:pPr>
        <w:pStyle w:val="Heading2"/>
        <w:rPr>
          <w:rFonts w:cs="Arial"/>
        </w:rPr>
      </w:pPr>
      <w:bookmarkStart w:id="11" w:name="_Toc226361715"/>
      <w:r>
        <w:rPr>
          <w:rFonts w:cs="Arial"/>
        </w:rPr>
        <w:t>Oregon Clean Vehicle Rebate Program</w:t>
      </w:r>
      <w:bookmarkEnd w:id="11"/>
    </w:p>
    <w:p w14:paraId="0156C83C" w14:textId="33C733CE" w:rsidR="005537F5" w:rsidRPr="003D65D9" w:rsidRDefault="005537F5" w:rsidP="005537F5">
      <w:pPr>
        <w:pStyle w:val="Heading3"/>
        <w:rPr>
          <w:rFonts w:cs="Arial"/>
        </w:rPr>
      </w:pPr>
      <w:bookmarkStart w:id="12" w:name="_Toc226361716"/>
      <w:r w:rsidRPr="0960D5C2">
        <w:rPr>
          <w:rFonts w:cs="Arial"/>
        </w:rPr>
        <w:t>OCVRP</w:t>
      </w:r>
      <w:r w:rsidR="679ED96B" w:rsidRPr="0960D5C2">
        <w:rPr>
          <w:rFonts w:cs="Arial"/>
        </w:rPr>
        <w:t xml:space="preserve"> – Conserve Funding</w:t>
      </w:r>
      <w:bookmarkEnd w:id="12"/>
    </w:p>
    <w:tbl>
      <w:tblPr>
        <w:tblStyle w:val="TableGrid"/>
        <w:tblW w:w="9337"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top w:w="72" w:type="dxa"/>
          <w:left w:w="72" w:type="dxa"/>
          <w:bottom w:w="72" w:type="dxa"/>
          <w:right w:w="72" w:type="dxa"/>
        </w:tblCellMar>
        <w:tblLook w:val="04A0" w:firstRow="1" w:lastRow="0" w:firstColumn="1" w:lastColumn="0" w:noHBand="0" w:noVBand="1"/>
      </w:tblPr>
      <w:tblGrid>
        <w:gridCol w:w="4387"/>
        <w:gridCol w:w="4950"/>
      </w:tblGrid>
      <w:tr w:rsidR="005537F5" w:rsidRPr="00A838C5" w14:paraId="54BF5775" w14:textId="77777777">
        <w:tc>
          <w:tcPr>
            <w:tcW w:w="4387" w:type="dxa"/>
            <w:tcBorders>
              <w:top w:val="single" w:sz="18" w:space="0" w:color="000000" w:themeColor="text1"/>
              <w:bottom w:val="single" w:sz="12" w:space="0" w:color="000000" w:themeColor="text1"/>
              <w:right w:val="single" w:sz="4" w:space="0" w:color="000000" w:themeColor="text1"/>
            </w:tcBorders>
            <w:shd w:val="clear" w:color="auto" w:fill="D9F2D0" w:themeFill="accent6" w:themeFillTint="33"/>
            <w:vAlign w:val="center"/>
          </w:tcPr>
          <w:p w14:paraId="794C4557" w14:textId="77777777" w:rsidR="005537F5" w:rsidRPr="00337CFC" w:rsidRDefault="005537F5">
            <w:pPr>
              <w:jc w:val="center"/>
              <w:rPr>
                <w:rFonts w:cs="Arial"/>
                <w:b/>
                <w:bCs/>
                <w:szCs w:val="22"/>
              </w:rPr>
            </w:pPr>
            <w:r w:rsidRPr="00337CFC">
              <w:rPr>
                <w:rFonts w:cs="Arial"/>
                <w:b/>
                <w:bCs/>
                <w:szCs w:val="22"/>
              </w:rPr>
              <w:t>Topic</w:t>
            </w:r>
          </w:p>
        </w:tc>
        <w:tc>
          <w:tcPr>
            <w:tcW w:w="4950" w:type="dxa"/>
            <w:tcBorders>
              <w:top w:val="single" w:sz="18" w:space="0" w:color="000000" w:themeColor="text1"/>
              <w:left w:val="single" w:sz="4" w:space="0" w:color="000000" w:themeColor="text1"/>
              <w:bottom w:val="single" w:sz="12" w:space="0" w:color="000000" w:themeColor="text1"/>
            </w:tcBorders>
            <w:shd w:val="clear" w:color="auto" w:fill="D9F2D0" w:themeFill="accent6" w:themeFillTint="33"/>
            <w:vAlign w:val="center"/>
          </w:tcPr>
          <w:p w14:paraId="7E0D0680" w14:textId="77777777" w:rsidR="005537F5" w:rsidRPr="00A838C5" w:rsidRDefault="005537F5">
            <w:pPr>
              <w:jc w:val="center"/>
              <w:rPr>
                <w:rFonts w:cs="Arial"/>
                <w:szCs w:val="22"/>
              </w:rPr>
            </w:pPr>
            <w:r>
              <w:rPr>
                <w:rFonts w:cs="Arial"/>
                <w:b/>
              </w:rPr>
              <w:t>Discussion</w:t>
            </w:r>
          </w:p>
        </w:tc>
      </w:tr>
      <w:tr w:rsidR="005537F5" w:rsidRPr="00A838C5" w14:paraId="5E1B26D0" w14:textId="77777777">
        <w:tc>
          <w:tcPr>
            <w:tcW w:w="4387" w:type="dxa"/>
            <w:tcBorders>
              <w:top w:val="single" w:sz="12" w:space="0" w:color="000000" w:themeColor="text1"/>
              <w:bottom w:val="single" w:sz="12" w:space="0" w:color="000000" w:themeColor="text1"/>
              <w:right w:val="single" w:sz="4" w:space="0" w:color="000000" w:themeColor="text1"/>
            </w:tcBorders>
            <w:vAlign w:val="center"/>
          </w:tcPr>
          <w:p w14:paraId="4B8B0031" w14:textId="77777777" w:rsidR="005537F5" w:rsidRPr="007A210D" w:rsidRDefault="005537F5">
            <w:pPr>
              <w:rPr>
                <w:rFonts w:cs="Arial"/>
                <w:bCs/>
                <w:szCs w:val="22"/>
              </w:rPr>
            </w:pPr>
            <w:r w:rsidRPr="00301F56">
              <w:rPr>
                <w:rFonts w:cs="Arial"/>
                <w:bCs/>
                <w:szCs w:val="22"/>
              </w:rPr>
              <w:t>What need would the proposed rule address?</w:t>
            </w:r>
          </w:p>
        </w:tc>
        <w:tc>
          <w:tcPr>
            <w:tcW w:w="4950" w:type="dxa"/>
            <w:tcBorders>
              <w:top w:val="single" w:sz="12" w:space="0" w:color="000000" w:themeColor="text1"/>
              <w:left w:val="single" w:sz="4" w:space="0" w:color="000000" w:themeColor="text1"/>
              <w:bottom w:val="single" w:sz="12" w:space="0" w:color="000000" w:themeColor="text1"/>
            </w:tcBorders>
            <w:vAlign w:val="center"/>
          </w:tcPr>
          <w:p w14:paraId="2E9325BA" w14:textId="77777777" w:rsidR="005537F5" w:rsidRPr="00A838C5" w:rsidRDefault="005537F5">
            <w:pPr>
              <w:rPr>
                <w:rFonts w:cs="Arial"/>
              </w:rPr>
            </w:pPr>
            <w:r>
              <w:rPr>
                <w:rFonts w:cs="Arial"/>
              </w:rPr>
              <w:t>In recent years, OCVRP p</w:t>
            </w:r>
            <w:r w:rsidRPr="1F3AF9AA">
              <w:rPr>
                <w:rFonts w:cs="Arial"/>
              </w:rPr>
              <w:t xml:space="preserve">rogram participation outpaces the available funding each year. </w:t>
            </w:r>
            <w:r w:rsidRPr="00E87601">
              <w:rPr>
                <w:rFonts w:cs="Arial"/>
              </w:rPr>
              <w:t>At current budget levels, the program is projected to remain open for only two to three months a year, limiting access for many interested applicants. This window for eligible purchases/leases is expected to shorten further without program adjustments. The proposed rules would allow DEQ to extend program availability over a longer portion of the year and provide more opportunity for people to access the rebate.</w:t>
            </w:r>
          </w:p>
        </w:tc>
      </w:tr>
      <w:tr w:rsidR="005537F5" w:rsidRPr="00A838C5" w14:paraId="28130DEB" w14:textId="77777777">
        <w:tc>
          <w:tcPr>
            <w:tcW w:w="4387" w:type="dxa"/>
            <w:tcBorders>
              <w:top w:val="single" w:sz="12" w:space="0" w:color="000000" w:themeColor="text1"/>
              <w:bottom w:val="single" w:sz="12" w:space="0" w:color="000000" w:themeColor="text1"/>
              <w:right w:val="single" w:sz="4" w:space="0" w:color="000000" w:themeColor="text1"/>
            </w:tcBorders>
            <w:vAlign w:val="center"/>
          </w:tcPr>
          <w:p w14:paraId="52ACD606" w14:textId="77777777" w:rsidR="005537F5" w:rsidRPr="007A210D" w:rsidRDefault="005537F5">
            <w:pPr>
              <w:rPr>
                <w:rFonts w:cs="Arial"/>
                <w:bCs/>
                <w:szCs w:val="22"/>
              </w:rPr>
            </w:pPr>
            <w:r w:rsidRPr="007A210D">
              <w:rPr>
                <w:rFonts w:cs="Arial"/>
                <w:bCs/>
                <w:szCs w:val="22"/>
              </w:rPr>
              <w:t>How would the proposed rule address the need?</w:t>
            </w:r>
          </w:p>
        </w:tc>
        <w:tc>
          <w:tcPr>
            <w:tcW w:w="4950" w:type="dxa"/>
            <w:tcBorders>
              <w:top w:val="single" w:sz="12" w:space="0" w:color="000000" w:themeColor="text1"/>
              <w:left w:val="single" w:sz="4" w:space="0" w:color="000000" w:themeColor="text1"/>
              <w:bottom w:val="single" w:sz="12" w:space="0" w:color="000000" w:themeColor="text1"/>
            </w:tcBorders>
            <w:vAlign w:val="center"/>
          </w:tcPr>
          <w:p w14:paraId="4B9B8390" w14:textId="77777777" w:rsidR="005537F5" w:rsidRPr="00A838C5" w:rsidRDefault="005537F5">
            <w:pPr>
              <w:rPr>
                <w:rFonts w:cs="Arial"/>
                <w:szCs w:val="22"/>
              </w:rPr>
            </w:pPr>
            <w:r w:rsidRPr="000F4ADE">
              <w:rPr>
                <w:rFonts w:cs="Arial"/>
                <w:szCs w:val="22"/>
              </w:rPr>
              <w:t xml:space="preserve">Proposed changes include limiting the number of rebates an individual can receive and adjusting amounts for the Standard </w:t>
            </w:r>
            <w:r>
              <w:rPr>
                <w:rFonts w:cs="Arial"/>
                <w:szCs w:val="22"/>
              </w:rPr>
              <w:t xml:space="preserve">Rebate </w:t>
            </w:r>
            <w:r w:rsidRPr="000F4ADE">
              <w:rPr>
                <w:rFonts w:cs="Arial"/>
                <w:szCs w:val="22"/>
              </w:rPr>
              <w:t>and Charge Ahead Rebate</w:t>
            </w:r>
            <w:r>
              <w:rPr>
                <w:rFonts w:cs="Arial"/>
                <w:szCs w:val="22"/>
              </w:rPr>
              <w:t xml:space="preserve"> for used vehicles</w:t>
            </w:r>
            <w:r w:rsidRPr="000F4ADE">
              <w:rPr>
                <w:rFonts w:cs="Arial"/>
                <w:szCs w:val="22"/>
              </w:rPr>
              <w:t>.</w:t>
            </w:r>
            <w:r>
              <w:rPr>
                <w:rFonts w:cs="Arial"/>
                <w:szCs w:val="22"/>
              </w:rPr>
              <w:t xml:space="preserve"> C</w:t>
            </w:r>
            <w:r w:rsidRPr="00392128">
              <w:rPr>
                <w:rFonts w:cs="Arial"/>
                <w:szCs w:val="22"/>
              </w:rPr>
              <w:t xml:space="preserve">urrent rebate levels are set at the highest amount allowed by statute and there is not currently a limit on the number of rebates per individual. Considering rebate adjustments and limiting rebates could decrease demand </w:t>
            </w:r>
            <w:r>
              <w:rPr>
                <w:rFonts w:cs="Arial"/>
                <w:szCs w:val="22"/>
              </w:rPr>
              <w:t>and individual rebate costs and</w:t>
            </w:r>
            <w:r w:rsidRPr="00392128">
              <w:rPr>
                <w:rFonts w:cs="Arial"/>
                <w:szCs w:val="22"/>
              </w:rPr>
              <w:t xml:space="preserve"> enable more individuals to participate in the program.</w:t>
            </w:r>
            <w:r>
              <w:rPr>
                <w:rFonts w:cs="Arial"/>
                <w:szCs w:val="22"/>
              </w:rPr>
              <w:t xml:space="preserve"> </w:t>
            </w:r>
          </w:p>
        </w:tc>
      </w:tr>
      <w:tr w:rsidR="005537F5" w:rsidRPr="00A838C5" w14:paraId="0F98753D" w14:textId="77777777">
        <w:tc>
          <w:tcPr>
            <w:tcW w:w="4387" w:type="dxa"/>
            <w:tcBorders>
              <w:top w:val="single" w:sz="12" w:space="0" w:color="000000" w:themeColor="text1"/>
              <w:bottom w:val="single" w:sz="18" w:space="0" w:color="000000" w:themeColor="text1"/>
              <w:right w:val="single" w:sz="4" w:space="0" w:color="000000" w:themeColor="text1"/>
            </w:tcBorders>
            <w:vAlign w:val="center"/>
          </w:tcPr>
          <w:p w14:paraId="7E09CBB5" w14:textId="77777777" w:rsidR="005537F5" w:rsidRPr="007A210D" w:rsidRDefault="005537F5">
            <w:pPr>
              <w:pStyle w:val="Heading3"/>
              <w:rPr>
                <w:rFonts w:cs="Arial"/>
                <w:b w:val="0"/>
                <w:bCs/>
                <w:sz w:val="22"/>
                <w:szCs w:val="22"/>
              </w:rPr>
            </w:pPr>
            <w:bookmarkStart w:id="13" w:name="_Toc226361717"/>
            <w:r w:rsidRPr="007A210D">
              <w:rPr>
                <w:rFonts w:cs="Arial"/>
                <w:b w:val="0"/>
                <w:bCs/>
                <w:sz w:val="22"/>
                <w:szCs w:val="22"/>
              </w:rPr>
              <w:t>How will DEQ know the rule addressed the need?</w:t>
            </w:r>
            <w:bookmarkEnd w:id="13"/>
          </w:p>
        </w:tc>
        <w:tc>
          <w:tcPr>
            <w:tcW w:w="4950" w:type="dxa"/>
            <w:tcBorders>
              <w:top w:val="single" w:sz="12" w:space="0" w:color="000000" w:themeColor="text1"/>
              <w:left w:val="single" w:sz="4" w:space="0" w:color="000000" w:themeColor="text1"/>
              <w:bottom w:val="single" w:sz="18" w:space="0" w:color="000000" w:themeColor="text1"/>
            </w:tcBorders>
            <w:vAlign w:val="center"/>
          </w:tcPr>
          <w:p w14:paraId="58D8C8B4" w14:textId="77777777" w:rsidR="005537F5" w:rsidRPr="00A838C5" w:rsidRDefault="005537F5">
            <w:pPr>
              <w:rPr>
                <w:rFonts w:cs="Arial"/>
                <w:szCs w:val="22"/>
              </w:rPr>
            </w:pPr>
            <w:r w:rsidRPr="00B8563B">
              <w:rPr>
                <w:rFonts w:cs="Arial"/>
                <w:szCs w:val="22"/>
              </w:rPr>
              <w:t xml:space="preserve">DEQ will know the rule addressed the need </w:t>
            </w:r>
            <w:r>
              <w:rPr>
                <w:rFonts w:cs="Arial"/>
                <w:szCs w:val="22"/>
              </w:rPr>
              <w:t xml:space="preserve">if more individual rebates are able to be issued each year and program projections indicate the program can </w:t>
            </w:r>
            <w:r w:rsidRPr="00FE2E4E">
              <w:rPr>
                <w:rFonts w:cs="Arial"/>
                <w:szCs w:val="22"/>
              </w:rPr>
              <w:t xml:space="preserve">provide a </w:t>
            </w:r>
            <w:r>
              <w:rPr>
                <w:rFonts w:cs="Arial"/>
                <w:szCs w:val="22"/>
              </w:rPr>
              <w:t xml:space="preserve">longer </w:t>
            </w:r>
            <w:r w:rsidRPr="00FE2E4E">
              <w:rPr>
                <w:rFonts w:cs="Arial"/>
                <w:szCs w:val="22"/>
              </w:rPr>
              <w:t>window of time for purchases to be eligible for a rebate</w:t>
            </w:r>
            <w:r>
              <w:rPr>
                <w:rFonts w:cs="Arial"/>
                <w:szCs w:val="22"/>
              </w:rPr>
              <w:t xml:space="preserve"> than projected prior to the rulemaking.</w:t>
            </w:r>
          </w:p>
        </w:tc>
      </w:tr>
    </w:tbl>
    <w:p w14:paraId="66D66273" w14:textId="77777777" w:rsidR="005537F5" w:rsidRDefault="005537F5" w:rsidP="005537F5">
      <w:pPr>
        <w:pStyle w:val="instructions"/>
      </w:pPr>
    </w:p>
    <w:p w14:paraId="10CEC05C" w14:textId="77777777" w:rsidR="005537F5" w:rsidRDefault="005537F5" w:rsidP="005537F5"/>
    <w:p w14:paraId="7A78BC22" w14:textId="77777777" w:rsidR="005537F5" w:rsidRPr="005537F5" w:rsidRDefault="005537F5" w:rsidP="005537F5"/>
    <w:p w14:paraId="498BC5F2" w14:textId="77777777" w:rsidR="005537F5" w:rsidRPr="003D65D9" w:rsidRDefault="005537F5" w:rsidP="005537F5">
      <w:pPr>
        <w:pStyle w:val="Heading3"/>
        <w:rPr>
          <w:rFonts w:cs="Arial"/>
        </w:rPr>
      </w:pPr>
      <w:bookmarkStart w:id="14" w:name="_Toc226361718"/>
      <w:r w:rsidRPr="1F3AF9AA">
        <w:rPr>
          <w:rFonts w:cs="Arial"/>
        </w:rPr>
        <w:lastRenderedPageBreak/>
        <w:t xml:space="preserve">OCVRP - </w:t>
      </w:r>
      <w:r>
        <w:rPr>
          <w:rFonts w:cs="Arial"/>
        </w:rPr>
        <w:t>Rule clarity</w:t>
      </w:r>
      <w:bookmarkEnd w:id="14"/>
    </w:p>
    <w:tbl>
      <w:tblPr>
        <w:tblStyle w:val="TableGrid"/>
        <w:tblW w:w="9337"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top w:w="72" w:type="dxa"/>
          <w:left w:w="72" w:type="dxa"/>
          <w:bottom w:w="72" w:type="dxa"/>
          <w:right w:w="72" w:type="dxa"/>
        </w:tblCellMar>
        <w:tblLook w:val="04A0" w:firstRow="1" w:lastRow="0" w:firstColumn="1" w:lastColumn="0" w:noHBand="0" w:noVBand="1"/>
      </w:tblPr>
      <w:tblGrid>
        <w:gridCol w:w="4387"/>
        <w:gridCol w:w="4950"/>
      </w:tblGrid>
      <w:tr w:rsidR="005537F5" w:rsidRPr="00A838C5" w14:paraId="652A761C" w14:textId="77777777">
        <w:tc>
          <w:tcPr>
            <w:tcW w:w="4387" w:type="dxa"/>
            <w:tcBorders>
              <w:top w:val="single" w:sz="18" w:space="0" w:color="000000" w:themeColor="text1"/>
              <w:bottom w:val="single" w:sz="12" w:space="0" w:color="000000" w:themeColor="text1"/>
              <w:right w:val="single" w:sz="4" w:space="0" w:color="000000" w:themeColor="text1"/>
            </w:tcBorders>
            <w:shd w:val="clear" w:color="auto" w:fill="D9F2D0" w:themeFill="accent6" w:themeFillTint="33"/>
            <w:vAlign w:val="center"/>
          </w:tcPr>
          <w:p w14:paraId="1235AB89" w14:textId="77777777" w:rsidR="005537F5" w:rsidRPr="00A838C5" w:rsidRDefault="005537F5">
            <w:pPr>
              <w:jc w:val="center"/>
              <w:rPr>
                <w:rFonts w:cs="Arial"/>
                <w:szCs w:val="22"/>
              </w:rPr>
            </w:pPr>
            <w:r w:rsidRPr="00337CFC">
              <w:rPr>
                <w:rFonts w:cs="Arial"/>
                <w:b/>
                <w:bCs/>
                <w:szCs w:val="22"/>
              </w:rPr>
              <w:t>Topic</w:t>
            </w:r>
          </w:p>
        </w:tc>
        <w:tc>
          <w:tcPr>
            <w:tcW w:w="4950" w:type="dxa"/>
            <w:tcBorders>
              <w:top w:val="single" w:sz="18" w:space="0" w:color="000000" w:themeColor="text1"/>
              <w:left w:val="single" w:sz="4" w:space="0" w:color="000000" w:themeColor="text1"/>
              <w:bottom w:val="single" w:sz="12" w:space="0" w:color="000000" w:themeColor="text1"/>
            </w:tcBorders>
            <w:shd w:val="clear" w:color="auto" w:fill="D9F2D0" w:themeFill="accent6" w:themeFillTint="33"/>
            <w:vAlign w:val="center"/>
          </w:tcPr>
          <w:p w14:paraId="30025959" w14:textId="77777777" w:rsidR="005537F5" w:rsidRPr="00A838C5" w:rsidRDefault="005537F5">
            <w:pPr>
              <w:jc w:val="center"/>
              <w:rPr>
                <w:rFonts w:cs="Arial"/>
                <w:szCs w:val="22"/>
              </w:rPr>
            </w:pPr>
            <w:r>
              <w:rPr>
                <w:rFonts w:cs="Arial"/>
                <w:b/>
              </w:rPr>
              <w:t>Discussion</w:t>
            </w:r>
          </w:p>
        </w:tc>
      </w:tr>
      <w:tr w:rsidR="005537F5" w:rsidRPr="00A838C5" w14:paraId="44653CB4" w14:textId="77777777">
        <w:tc>
          <w:tcPr>
            <w:tcW w:w="4387" w:type="dxa"/>
            <w:tcBorders>
              <w:top w:val="single" w:sz="12" w:space="0" w:color="000000" w:themeColor="text1"/>
              <w:bottom w:val="single" w:sz="12" w:space="0" w:color="000000" w:themeColor="text1"/>
              <w:right w:val="single" w:sz="4" w:space="0" w:color="000000" w:themeColor="text1"/>
            </w:tcBorders>
            <w:vAlign w:val="center"/>
          </w:tcPr>
          <w:p w14:paraId="2901F4A7" w14:textId="77777777" w:rsidR="005537F5" w:rsidRPr="007A210D" w:rsidRDefault="005537F5">
            <w:pPr>
              <w:rPr>
                <w:rFonts w:cs="Arial"/>
                <w:bCs/>
                <w:szCs w:val="22"/>
              </w:rPr>
            </w:pPr>
            <w:r w:rsidRPr="00301F56">
              <w:rPr>
                <w:rFonts w:cs="Arial"/>
                <w:bCs/>
                <w:szCs w:val="22"/>
              </w:rPr>
              <w:t>What need would the proposed rule address?</w:t>
            </w:r>
          </w:p>
        </w:tc>
        <w:tc>
          <w:tcPr>
            <w:tcW w:w="4950" w:type="dxa"/>
            <w:tcBorders>
              <w:top w:val="single" w:sz="12" w:space="0" w:color="000000" w:themeColor="text1"/>
              <w:left w:val="single" w:sz="4" w:space="0" w:color="000000" w:themeColor="text1"/>
              <w:bottom w:val="single" w:sz="12" w:space="0" w:color="000000" w:themeColor="text1"/>
            </w:tcBorders>
            <w:vAlign w:val="center"/>
          </w:tcPr>
          <w:p w14:paraId="4B137466" w14:textId="77777777" w:rsidR="005537F5" w:rsidRPr="00A838C5" w:rsidRDefault="005537F5">
            <w:pPr>
              <w:rPr>
                <w:rFonts w:cs="Arial"/>
              </w:rPr>
            </w:pPr>
            <w:r w:rsidRPr="00D25164">
              <w:rPr>
                <w:rFonts w:cs="Arial"/>
              </w:rPr>
              <w:t xml:space="preserve">The current </w:t>
            </w:r>
            <w:r>
              <w:rPr>
                <w:rFonts w:cs="Arial"/>
              </w:rPr>
              <w:t xml:space="preserve">OCVRP </w:t>
            </w:r>
            <w:r w:rsidRPr="00D25164">
              <w:rPr>
                <w:rFonts w:cs="Arial"/>
              </w:rPr>
              <w:t>rule lacks some specificity around vehicle and applicant eligibility, rebate options, application review procedures, and the appeals process. The proposed rule would provide clearer, more detailed requirements in these areas to improve transparency and consistent program administration.</w:t>
            </w:r>
          </w:p>
        </w:tc>
      </w:tr>
      <w:tr w:rsidR="005537F5" w:rsidRPr="00A838C5" w14:paraId="35BEEA93" w14:textId="77777777">
        <w:tc>
          <w:tcPr>
            <w:tcW w:w="4387" w:type="dxa"/>
            <w:tcBorders>
              <w:top w:val="single" w:sz="12" w:space="0" w:color="000000" w:themeColor="text1"/>
              <w:bottom w:val="single" w:sz="12" w:space="0" w:color="000000" w:themeColor="text1"/>
              <w:right w:val="single" w:sz="4" w:space="0" w:color="000000" w:themeColor="text1"/>
            </w:tcBorders>
            <w:vAlign w:val="center"/>
          </w:tcPr>
          <w:p w14:paraId="7AD6A273" w14:textId="77777777" w:rsidR="005537F5" w:rsidRPr="007A210D" w:rsidRDefault="005537F5">
            <w:pPr>
              <w:rPr>
                <w:rFonts w:cs="Arial"/>
                <w:bCs/>
                <w:szCs w:val="22"/>
              </w:rPr>
            </w:pPr>
            <w:r w:rsidRPr="007A210D">
              <w:rPr>
                <w:rFonts w:cs="Arial"/>
                <w:bCs/>
                <w:szCs w:val="22"/>
              </w:rPr>
              <w:t>How would the proposed rule address the need?</w:t>
            </w:r>
          </w:p>
        </w:tc>
        <w:tc>
          <w:tcPr>
            <w:tcW w:w="4950" w:type="dxa"/>
            <w:tcBorders>
              <w:top w:val="single" w:sz="12" w:space="0" w:color="000000" w:themeColor="text1"/>
              <w:left w:val="single" w:sz="4" w:space="0" w:color="000000" w:themeColor="text1"/>
              <w:bottom w:val="single" w:sz="12" w:space="0" w:color="000000" w:themeColor="text1"/>
            </w:tcBorders>
            <w:vAlign w:val="center"/>
          </w:tcPr>
          <w:p w14:paraId="1723068C" w14:textId="77777777" w:rsidR="005537F5" w:rsidRPr="00A838C5" w:rsidRDefault="005537F5">
            <w:pPr>
              <w:rPr>
                <w:rFonts w:cs="Arial"/>
              </w:rPr>
            </w:pPr>
            <w:r w:rsidRPr="508E65B9">
              <w:rPr>
                <w:rFonts w:cs="Arial"/>
              </w:rPr>
              <w:t xml:space="preserve">The proposed changes update outdated citations and retired processes referred to in the rules. Additionally, the proposed rules include new and updated program definitions. Finally, language has been </w:t>
            </w:r>
            <w:r>
              <w:rPr>
                <w:rFonts w:cs="Arial"/>
              </w:rPr>
              <w:t>proposed</w:t>
            </w:r>
            <w:r w:rsidRPr="508E65B9">
              <w:rPr>
                <w:rFonts w:cs="Arial"/>
              </w:rPr>
              <w:t xml:space="preserve"> to highlight DEQ’s ability to request additional documentation and follow-up actions and enable appellants to submit appeals by email. </w:t>
            </w:r>
          </w:p>
        </w:tc>
      </w:tr>
      <w:tr w:rsidR="005537F5" w:rsidRPr="00A838C5" w14:paraId="14903FE2" w14:textId="77777777">
        <w:tc>
          <w:tcPr>
            <w:tcW w:w="4387" w:type="dxa"/>
            <w:tcBorders>
              <w:top w:val="single" w:sz="12" w:space="0" w:color="000000" w:themeColor="text1"/>
              <w:bottom w:val="single" w:sz="18" w:space="0" w:color="000000" w:themeColor="text1"/>
              <w:right w:val="single" w:sz="4" w:space="0" w:color="000000" w:themeColor="text1"/>
            </w:tcBorders>
            <w:vAlign w:val="center"/>
          </w:tcPr>
          <w:p w14:paraId="7839C857" w14:textId="77777777" w:rsidR="005537F5" w:rsidRPr="007A210D" w:rsidRDefault="005537F5">
            <w:pPr>
              <w:pStyle w:val="Heading3"/>
              <w:rPr>
                <w:rFonts w:cs="Arial"/>
                <w:b w:val="0"/>
                <w:bCs/>
                <w:sz w:val="22"/>
                <w:szCs w:val="22"/>
              </w:rPr>
            </w:pPr>
            <w:bookmarkStart w:id="15" w:name="_Toc226361719"/>
            <w:r w:rsidRPr="007A210D">
              <w:rPr>
                <w:rFonts w:cs="Arial"/>
                <w:b w:val="0"/>
                <w:bCs/>
                <w:sz w:val="22"/>
                <w:szCs w:val="22"/>
              </w:rPr>
              <w:t>How will DEQ know the rule addressed the need?</w:t>
            </w:r>
            <w:bookmarkEnd w:id="15"/>
          </w:p>
        </w:tc>
        <w:tc>
          <w:tcPr>
            <w:tcW w:w="4950" w:type="dxa"/>
            <w:tcBorders>
              <w:top w:val="single" w:sz="12" w:space="0" w:color="000000" w:themeColor="text1"/>
              <w:left w:val="single" w:sz="4" w:space="0" w:color="000000" w:themeColor="text1"/>
              <w:bottom w:val="single" w:sz="18" w:space="0" w:color="000000" w:themeColor="text1"/>
            </w:tcBorders>
            <w:vAlign w:val="center"/>
          </w:tcPr>
          <w:p w14:paraId="5BC7A19F" w14:textId="77777777" w:rsidR="005537F5" w:rsidRPr="00A838C5" w:rsidRDefault="005537F5">
            <w:pPr>
              <w:rPr>
                <w:rFonts w:cs="Arial"/>
                <w:szCs w:val="22"/>
              </w:rPr>
            </w:pPr>
            <w:r w:rsidRPr="00B8563B">
              <w:rPr>
                <w:rFonts w:cs="Arial"/>
                <w:szCs w:val="22"/>
              </w:rPr>
              <w:t xml:space="preserve">DEQ will know the rule addressed the need </w:t>
            </w:r>
            <w:r>
              <w:rPr>
                <w:rFonts w:cs="Arial"/>
                <w:szCs w:val="22"/>
              </w:rPr>
              <w:t>if there is an updated process for reviewing certain vehicle types and they receive fewer questions regarding vehicle, applicant and rebate application reviews.</w:t>
            </w:r>
          </w:p>
        </w:tc>
      </w:tr>
    </w:tbl>
    <w:p w14:paraId="7CEF82E3" w14:textId="77777777" w:rsidR="005537F5" w:rsidRPr="00A373FD" w:rsidRDefault="005537F5" w:rsidP="005537F5">
      <w:pPr>
        <w:rPr>
          <w:rFonts w:cs="Arial"/>
        </w:rPr>
      </w:pPr>
    </w:p>
    <w:p w14:paraId="55DCD917" w14:textId="77777777" w:rsidR="005537F5" w:rsidRDefault="005537F5" w:rsidP="005537F5">
      <w:pPr>
        <w:rPr>
          <w:rFonts w:cs="Arial"/>
        </w:rPr>
      </w:pPr>
    </w:p>
    <w:p w14:paraId="148120E6" w14:textId="77777777" w:rsidR="005537F5" w:rsidRDefault="005537F5" w:rsidP="005537F5">
      <w:pPr>
        <w:pStyle w:val="Heading2"/>
        <w:rPr>
          <w:rFonts w:cs="Arial"/>
        </w:rPr>
      </w:pPr>
      <w:bookmarkStart w:id="16" w:name="_Toc226361720"/>
      <w:r w:rsidRPr="4F69D5C9">
        <w:rPr>
          <w:rFonts w:cs="Arial"/>
        </w:rPr>
        <w:t>Zero-Emissions Rebates for Oregon Fleets</w:t>
      </w:r>
      <w:bookmarkEnd w:id="16"/>
    </w:p>
    <w:p w14:paraId="38D7CD5B" w14:textId="77777777" w:rsidR="005537F5" w:rsidRPr="003D65D9" w:rsidRDefault="005537F5" w:rsidP="005537F5">
      <w:pPr>
        <w:pStyle w:val="Heading3"/>
        <w:rPr>
          <w:rFonts w:cs="Arial"/>
        </w:rPr>
      </w:pPr>
      <w:bookmarkStart w:id="17" w:name="_Toc226361721"/>
      <w:r w:rsidRPr="1F3AF9AA">
        <w:rPr>
          <w:rFonts w:cs="Arial"/>
        </w:rPr>
        <w:t xml:space="preserve">ZERO Fleet - </w:t>
      </w:r>
      <w:r>
        <w:rPr>
          <w:rFonts w:cs="Arial"/>
        </w:rPr>
        <w:t>Rule clarity</w:t>
      </w:r>
      <w:bookmarkEnd w:id="17"/>
    </w:p>
    <w:tbl>
      <w:tblPr>
        <w:tblStyle w:val="TableGrid"/>
        <w:tblW w:w="9337"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top w:w="72" w:type="dxa"/>
          <w:left w:w="72" w:type="dxa"/>
          <w:bottom w:w="72" w:type="dxa"/>
          <w:right w:w="72" w:type="dxa"/>
        </w:tblCellMar>
        <w:tblLook w:val="04A0" w:firstRow="1" w:lastRow="0" w:firstColumn="1" w:lastColumn="0" w:noHBand="0" w:noVBand="1"/>
      </w:tblPr>
      <w:tblGrid>
        <w:gridCol w:w="4387"/>
        <w:gridCol w:w="4950"/>
      </w:tblGrid>
      <w:tr w:rsidR="005537F5" w:rsidRPr="00A838C5" w14:paraId="26D8290B" w14:textId="77777777" w:rsidTr="005537F5">
        <w:trPr>
          <w:trHeight w:val="306"/>
          <w:tblHeader/>
        </w:trPr>
        <w:tc>
          <w:tcPr>
            <w:tcW w:w="4387" w:type="dxa"/>
            <w:tcBorders>
              <w:top w:val="single" w:sz="18" w:space="0" w:color="000000" w:themeColor="text1"/>
              <w:bottom w:val="single" w:sz="12" w:space="0" w:color="000000" w:themeColor="text1"/>
              <w:right w:val="single" w:sz="4" w:space="0" w:color="000000" w:themeColor="text1"/>
            </w:tcBorders>
            <w:shd w:val="clear" w:color="auto" w:fill="D9F2D0" w:themeFill="accent6" w:themeFillTint="33"/>
            <w:vAlign w:val="center"/>
          </w:tcPr>
          <w:p w14:paraId="49EDDF92" w14:textId="77777777" w:rsidR="005537F5" w:rsidRPr="00A838C5" w:rsidRDefault="005537F5">
            <w:pPr>
              <w:jc w:val="center"/>
              <w:rPr>
                <w:rFonts w:cs="Arial"/>
                <w:szCs w:val="22"/>
              </w:rPr>
            </w:pPr>
            <w:r w:rsidRPr="00337CFC">
              <w:rPr>
                <w:rFonts w:cs="Arial"/>
                <w:b/>
                <w:bCs/>
                <w:szCs w:val="22"/>
              </w:rPr>
              <w:t>Topic</w:t>
            </w:r>
          </w:p>
        </w:tc>
        <w:tc>
          <w:tcPr>
            <w:tcW w:w="4950" w:type="dxa"/>
            <w:tcBorders>
              <w:top w:val="single" w:sz="18" w:space="0" w:color="000000" w:themeColor="text1"/>
              <w:left w:val="single" w:sz="4" w:space="0" w:color="000000" w:themeColor="text1"/>
              <w:bottom w:val="single" w:sz="12" w:space="0" w:color="000000" w:themeColor="text1"/>
            </w:tcBorders>
            <w:shd w:val="clear" w:color="auto" w:fill="D9F2D0" w:themeFill="accent6" w:themeFillTint="33"/>
            <w:vAlign w:val="center"/>
          </w:tcPr>
          <w:p w14:paraId="45A6B0C4" w14:textId="77777777" w:rsidR="005537F5" w:rsidRPr="00A838C5" w:rsidRDefault="005537F5">
            <w:pPr>
              <w:jc w:val="center"/>
              <w:rPr>
                <w:rFonts w:cs="Arial"/>
                <w:szCs w:val="22"/>
              </w:rPr>
            </w:pPr>
            <w:r>
              <w:rPr>
                <w:rFonts w:cs="Arial"/>
                <w:b/>
              </w:rPr>
              <w:t>Discussion</w:t>
            </w:r>
          </w:p>
        </w:tc>
      </w:tr>
      <w:tr w:rsidR="005537F5" w:rsidRPr="00A838C5" w14:paraId="7E313DAD" w14:textId="77777777">
        <w:tc>
          <w:tcPr>
            <w:tcW w:w="4387" w:type="dxa"/>
            <w:tcBorders>
              <w:top w:val="single" w:sz="12" w:space="0" w:color="000000" w:themeColor="text1"/>
              <w:bottom w:val="single" w:sz="12" w:space="0" w:color="000000" w:themeColor="text1"/>
              <w:right w:val="single" w:sz="4" w:space="0" w:color="000000" w:themeColor="text1"/>
            </w:tcBorders>
            <w:vAlign w:val="center"/>
          </w:tcPr>
          <w:p w14:paraId="4DAB5CAB" w14:textId="77777777" w:rsidR="005537F5" w:rsidRPr="007A210D" w:rsidRDefault="005537F5">
            <w:pPr>
              <w:rPr>
                <w:rFonts w:cs="Arial"/>
                <w:bCs/>
                <w:szCs w:val="22"/>
              </w:rPr>
            </w:pPr>
            <w:r w:rsidRPr="00301F56">
              <w:rPr>
                <w:rFonts w:cs="Arial"/>
                <w:bCs/>
                <w:szCs w:val="22"/>
              </w:rPr>
              <w:t>What need would the proposed rule address?</w:t>
            </w:r>
          </w:p>
        </w:tc>
        <w:tc>
          <w:tcPr>
            <w:tcW w:w="4950" w:type="dxa"/>
            <w:tcBorders>
              <w:top w:val="single" w:sz="12" w:space="0" w:color="000000" w:themeColor="text1"/>
              <w:left w:val="single" w:sz="4" w:space="0" w:color="000000" w:themeColor="text1"/>
              <w:bottom w:val="single" w:sz="12" w:space="0" w:color="000000" w:themeColor="text1"/>
            </w:tcBorders>
            <w:vAlign w:val="center"/>
          </w:tcPr>
          <w:p w14:paraId="420EE583" w14:textId="77777777" w:rsidR="005537F5" w:rsidRDefault="005537F5">
            <w:pPr>
              <w:rPr>
                <w:rFonts w:cs="Arial"/>
              </w:rPr>
            </w:pPr>
            <w:r w:rsidRPr="77AE40D6">
              <w:rPr>
                <w:rFonts w:cs="Arial"/>
              </w:rPr>
              <w:t>The proposed rule would reduce uncertainty and provide further clarity for the ZERO Fleet program by more clearly describing how vehicle eligibility is determined, and how rebate applications are reviewed. These clarifications would support more consistent, transparent administration of the medium- and heavy-duty vehicle rebate program.</w:t>
            </w:r>
          </w:p>
          <w:p w14:paraId="5087A0D0" w14:textId="77777777" w:rsidR="005537F5" w:rsidRPr="00A838C5" w:rsidRDefault="005537F5">
            <w:pPr>
              <w:rPr>
                <w:rFonts w:cs="Arial"/>
              </w:rPr>
            </w:pPr>
          </w:p>
        </w:tc>
      </w:tr>
      <w:tr w:rsidR="005537F5" w:rsidRPr="00A838C5" w14:paraId="06DBB00E" w14:textId="77777777">
        <w:tc>
          <w:tcPr>
            <w:tcW w:w="4387" w:type="dxa"/>
            <w:tcBorders>
              <w:top w:val="single" w:sz="12" w:space="0" w:color="000000" w:themeColor="text1"/>
              <w:bottom w:val="single" w:sz="12" w:space="0" w:color="000000" w:themeColor="text1"/>
              <w:right w:val="single" w:sz="4" w:space="0" w:color="000000" w:themeColor="text1"/>
            </w:tcBorders>
            <w:vAlign w:val="center"/>
          </w:tcPr>
          <w:p w14:paraId="42180830" w14:textId="77777777" w:rsidR="005537F5" w:rsidRPr="007A210D" w:rsidRDefault="005537F5">
            <w:pPr>
              <w:rPr>
                <w:rFonts w:cs="Arial"/>
                <w:bCs/>
                <w:szCs w:val="22"/>
              </w:rPr>
            </w:pPr>
            <w:r w:rsidRPr="007A210D">
              <w:rPr>
                <w:rFonts w:cs="Arial"/>
                <w:bCs/>
                <w:szCs w:val="22"/>
              </w:rPr>
              <w:lastRenderedPageBreak/>
              <w:t>How would the proposed rule address the need?</w:t>
            </w:r>
          </w:p>
        </w:tc>
        <w:tc>
          <w:tcPr>
            <w:tcW w:w="4950" w:type="dxa"/>
            <w:tcBorders>
              <w:top w:val="single" w:sz="12" w:space="0" w:color="000000" w:themeColor="text1"/>
              <w:left w:val="single" w:sz="4" w:space="0" w:color="000000" w:themeColor="text1"/>
              <w:bottom w:val="single" w:sz="12" w:space="0" w:color="000000" w:themeColor="text1"/>
            </w:tcBorders>
            <w:vAlign w:val="center"/>
          </w:tcPr>
          <w:p w14:paraId="2EFEFA79" w14:textId="77777777" w:rsidR="005537F5" w:rsidRPr="00A838C5" w:rsidRDefault="005537F5">
            <w:pPr>
              <w:rPr>
                <w:rFonts w:cs="Arial"/>
              </w:rPr>
            </w:pPr>
            <w:r w:rsidRPr="5679855B">
              <w:rPr>
                <w:rFonts w:cs="Arial"/>
              </w:rPr>
              <w:t>The rule propose</w:t>
            </w:r>
            <w:r>
              <w:rPr>
                <w:rFonts w:cs="Arial"/>
              </w:rPr>
              <w:t>s</w:t>
            </w:r>
            <w:r w:rsidRPr="5679855B">
              <w:rPr>
                <w:rFonts w:cs="Arial"/>
              </w:rPr>
              <w:t xml:space="preserve"> establishing an eligible vehicle list and highlighting DEQ’s ability to request additional documentation and follow-up actions</w:t>
            </w:r>
            <w:r w:rsidRPr="4497E6C6">
              <w:rPr>
                <w:rFonts w:cs="Arial"/>
              </w:rPr>
              <w:t>. By creating a definitive list of vehicles, applicants will have full clarity on what vehicles qualify</w:t>
            </w:r>
            <w:r w:rsidRPr="5679855B">
              <w:rPr>
                <w:rFonts w:cs="Arial"/>
              </w:rPr>
              <w:t xml:space="preserve"> for </w:t>
            </w:r>
            <w:r w:rsidRPr="4497E6C6">
              <w:rPr>
                <w:rFonts w:cs="Arial"/>
              </w:rPr>
              <w:t>a rebate</w:t>
            </w:r>
            <w:r w:rsidRPr="5679855B">
              <w:rPr>
                <w:rFonts w:cs="Arial"/>
              </w:rPr>
              <w:t xml:space="preserve"> and </w:t>
            </w:r>
            <w:r w:rsidRPr="4497E6C6">
              <w:rPr>
                <w:rFonts w:cs="Arial"/>
              </w:rPr>
              <w:t>DEQ is able to ensure that</w:t>
            </w:r>
            <w:r w:rsidRPr="5679855B">
              <w:rPr>
                <w:rFonts w:cs="Arial"/>
              </w:rPr>
              <w:t xml:space="preserve"> the </w:t>
            </w:r>
            <w:r w:rsidRPr="4497E6C6">
              <w:rPr>
                <w:rFonts w:cs="Arial"/>
              </w:rPr>
              <w:t>funds are used on the intended vehicles. Beyond the list, by highlighting DEQ’s ability</w:t>
            </w:r>
            <w:r w:rsidRPr="5679855B">
              <w:rPr>
                <w:rFonts w:cs="Arial"/>
              </w:rPr>
              <w:t xml:space="preserve"> to </w:t>
            </w:r>
            <w:r w:rsidRPr="4497E6C6">
              <w:rPr>
                <w:rFonts w:cs="Arial"/>
              </w:rPr>
              <w:t xml:space="preserve">review documentation and follow-up with those who have used a rebate, we are able to further protect </w:t>
            </w:r>
            <w:r>
              <w:rPr>
                <w:rFonts w:cs="Arial"/>
              </w:rPr>
              <w:t>against</w:t>
            </w:r>
            <w:r w:rsidRPr="4497E6C6">
              <w:rPr>
                <w:rFonts w:cs="Arial"/>
              </w:rPr>
              <w:t xml:space="preserve"> fraud and waste - ensuring the vehicles are used for their intended purpose in Oregon. </w:t>
            </w:r>
          </w:p>
        </w:tc>
      </w:tr>
      <w:tr w:rsidR="005537F5" w:rsidRPr="00A838C5" w14:paraId="430B4016" w14:textId="77777777">
        <w:tc>
          <w:tcPr>
            <w:tcW w:w="4387" w:type="dxa"/>
            <w:tcBorders>
              <w:top w:val="single" w:sz="12" w:space="0" w:color="000000" w:themeColor="text1"/>
              <w:bottom w:val="single" w:sz="18" w:space="0" w:color="000000" w:themeColor="text1"/>
              <w:right w:val="single" w:sz="4" w:space="0" w:color="000000" w:themeColor="text1"/>
            </w:tcBorders>
            <w:vAlign w:val="center"/>
          </w:tcPr>
          <w:p w14:paraId="34FDB020" w14:textId="77777777" w:rsidR="005537F5" w:rsidRPr="007A210D" w:rsidRDefault="005537F5">
            <w:pPr>
              <w:pStyle w:val="Heading3"/>
              <w:rPr>
                <w:rFonts w:cs="Arial"/>
                <w:b w:val="0"/>
                <w:bCs/>
                <w:sz w:val="22"/>
                <w:szCs w:val="22"/>
              </w:rPr>
            </w:pPr>
            <w:bookmarkStart w:id="18" w:name="_Toc226361722"/>
            <w:r w:rsidRPr="007A210D">
              <w:rPr>
                <w:rFonts w:cs="Arial"/>
                <w:b w:val="0"/>
                <w:bCs/>
                <w:sz w:val="22"/>
                <w:szCs w:val="22"/>
              </w:rPr>
              <w:t>How will DEQ know the rule addressed the need?</w:t>
            </w:r>
            <w:bookmarkEnd w:id="18"/>
          </w:p>
        </w:tc>
        <w:tc>
          <w:tcPr>
            <w:tcW w:w="4950" w:type="dxa"/>
            <w:tcBorders>
              <w:top w:val="single" w:sz="12" w:space="0" w:color="000000" w:themeColor="text1"/>
              <w:left w:val="single" w:sz="4" w:space="0" w:color="000000" w:themeColor="text1"/>
              <w:bottom w:val="single" w:sz="18" w:space="0" w:color="000000" w:themeColor="text1"/>
            </w:tcBorders>
            <w:vAlign w:val="center"/>
          </w:tcPr>
          <w:p w14:paraId="035A8775" w14:textId="77777777" w:rsidR="005537F5" w:rsidRPr="00A838C5" w:rsidRDefault="005537F5">
            <w:pPr>
              <w:rPr>
                <w:rFonts w:cs="Arial"/>
              </w:rPr>
            </w:pPr>
            <w:r w:rsidRPr="5679855B">
              <w:rPr>
                <w:rFonts w:cs="Arial"/>
              </w:rPr>
              <w:t>DEQ will know the rule addressed the need if a vehicle list is established, the application review process is clarified, and applicants understand which vehicles are eligible for the rebate and what to expect during the application review process.</w:t>
            </w:r>
          </w:p>
        </w:tc>
      </w:tr>
    </w:tbl>
    <w:p w14:paraId="21A668C1" w14:textId="77777777" w:rsidR="005537F5" w:rsidRDefault="005537F5" w:rsidP="005537F5">
      <w:pPr>
        <w:pStyle w:val="Heading3"/>
        <w:rPr>
          <w:rFonts w:cs="Arial"/>
        </w:rPr>
      </w:pPr>
    </w:p>
    <w:p w14:paraId="080D8903" w14:textId="77777777" w:rsidR="005537F5" w:rsidRPr="003D65D9" w:rsidRDefault="005537F5" w:rsidP="005537F5">
      <w:pPr>
        <w:pStyle w:val="Heading3"/>
        <w:rPr>
          <w:rFonts w:cs="Arial"/>
        </w:rPr>
      </w:pPr>
      <w:bookmarkStart w:id="19" w:name="_Toc226361723"/>
      <w:r w:rsidRPr="1F3AF9AA">
        <w:rPr>
          <w:rFonts w:cs="Arial"/>
        </w:rPr>
        <w:t xml:space="preserve">ZERO Fleet - </w:t>
      </w:r>
      <w:r>
        <w:rPr>
          <w:rFonts w:cs="Arial"/>
        </w:rPr>
        <w:t>Rebate flexibility</w:t>
      </w:r>
      <w:bookmarkEnd w:id="19"/>
    </w:p>
    <w:tbl>
      <w:tblPr>
        <w:tblStyle w:val="TableGrid"/>
        <w:tblW w:w="9337"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top w:w="72" w:type="dxa"/>
          <w:left w:w="72" w:type="dxa"/>
          <w:bottom w:w="72" w:type="dxa"/>
          <w:right w:w="72" w:type="dxa"/>
        </w:tblCellMar>
        <w:tblLook w:val="04A0" w:firstRow="1" w:lastRow="0" w:firstColumn="1" w:lastColumn="0" w:noHBand="0" w:noVBand="1"/>
      </w:tblPr>
      <w:tblGrid>
        <w:gridCol w:w="4387"/>
        <w:gridCol w:w="4950"/>
      </w:tblGrid>
      <w:tr w:rsidR="005537F5" w:rsidRPr="00A838C5" w14:paraId="2BC6F3FC" w14:textId="77777777" w:rsidTr="005537F5">
        <w:trPr>
          <w:tblHeader/>
        </w:trPr>
        <w:tc>
          <w:tcPr>
            <w:tcW w:w="4387" w:type="dxa"/>
            <w:tcBorders>
              <w:top w:val="single" w:sz="18" w:space="0" w:color="000000" w:themeColor="text1"/>
              <w:bottom w:val="single" w:sz="12" w:space="0" w:color="000000" w:themeColor="text1"/>
              <w:right w:val="single" w:sz="4" w:space="0" w:color="000000" w:themeColor="text1"/>
            </w:tcBorders>
            <w:shd w:val="clear" w:color="auto" w:fill="D9F2D0" w:themeFill="accent6" w:themeFillTint="33"/>
            <w:vAlign w:val="center"/>
          </w:tcPr>
          <w:p w14:paraId="0A4DE3DA" w14:textId="77777777" w:rsidR="005537F5" w:rsidRPr="00A838C5" w:rsidRDefault="005537F5">
            <w:pPr>
              <w:jc w:val="center"/>
              <w:rPr>
                <w:rFonts w:cs="Arial"/>
                <w:szCs w:val="22"/>
              </w:rPr>
            </w:pPr>
            <w:r w:rsidRPr="00337CFC">
              <w:rPr>
                <w:rFonts w:cs="Arial"/>
                <w:b/>
                <w:bCs/>
                <w:szCs w:val="22"/>
              </w:rPr>
              <w:t>Topic</w:t>
            </w:r>
          </w:p>
        </w:tc>
        <w:tc>
          <w:tcPr>
            <w:tcW w:w="4950" w:type="dxa"/>
            <w:tcBorders>
              <w:top w:val="single" w:sz="18" w:space="0" w:color="000000" w:themeColor="text1"/>
              <w:left w:val="single" w:sz="4" w:space="0" w:color="000000" w:themeColor="text1"/>
              <w:bottom w:val="single" w:sz="12" w:space="0" w:color="000000" w:themeColor="text1"/>
            </w:tcBorders>
            <w:shd w:val="clear" w:color="auto" w:fill="D9F2D0" w:themeFill="accent6" w:themeFillTint="33"/>
            <w:vAlign w:val="center"/>
          </w:tcPr>
          <w:p w14:paraId="692AD8AA" w14:textId="77777777" w:rsidR="005537F5" w:rsidRPr="00A838C5" w:rsidRDefault="005537F5">
            <w:pPr>
              <w:jc w:val="center"/>
              <w:rPr>
                <w:rFonts w:cs="Arial"/>
                <w:szCs w:val="22"/>
              </w:rPr>
            </w:pPr>
            <w:r>
              <w:rPr>
                <w:rFonts w:cs="Arial"/>
                <w:b/>
              </w:rPr>
              <w:t>Discussion</w:t>
            </w:r>
          </w:p>
        </w:tc>
      </w:tr>
      <w:tr w:rsidR="005537F5" w:rsidRPr="00A838C5" w14:paraId="65D0897F" w14:textId="77777777">
        <w:tc>
          <w:tcPr>
            <w:tcW w:w="4387" w:type="dxa"/>
            <w:tcBorders>
              <w:top w:val="single" w:sz="12" w:space="0" w:color="000000" w:themeColor="text1"/>
              <w:bottom w:val="single" w:sz="12" w:space="0" w:color="000000" w:themeColor="text1"/>
              <w:right w:val="single" w:sz="4" w:space="0" w:color="000000" w:themeColor="text1"/>
            </w:tcBorders>
            <w:vAlign w:val="center"/>
          </w:tcPr>
          <w:p w14:paraId="0A8AD88D" w14:textId="77777777" w:rsidR="005537F5" w:rsidRPr="007A210D" w:rsidRDefault="005537F5">
            <w:pPr>
              <w:rPr>
                <w:rFonts w:cs="Arial"/>
                <w:bCs/>
                <w:szCs w:val="22"/>
              </w:rPr>
            </w:pPr>
            <w:r w:rsidRPr="00301F56">
              <w:rPr>
                <w:rFonts w:cs="Arial"/>
                <w:bCs/>
                <w:szCs w:val="22"/>
              </w:rPr>
              <w:t>What need would the proposed rule address?</w:t>
            </w:r>
          </w:p>
        </w:tc>
        <w:tc>
          <w:tcPr>
            <w:tcW w:w="4950" w:type="dxa"/>
            <w:tcBorders>
              <w:top w:val="single" w:sz="12" w:space="0" w:color="000000" w:themeColor="text1"/>
              <w:left w:val="single" w:sz="4" w:space="0" w:color="000000" w:themeColor="text1"/>
              <w:bottom w:val="single" w:sz="12" w:space="0" w:color="000000" w:themeColor="text1"/>
            </w:tcBorders>
            <w:vAlign w:val="center"/>
          </w:tcPr>
          <w:p w14:paraId="0BA25013" w14:textId="77777777" w:rsidR="005537F5" w:rsidRDefault="005537F5">
            <w:pPr>
              <w:rPr>
                <w:rFonts w:cs="Arial"/>
              </w:rPr>
            </w:pPr>
            <w:r w:rsidRPr="77AE40D6">
              <w:rPr>
                <w:rFonts w:cs="Arial"/>
              </w:rPr>
              <w:t>The proposed rule addresses the need for greater pricing flexibility for fleet purchasers participating in the ZERO Fleet program. Clarifying that rebate reservations are not tied to a single dealer reduces uncertainty and supports competitive pricing in a market with limited vehicle availability and long procurement timelines</w:t>
            </w:r>
          </w:p>
          <w:p w14:paraId="6CE69AE1" w14:textId="77777777" w:rsidR="005537F5" w:rsidRPr="00A838C5" w:rsidRDefault="005537F5">
            <w:pPr>
              <w:rPr>
                <w:rFonts w:cs="Arial"/>
              </w:rPr>
            </w:pPr>
          </w:p>
        </w:tc>
      </w:tr>
      <w:tr w:rsidR="005537F5" w:rsidRPr="00A838C5" w14:paraId="7E21014A" w14:textId="77777777">
        <w:tc>
          <w:tcPr>
            <w:tcW w:w="4387" w:type="dxa"/>
            <w:tcBorders>
              <w:top w:val="single" w:sz="12" w:space="0" w:color="000000" w:themeColor="text1"/>
              <w:bottom w:val="single" w:sz="12" w:space="0" w:color="000000" w:themeColor="text1"/>
              <w:right w:val="single" w:sz="4" w:space="0" w:color="000000" w:themeColor="text1"/>
            </w:tcBorders>
            <w:vAlign w:val="center"/>
          </w:tcPr>
          <w:p w14:paraId="0C37AC60" w14:textId="77777777" w:rsidR="005537F5" w:rsidRPr="007A210D" w:rsidRDefault="005537F5">
            <w:pPr>
              <w:rPr>
                <w:rFonts w:cs="Arial"/>
                <w:bCs/>
                <w:szCs w:val="22"/>
              </w:rPr>
            </w:pPr>
            <w:r w:rsidRPr="007A210D">
              <w:rPr>
                <w:rFonts w:cs="Arial"/>
                <w:bCs/>
                <w:szCs w:val="22"/>
              </w:rPr>
              <w:t>How would the proposed rule address the need?</w:t>
            </w:r>
          </w:p>
        </w:tc>
        <w:tc>
          <w:tcPr>
            <w:tcW w:w="4950" w:type="dxa"/>
            <w:tcBorders>
              <w:top w:val="single" w:sz="12" w:space="0" w:color="000000" w:themeColor="text1"/>
              <w:left w:val="single" w:sz="4" w:space="0" w:color="000000" w:themeColor="text1"/>
              <w:bottom w:val="single" w:sz="12" w:space="0" w:color="000000" w:themeColor="text1"/>
            </w:tcBorders>
            <w:vAlign w:val="center"/>
          </w:tcPr>
          <w:p w14:paraId="4EDC8D2E" w14:textId="2BFCE01F" w:rsidR="005537F5" w:rsidRPr="00A838C5" w:rsidRDefault="005537F5">
            <w:pPr>
              <w:rPr>
                <w:rFonts w:cs="Arial"/>
              </w:rPr>
            </w:pPr>
            <w:r w:rsidRPr="508E65B9">
              <w:rPr>
                <w:rFonts w:cs="Arial"/>
              </w:rPr>
              <w:t>The rule propose</w:t>
            </w:r>
            <w:r>
              <w:rPr>
                <w:rFonts w:cs="Arial"/>
              </w:rPr>
              <w:t>s</w:t>
            </w:r>
            <w:r w:rsidRPr="508E65B9">
              <w:rPr>
                <w:rFonts w:cs="Arial"/>
              </w:rPr>
              <w:t xml:space="preserve"> language that allows a purchaser with an approved rebate reservation to purchase from any approved dealer and be able to apply for another rebate extension if needed. Currently applicants must have a dealer and vehicle selected before applying for a rebate. The proposed rule would </w:t>
            </w:r>
            <w:r w:rsidR="009B3D44" w:rsidRPr="508E65B9">
              <w:rPr>
                <w:rFonts w:cs="Arial"/>
              </w:rPr>
              <w:t>allow</w:t>
            </w:r>
            <w:r w:rsidRPr="508E65B9">
              <w:rPr>
                <w:rFonts w:cs="Arial"/>
              </w:rPr>
              <w:t xml:space="preserve"> the applicant to </w:t>
            </w:r>
            <w:r w:rsidRPr="508E65B9">
              <w:rPr>
                <w:rFonts w:cs="Arial"/>
              </w:rPr>
              <w:lastRenderedPageBreak/>
              <w:t>receive a voucher for a certain class of rebate and then pick out a vehicle and approved dealer.</w:t>
            </w:r>
          </w:p>
        </w:tc>
      </w:tr>
      <w:tr w:rsidR="005537F5" w:rsidRPr="00A838C5" w14:paraId="602FF3B6" w14:textId="77777777">
        <w:tc>
          <w:tcPr>
            <w:tcW w:w="4387" w:type="dxa"/>
            <w:tcBorders>
              <w:top w:val="single" w:sz="12" w:space="0" w:color="000000" w:themeColor="text1"/>
              <w:bottom w:val="single" w:sz="18" w:space="0" w:color="000000" w:themeColor="text1"/>
              <w:right w:val="single" w:sz="4" w:space="0" w:color="000000" w:themeColor="text1"/>
            </w:tcBorders>
            <w:vAlign w:val="center"/>
          </w:tcPr>
          <w:p w14:paraId="533B5D15" w14:textId="77777777" w:rsidR="005537F5" w:rsidRPr="007A210D" w:rsidRDefault="005537F5">
            <w:pPr>
              <w:pStyle w:val="Heading3"/>
              <w:rPr>
                <w:rFonts w:cs="Arial"/>
                <w:b w:val="0"/>
                <w:bCs/>
                <w:sz w:val="22"/>
                <w:szCs w:val="22"/>
              </w:rPr>
            </w:pPr>
            <w:bookmarkStart w:id="20" w:name="_Toc226361724"/>
            <w:r w:rsidRPr="007A210D">
              <w:rPr>
                <w:rFonts w:cs="Arial"/>
                <w:b w:val="0"/>
                <w:bCs/>
                <w:sz w:val="22"/>
                <w:szCs w:val="22"/>
              </w:rPr>
              <w:lastRenderedPageBreak/>
              <w:t>How will DEQ know the rule addressed the need?</w:t>
            </w:r>
            <w:bookmarkEnd w:id="20"/>
          </w:p>
        </w:tc>
        <w:tc>
          <w:tcPr>
            <w:tcW w:w="4950" w:type="dxa"/>
            <w:tcBorders>
              <w:top w:val="single" w:sz="12" w:space="0" w:color="000000" w:themeColor="text1"/>
              <w:left w:val="single" w:sz="4" w:space="0" w:color="000000" w:themeColor="text1"/>
              <w:bottom w:val="single" w:sz="18" w:space="0" w:color="000000" w:themeColor="text1"/>
            </w:tcBorders>
            <w:vAlign w:val="center"/>
          </w:tcPr>
          <w:p w14:paraId="276EC95E" w14:textId="77777777" w:rsidR="005537F5" w:rsidRPr="00A838C5" w:rsidRDefault="005537F5">
            <w:pPr>
              <w:rPr>
                <w:rFonts w:cs="Arial"/>
              </w:rPr>
            </w:pPr>
            <w:r w:rsidRPr="4497E6C6">
              <w:rPr>
                <w:rFonts w:cs="Arial"/>
              </w:rPr>
              <w:t>DEQ will know the rule addressed the need if applicants are allowed to use their rebate reservation at any approved dealer and they are able to apply for an additional rebate extension when needed</w:t>
            </w:r>
          </w:p>
        </w:tc>
      </w:tr>
    </w:tbl>
    <w:p w14:paraId="468792DA" w14:textId="77777777" w:rsidR="00ED47E6" w:rsidRDefault="00ED47E6" w:rsidP="00ED47E6"/>
    <w:p w14:paraId="5BCACAD6" w14:textId="77777777" w:rsidR="00563365" w:rsidRDefault="00563365">
      <w:pPr>
        <w:spacing w:after="160"/>
      </w:pPr>
      <w:r>
        <w:br w:type="page"/>
      </w:r>
    </w:p>
    <w:p w14:paraId="5A199C72" w14:textId="4FBE8A41" w:rsidR="00ED47E6" w:rsidRDefault="00ED47E6" w:rsidP="00563365">
      <w:pPr>
        <w:pStyle w:val="Heading1"/>
      </w:pPr>
      <w:bookmarkStart w:id="21" w:name="_Toc226361725"/>
      <w:r>
        <w:lastRenderedPageBreak/>
        <w:t>Federal relationship</w:t>
      </w:r>
      <w:bookmarkEnd w:id="21"/>
    </w:p>
    <w:p w14:paraId="16E25655" w14:textId="3C86B21A" w:rsidR="00495F61" w:rsidRPr="00A373FD" w:rsidRDefault="00495F61" w:rsidP="00495F61">
      <w:pPr>
        <w:rPr>
          <w:rFonts w:cs="Arial"/>
        </w:rPr>
      </w:pPr>
      <w:r w:rsidRPr="00A373FD">
        <w:rPr>
          <w:rFonts w:cs="Arial"/>
        </w:rPr>
        <w:t xml:space="preserve">ORS 183.332, 468A.327 and OAR 340-011-0029 require DEQ to attempt to adopt rules that correspond with existing equivalent federal laws and rules unless there are reasons not to do so.  </w:t>
      </w:r>
    </w:p>
    <w:p w14:paraId="0416B2EE" w14:textId="54A9B4F2" w:rsidR="00495F61" w:rsidRPr="00A373FD" w:rsidRDefault="00495F61" w:rsidP="00495F61">
      <w:pPr>
        <w:rPr>
          <w:rFonts w:cs="Arial"/>
        </w:rPr>
      </w:pPr>
      <w:r w:rsidRPr="00A373FD">
        <w:rPr>
          <w:rFonts w:cs="Arial"/>
        </w:rPr>
        <w:t xml:space="preserve">The proposed rules </w:t>
      </w:r>
      <w:r>
        <w:rPr>
          <w:rFonts w:cs="Arial"/>
        </w:rPr>
        <w:t xml:space="preserve">update existing rebate programs and administrative rules </w:t>
      </w:r>
      <w:r w:rsidRPr="007577C1">
        <w:rPr>
          <w:rFonts w:cs="Arial"/>
        </w:rPr>
        <w:t>relating to state-issued rebates</w:t>
      </w:r>
      <w:r>
        <w:rPr>
          <w:rFonts w:cs="Arial"/>
        </w:rPr>
        <w:t xml:space="preserve">. They do not impose </w:t>
      </w:r>
      <w:r w:rsidRPr="00016070">
        <w:rPr>
          <w:rFonts w:cs="Arial"/>
        </w:rPr>
        <w:t xml:space="preserve">requirements </w:t>
      </w:r>
      <w:r w:rsidR="00827F9E">
        <w:rPr>
          <w:rFonts w:cs="Arial"/>
        </w:rPr>
        <w:t xml:space="preserve">that </w:t>
      </w:r>
      <w:r w:rsidR="002911AF" w:rsidRPr="00016070">
        <w:rPr>
          <w:rFonts w:cs="Arial"/>
        </w:rPr>
        <w:t>are different</w:t>
      </w:r>
      <w:r w:rsidRPr="00016070">
        <w:rPr>
          <w:rFonts w:cs="Arial"/>
        </w:rPr>
        <w:t xml:space="preserve"> from or</w:t>
      </w:r>
      <w:r w:rsidR="00827F9E">
        <w:rPr>
          <w:rFonts w:cs="Arial"/>
        </w:rPr>
        <w:t xml:space="preserve"> </w:t>
      </w:r>
      <w:r w:rsidRPr="00016070">
        <w:rPr>
          <w:rFonts w:cs="Arial"/>
        </w:rPr>
        <w:t>add to federal requirements</w:t>
      </w:r>
      <w:r>
        <w:rPr>
          <w:rFonts w:cs="Arial"/>
        </w:rPr>
        <w:t>. Additionally, there</w:t>
      </w:r>
      <w:r w:rsidRPr="00531B0D">
        <w:t xml:space="preserve"> are no federal regulations regarding rebates </w:t>
      </w:r>
      <w:r>
        <w:t>under these programs</w:t>
      </w:r>
      <w:r w:rsidRPr="00531B0D">
        <w:t xml:space="preserve">. </w:t>
      </w:r>
    </w:p>
    <w:p w14:paraId="75DB02D7" w14:textId="77777777" w:rsidR="00495F61" w:rsidRPr="00A373FD" w:rsidRDefault="00495F61" w:rsidP="00495F61">
      <w:pPr>
        <w:rPr>
          <w:rFonts w:cs="Arial"/>
        </w:rPr>
      </w:pPr>
    </w:p>
    <w:p w14:paraId="6E08DCA7" w14:textId="77777777" w:rsidR="00495F61" w:rsidRPr="00A373FD" w:rsidRDefault="00495F61" w:rsidP="00495F61">
      <w:pPr>
        <w:pStyle w:val="Heading2"/>
      </w:pPr>
      <w:bookmarkStart w:id="22" w:name="_Toc226361726"/>
      <w:r w:rsidRPr="00A373FD">
        <w:t>What are the scientific, economic, technological, administrative and other reasons for exceeding applicable federal requirements?</w:t>
      </w:r>
      <w:bookmarkEnd w:id="22"/>
    </w:p>
    <w:p w14:paraId="6505D7E5" w14:textId="70EF229D" w:rsidR="00495F61" w:rsidRPr="002D557B" w:rsidRDefault="00495F61" w:rsidP="00495F61">
      <w:r>
        <w:t>The rebate programs do</w:t>
      </w:r>
      <w:r w:rsidRPr="002D557B">
        <w:t xml:space="preserve"> not exceed federal requirements</w:t>
      </w:r>
      <w:r>
        <w:t>. They</w:t>
      </w:r>
      <w:r w:rsidRPr="002D557B">
        <w:t xml:space="preserve"> provide state funding </w:t>
      </w:r>
      <w:r>
        <w:t>for the purchase or lease of zero-emission vehicles pursuant to HB 2017 (2017) and HB 3409 (2023), which directed DEQ to establish the OCVRP and the ZERO Fleet Rebate program, respectively. This rulemaking propos</w:t>
      </w:r>
      <w:r w:rsidR="00827F9E">
        <w:t>es</w:t>
      </w:r>
      <w:r>
        <w:t xml:space="preserve"> amendments to these established rebate programs.</w:t>
      </w:r>
      <w:r w:rsidRPr="002D557B">
        <w:t xml:space="preserve"> </w:t>
      </w:r>
      <w:r>
        <w:t>These programs are</w:t>
      </w:r>
      <w:r w:rsidRPr="002D557B">
        <w:t xml:space="preserve"> entirely voluntary </w:t>
      </w:r>
      <w:r>
        <w:t>and do not</w:t>
      </w:r>
      <w:r w:rsidRPr="002D557B">
        <w:t xml:space="preserve"> impose any </w:t>
      </w:r>
      <w:r w:rsidR="009B3D44" w:rsidRPr="002D557B">
        <w:t xml:space="preserve">requirements </w:t>
      </w:r>
      <w:r w:rsidR="00827F9E">
        <w:t>beyond</w:t>
      </w:r>
      <w:r w:rsidRPr="002D557B">
        <w:t xml:space="preserve"> eligibility standards for those </w:t>
      </w:r>
      <w:r w:rsidR="00827F9E">
        <w:t xml:space="preserve">who </w:t>
      </w:r>
      <w:r w:rsidRPr="002D557B">
        <w:t>choos</w:t>
      </w:r>
      <w:r w:rsidR="00827F9E">
        <w:t>e</w:t>
      </w:r>
      <w:r w:rsidRPr="002D557B">
        <w:t xml:space="preserve"> to request a rebate.</w:t>
      </w:r>
    </w:p>
    <w:p w14:paraId="2C385551" w14:textId="77777777" w:rsidR="00495F61" w:rsidRDefault="00495F61" w:rsidP="00495F61"/>
    <w:p w14:paraId="61CBD2D9" w14:textId="77777777" w:rsidR="00495F61" w:rsidRPr="00DE03C3" w:rsidRDefault="00495F61" w:rsidP="00495F61">
      <w:pPr>
        <w:pStyle w:val="Heading2"/>
      </w:pPr>
      <w:bookmarkStart w:id="23" w:name="AlternativesConsidered"/>
      <w:bookmarkStart w:id="24" w:name="RANGE!C35"/>
      <w:bookmarkStart w:id="25" w:name="_Toc226361727"/>
      <w:r w:rsidRPr="00DE03C3">
        <w:t>What alternatives did DEQ consider</w:t>
      </w:r>
      <w:bookmarkEnd w:id="23"/>
      <w:r w:rsidRPr="00DE03C3">
        <w:t xml:space="preserve"> and why are you not pursuing them?</w:t>
      </w:r>
      <w:bookmarkEnd w:id="24"/>
      <w:bookmarkEnd w:id="25"/>
      <w:r w:rsidRPr="00DE03C3">
        <w:t xml:space="preserve"> </w:t>
      </w:r>
    </w:p>
    <w:p w14:paraId="73CFFB52" w14:textId="66F4EBD0" w:rsidR="00495F61" w:rsidRPr="00A373FD" w:rsidRDefault="00495F61" w:rsidP="00495F61">
      <w:pPr>
        <w:rPr>
          <w:rStyle w:val="instructionsChar"/>
        </w:rPr>
      </w:pPr>
      <w:r w:rsidRPr="00A373FD">
        <w:rPr>
          <w:rFonts w:cs="Arial"/>
        </w:rPr>
        <w:t>DEQ considered the following alternatives</w:t>
      </w:r>
      <w:r>
        <w:rPr>
          <w:rStyle w:val="instructionsChar"/>
        </w:rPr>
        <w:t>:</w:t>
      </w:r>
      <w:r w:rsidRPr="00A373FD">
        <w:rPr>
          <w:rStyle w:val="instructionsChar"/>
        </w:rPr>
        <w:t xml:space="preserve"> </w:t>
      </w:r>
    </w:p>
    <w:p w14:paraId="0CE97E8A" w14:textId="210FE044" w:rsidR="00495F61" w:rsidRPr="00495F61" w:rsidRDefault="00495F61" w:rsidP="00495F61">
      <w:pPr>
        <w:pStyle w:val="ListParagraph"/>
        <w:numPr>
          <w:ilvl w:val="0"/>
          <w:numId w:val="19"/>
        </w:numPr>
        <w:spacing w:after="0" w:line="240" w:lineRule="auto"/>
        <w:outlineLvl w:val="0"/>
        <w:rPr>
          <w:rStyle w:val="instructionsChar"/>
          <w:b w:val="0"/>
          <w:bCs/>
          <w:color w:val="auto"/>
        </w:rPr>
      </w:pPr>
      <w:r w:rsidRPr="00495F61">
        <w:rPr>
          <w:rStyle w:val="instructionsChar"/>
          <w:b w:val="0"/>
          <w:bCs/>
          <w:color w:val="auto"/>
        </w:rPr>
        <w:t xml:space="preserve">Not </w:t>
      </w:r>
      <w:r w:rsidR="009B3D44" w:rsidRPr="00495F61">
        <w:rPr>
          <w:rStyle w:val="instructionsChar"/>
          <w:b w:val="0"/>
          <w:bCs/>
          <w:color w:val="auto"/>
        </w:rPr>
        <w:t>proposing</w:t>
      </w:r>
      <w:r w:rsidRPr="00495F61">
        <w:rPr>
          <w:rStyle w:val="instructionsChar"/>
          <w:b w:val="0"/>
          <w:bCs/>
          <w:color w:val="auto"/>
        </w:rPr>
        <w:t xml:space="preserve"> these rules</w:t>
      </w:r>
      <w:r w:rsidR="00FD65D3">
        <w:rPr>
          <w:rStyle w:val="instructionsChar"/>
          <w:b w:val="0"/>
          <w:bCs/>
          <w:color w:val="auto"/>
        </w:rPr>
        <w:t>.</w:t>
      </w:r>
    </w:p>
    <w:p w14:paraId="74A83072" w14:textId="791B54A9" w:rsidR="00495F61" w:rsidRPr="00495F61" w:rsidRDefault="00495F61" w:rsidP="00495F61">
      <w:pPr>
        <w:pStyle w:val="ListParagraph"/>
        <w:numPr>
          <w:ilvl w:val="0"/>
          <w:numId w:val="19"/>
        </w:numPr>
        <w:spacing w:after="0" w:line="240" w:lineRule="auto"/>
        <w:outlineLvl w:val="0"/>
        <w:rPr>
          <w:rStyle w:val="instructionsChar"/>
          <w:b w:val="0"/>
          <w:bCs/>
          <w:color w:val="auto"/>
        </w:rPr>
      </w:pPr>
      <w:r w:rsidRPr="00495F61">
        <w:rPr>
          <w:rStyle w:val="instructionsChar"/>
          <w:b w:val="0"/>
          <w:bCs/>
          <w:color w:val="auto"/>
        </w:rPr>
        <w:t xml:space="preserve">Including a rebate reservation system within the </w:t>
      </w:r>
      <w:r w:rsidR="00FD65D3">
        <w:rPr>
          <w:rStyle w:val="instructionsChar"/>
          <w:b w:val="0"/>
          <w:bCs/>
          <w:color w:val="auto"/>
        </w:rPr>
        <w:t>program.</w:t>
      </w:r>
    </w:p>
    <w:p w14:paraId="73578E15" w14:textId="77777777" w:rsidR="00495F61" w:rsidRPr="00495F61" w:rsidRDefault="00495F61" w:rsidP="00495F61">
      <w:pPr>
        <w:pStyle w:val="ListParagraph"/>
        <w:rPr>
          <w:rStyle w:val="instructionsChar"/>
          <w:b w:val="0"/>
          <w:bCs/>
          <w:color w:val="auto"/>
        </w:rPr>
      </w:pPr>
    </w:p>
    <w:p w14:paraId="00F2A176" w14:textId="0ADA8451" w:rsidR="00495F61" w:rsidRPr="00495F61" w:rsidRDefault="00495F61" w:rsidP="00495F61">
      <w:pPr>
        <w:rPr>
          <w:rFonts w:cs="Arial"/>
          <w:bCs/>
        </w:rPr>
      </w:pPr>
      <w:r w:rsidRPr="00495F61">
        <w:rPr>
          <w:rFonts w:cs="Arial"/>
          <w:bCs/>
        </w:rPr>
        <w:t xml:space="preserve">DEQ did not pursue these alternatives because </w:t>
      </w:r>
      <w:r w:rsidRPr="00495F61">
        <w:rPr>
          <w:rStyle w:val="instructionsChar"/>
          <w:b w:val="0"/>
          <w:bCs/>
          <w:color w:val="auto"/>
        </w:rPr>
        <w:t xml:space="preserve">not proposing the rules would not achieve the rules’ intended goals </w:t>
      </w:r>
      <w:r w:rsidR="73A09212" w:rsidRPr="0960D5C2">
        <w:rPr>
          <w:rStyle w:val="instructionsChar"/>
          <w:b w:val="0"/>
          <w:color w:val="auto"/>
        </w:rPr>
        <w:t xml:space="preserve">to conserve </w:t>
      </w:r>
      <w:r w:rsidR="5A3EDD05" w:rsidRPr="0960D5C2">
        <w:rPr>
          <w:rStyle w:val="instructionsChar"/>
          <w:b w:val="0"/>
          <w:color w:val="auto"/>
        </w:rPr>
        <w:t xml:space="preserve">OCVRP </w:t>
      </w:r>
      <w:r w:rsidR="73A09212" w:rsidRPr="0960D5C2">
        <w:rPr>
          <w:rStyle w:val="instructionsChar"/>
          <w:b w:val="0"/>
          <w:color w:val="auto"/>
        </w:rPr>
        <w:t>funding</w:t>
      </w:r>
      <w:r w:rsidRPr="0960D5C2">
        <w:rPr>
          <w:rStyle w:val="instructionsChar"/>
          <w:b w:val="0"/>
          <w:color w:val="auto"/>
        </w:rPr>
        <w:t>, enhanc</w:t>
      </w:r>
      <w:r w:rsidR="141F73C9" w:rsidRPr="0960D5C2">
        <w:rPr>
          <w:rStyle w:val="instructionsChar"/>
          <w:b w:val="0"/>
          <w:color w:val="auto"/>
        </w:rPr>
        <w:t>e</w:t>
      </w:r>
      <w:r w:rsidRPr="00495F61">
        <w:rPr>
          <w:rStyle w:val="instructionsChar"/>
          <w:b w:val="0"/>
          <w:bCs/>
          <w:color w:val="auto"/>
        </w:rPr>
        <w:t xml:space="preserve"> program clarity in both rebate programs, and </w:t>
      </w:r>
      <w:r w:rsidRPr="0960D5C2">
        <w:rPr>
          <w:rStyle w:val="instructionsChar"/>
          <w:b w:val="0"/>
          <w:color w:val="auto"/>
        </w:rPr>
        <w:t>allow</w:t>
      </w:r>
      <w:r w:rsidRPr="00495F61">
        <w:rPr>
          <w:rStyle w:val="instructionsChar"/>
          <w:b w:val="0"/>
          <w:bCs/>
          <w:color w:val="auto"/>
        </w:rPr>
        <w:t xml:space="preserve"> applicants additional flexibility within the ZERO Fleet Rebate Program</w:t>
      </w:r>
      <w:r w:rsidRPr="00495F61">
        <w:rPr>
          <w:rFonts w:cs="Arial"/>
          <w:bCs/>
        </w:rPr>
        <w:t xml:space="preserve">. </w:t>
      </w:r>
    </w:p>
    <w:p w14:paraId="2F332313" w14:textId="3A7C1813" w:rsidR="00ED47E6" w:rsidRDefault="00495F61" w:rsidP="00ED47E6">
      <w:r>
        <w:rPr>
          <w:rFonts w:cs="Arial"/>
        </w:rPr>
        <w:t>Additionally, DEQ did not propose</w:t>
      </w:r>
      <w:r w:rsidR="009A24C2">
        <w:rPr>
          <w:rFonts w:cs="Arial"/>
        </w:rPr>
        <w:t xml:space="preserve"> including</w:t>
      </w:r>
      <w:r>
        <w:rPr>
          <w:rFonts w:cs="Arial"/>
        </w:rPr>
        <w:t xml:space="preserve"> a re</w:t>
      </w:r>
      <w:r w:rsidR="009A24C2">
        <w:rPr>
          <w:rFonts w:cs="Arial"/>
        </w:rPr>
        <w:t>quired</w:t>
      </w:r>
      <w:r>
        <w:rPr>
          <w:rFonts w:cs="Arial"/>
        </w:rPr>
        <w:t xml:space="preserve"> rebate reservation system at this time because of RAC members</w:t>
      </w:r>
      <w:r w:rsidR="009A24C2">
        <w:rPr>
          <w:rFonts w:cs="Arial"/>
        </w:rPr>
        <w:t>’ interest</w:t>
      </w:r>
      <w:r>
        <w:rPr>
          <w:rFonts w:cs="Arial"/>
        </w:rPr>
        <w:t xml:space="preserve"> in ensuring unused funds would quickly </w:t>
      </w:r>
      <w:r w:rsidR="009C5738">
        <w:rPr>
          <w:rFonts w:cs="Arial"/>
        </w:rPr>
        <w:t>be returned to</w:t>
      </w:r>
      <w:r>
        <w:rPr>
          <w:rFonts w:cs="Arial"/>
        </w:rPr>
        <w:t xml:space="preserve"> rebate reservations. DEQ staff also felt it was necessary to further explore the administrative requirements of this new process. </w:t>
      </w:r>
    </w:p>
    <w:p w14:paraId="57D54B2B" w14:textId="77777777" w:rsidR="00ED47E6" w:rsidRDefault="00ED47E6" w:rsidP="00ED47E6"/>
    <w:p w14:paraId="7906C5A3" w14:textId="7758D8C9" w:rsidR="00563365" w:rsidRDefault="00ED47E6" w:rsidP="00495F61">
      <w:r>
        <w:t> </w:t>
      </w:r>
      <w:r w:rsidR="00563365">
        <w:br w:type="page"/>
      </w:r>
    </w:p>
    <w:p w14:paraId="15EEE996" w14:textId="3FC80F7B" w:rsidR="00ED47E6" w:rsidRDefault="00ED47E6" w:rsidP="00563365">
      <w:pPr>
        <w:pStyle w:val="Heading1"/>
      </w:pPr>
      <w:bookmarkStart w:id="26" w:name="_Toc226361728"/>
      <w:r>
        <w:lastRenderedPageBreak/>
        <w:t>Rules affected, authorities, supporting documents</w:t>
      </w:r>
      <w:bookmarkEnd w:id="26"/>
    </w:p>
    <w:p w14:paraId="772ECDF8" w14:textId="77777777" w:rsidR="00714C65" w:rsidRPr="00A373FD" w:rsidRDefault="00714C65" w:rsidP="00714C65">
      <w:pPr>
        <w:pStyle w:val="Heading2"/>
        <w:rPr>
          <w:rFonts w:cs="Arial"/>
        </w:rPr>
      </w:pPr>
      <w:bookmarkStart w:id="27" w:name="_Toc226361729"/>
      <w:r w:rsidRPr="00A373FD">
        <w:rPr>
          <w:rFonts w:cs="Arial"/>
        </w:rPr>
        <w:t>Lead division</w:t>
      </w:r>
      <w:bookmarkEnd w:id="27"/>
    </w:p>
    <w:p w14:paraId="59A08CF7" w14:textId="77777777" w:rsidR="00714C65" w:rsidRDefault="00714C65" w:rsidP="00714C65">
      <w:pPr>
        <w:rPr>
          <w:rFonts w:cs="Arial"/>
        </w:rPr>
      </w:pPr>
      <w:r w:rsidRPr="0099793D">
        <w:rPr>
          <w:rFonts w:cs="Arial"/>
        </w:rPr>
        <w:t>Air Quality</w:t>
      </w:r>
    </w:p>
    <w:p w14:paraId="7F4CD2E4" w14:textId="77777777" w:rsidR="00714C65" w:rsidRPr="00A373FD" w:rsidRDefault="00714C65" w:rsidP="00714C65">
      <w:pPr>
        <w:pStyle w:val="Heading2"/>
        <w:rPr>
          <w:rFonts w:cs="Arial"/>
        </w:rPr>
      </w:pPr>
      <w:bookmarkStart w:id="28" w:name="_Toc226361730"/>
      <w:r w:rsidRPr="00A373FD">
        <w:rPr>
          <w:rFonts w:cs="Arial"/>
        </w:rPr>
        <w:t>Program or activity</w:t>
      </w:r>
      <w:bookmarkEnd w:id="28"/>
    </w:p>
    <w:p w14:paraId="41437C00" w14:textId="77777777" w:rsidR="00714C65" w:rsidRPr="00A373FD" w:rsidRDefault="00714C65" w:rsidP="00714C65">
      <w:pPr>
        <w:rPr>
          <w:rFonts w:cs="Arial"/>
        </w:rPr>
      </w:pPr>
      <w:r>
        <w:rPr>
          <w:rFonts w:cs="Arial"/>
        </w:rPr>
        <w:t>Rebates for light-, medium- and heavy-duty zero</w:t>
      </w:r>
      <w:r w:rsidRPr="6256579D">
        <w:rPr>
          <w:rFonts w:cs="Arial"/>
        </w:rPr>
        <w:t>-</w:t>
      </w:r>
      <w:r>
        <w:rPr>
          <w:rFonts w:cs="Arial"/>
        </w:rPr>
        <w:t>emission vehicles</w:t>
      </w:r>
    </w:p>
    <w:p w14:paraId="54F8D98D" w14:textId="77777777" w:rsidR="00714C65" w:rsidRPr="00A373FD" w:rsidRDefault="00714C65" w:rsidP="00714C65">
      <w:pPr>
        <w:pStyle w:val="Heading2"/>
        <w:rPr>
          <w:rFonts w:cs="Arial"/>
        </w:rPr>
      </w:pPr>
      <w:bookmarkStart w:id="29" w:name="_Toc226361731"/>
      <w:r w:rsidRPr="00A373FD">
        <w:rPr>
          <w:rFonts w:cs="Arial"/>
        </w:rPr>
        <w:t>Chapter 340 action</w:t>
      </w:r>
      <w:bookmarkEnd w:id="29"/>
    </w:p>
    <w:p w14:paraId="69BECFFC" w14:textId="77777777" w:rsidR="00714C65" w:rsidRPr="00A373FD" w:rsidRDefault="00714C65" w:rsidP="00714C65">
      <w:pPr>
        <w:pStyle w:val="Heading3"/>
      </w:pPr>
      <w:bookmarkStart w:id="30" w:name="_Toc226361732"/>
      <w:r>
        <w:t>Amend</w:t>
      </w:r>
      <w:bookmarkEnd w:id="30"/>
    </w:p>
    <w:tbl>
      <w:tblPr>
        <w:tblStyle w:val="TableGrid"/>
        <w:tblW w:w="0" w:type="auto"/>
        <w:tblInd w:w="67" w:type="dxa"/>
        <w:tblBorders>
          <w:top w:val="single" w:sz="18" w:space="0" w:color="000000"/>
          <w:left w:val="single" w:sz="18" w:space="0" w:color="000000"/>
          <w:bottom w:val="single" w:sz="18" w:space="0" w:color="000000"/>
          <w:right w:val="single" w:sz="18" w:space="0" w:color="000000"/>
          <w:insideH w:val="single" w:sz="12" w:space="0" w:color="000000"/>
          <w:insideV w:val="single" w:sz="18" w:space="0" w:color="000000"/>
        </w:tblBorders>
        <w:tblLook w:val="04A0" w:firstRow="1" w:lastRow="0" w:firstColumn="1" w:lastColumn="0" w:noHBand="0" w:noVBand="1"/>
      </w:tblPr>
      <w:tblGrid>
        <w:gridCol w:w="1850"/>
        <w:gridCol w:w="1850"/>
        <w:gridCol w:w="1849"/>
        <w:gridCol w:w="1849"/>
        <w:gridCol w:w="1849"/>
      </w:tblGrid>
      <w:tr w:rsidR="00714C65" w:rsidRPr="00A373FD" w14:paraId="65BD99A7" w14:textId="77777777">
        <w:tc>
          <w:tcPr>
            <w:tcW w:w="2124" w:type="dxa"/>
            <w:tcBorders>
              <w:top w:val="single" w:sz="12" w:space="0" w:color="000000" w:themeColor="text1"/>
              <w:bottom w:val="single" w:sz="12" w:space="0" w:color="000000" w:themeColor="text1"/>
              <w:right w:val="single" w:sz="12" w:space="0" w:color="000000" w:themeColor="text1"/>
            </w:tcBorders>
            <w:vAlign w:val="center"/>
          </w:tcPr>
          <w:p w14:paraId="583DE79D" w14:textId="77777777" w:rsidR="00714C65" w:rsidRPr="00A373FD" w:rsidRDefault="00714C65">
            <w:pPr>
              <w:jc w:val="center"/>
              <w:rPr>
                <w:rFonts w:cs="Arial"/>
              </w:rPr>
            </w:pPr>
            <w:r w:rsidRPr="00021F29">
              <w:rPr>
                <w:rFonts w:cs="Arial"/>
              </w:rPr>
              <w:t>340-270-0030</w:t>
            </w:r>
          </w:p>
        </w:tc>
        <w:tc>
          <w:tcPr>
            <w:tcW w:w="212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9EB4F8B" w14:textId="77777777" w:rsidR="00714C65" w:rsidRPr="00A373FD" w:rsidRDefault="00714C65">
            <w:pPr>
              <w:jc w:val="center"/>
              <w:rPr>
                <w:rFonts w:cs="Arial"/>
              </w:rPr>
            </w:pPr>
            <w:r w:rsidRPr="00993214">
              <w:rPr>
                <w:rFonts w:cs="Arial"/>
              </w:rPr>
              <w:t>340-270-0100 </w:t>
            </w:r>
          </w:p>
        </w:tc>
        <w:tc>
          <w:tcPr>
            <w:tcW w:w="212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3577BB6" w14:textId="77777777" w:rsidR="00714C65" w:rsidRPr="00A373FD" w:rsidRDefault="00714C65">
            <w:pPr>
              <w:jc w:val="center"/>
              <w:rPr>
                <w:rFonts w:cs="Arial"/>
              </w:rPr>
            </w:pPr>
            <w:r w:rsidRPr="00D11D09">
              <w:rPr>
                <w:rFonts w:cs="Arial"/>
              </w:rPr>
              <w:t>340-270-0110 </w:t>
            </w:r>
          </w:p>
        </w:tc>
        <w:tc>
          <w:tcPr>
            <w:tcW w:w="212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E31C464" w14:textId="77777777" w:rsidR="00714C65" w:rsidRPr="00A373FD" w:rsidRDefault="00714C65">
            <w:pPr>
              <w:jc w:val="center"/>
              <w:rPr>
                <w:rFonts w:cs="Arial"/>
              </w:rPr>
            </w:pPr>
            <w:r w:rsidRPr="00333968">
              <w:rPr>
                <w:rFonts w:cs="Arial"/>
              </w:rPr>
              <w:t>340-270-0120 </w:t>
            </w:r>
          </w:p>
        </w:tc>
        <w:tc>
          <w:tcPr>
            <w:tcW w:w="2124" w:type="dxa"/>
            <w:tcBorders>
              <w:top w:val="single" w:sz="12" w:space="0" w:color="000000" w:themeColor="text1"/>
              <w:left w:val="single" w:sz="12" w:space="0" w:color="000000" w:themeColor="text1"/>
              <w:bottom w:val="single" w:sz="12" w:space="0" w:color="000000" w:themeColor="text1"/>
            </w:tcBorders>
            <w:vAlign w:val="center"/>
          </w:tcPr>
          <w:p w14:paraId="164810EA" w14:textId="77777777" w:rsidR="00714C65" w:rsidRPr="00A373FD" w:rsidRDefault="00714C65">
            <w:pPr>
              <w:jc w:val="center"/>
              <w:rPr>
                <w:rFonts w:cs="Arial"/>
              </w:rPr>
            </w:pPr>
            <w:r>
              <w:t xml:space="preserve"> </w:t>
            </w:r>
            <w:r w:rsidRPr="00DF62A2">
              <w:rPr>
                <w:rFonts w:cs="Arial"/>
              </w:rPr>
              <w:t>340-270-0200 </w:t>
            </w:r>
          </w:p>
        </w:tc>
      </w:tr>
      <w:tr w:rsidR="00714C65" w:rsidRPr="00A373FD" w14:paraId="44FF1303" w14:textId="77777777">
        <w:tc>
          <w:tcPr>
            <w:tcW w:w="2124" w:type="dxa"/>
            <w:tcBorders>
              <w:top w:val="single" w:sz="12" w:space="0" w:color="000000" w:themeColor="text1"/>
              <w:bottom w:val="single" w:sz="12" w:space="0" w:color="000000" w:themeColor="text1"/>
              <w:right w:val="single" w:sz="12" w:space="0" w:color="000000" w:themeColor="text1"/>
            </w:tcBorders>
            <w:vAlign w:val="center"/>
          </w:tcPr>
          <w:p w14:paraId="35BC81CC" w14:textId="77777777" w:rsidR="00714C65" w:rsidRPr="00A373FD" w:rsidRDefault="00714C65">
            <w:pPr>
              <w:jc w:val="center"/>
              <w:rPr>
                <w:rFonts w:cs="Arial"/>
              </w:rPr>
            </w:pPr>
            <w:r w:rsidRPr="002B44A7">
              <w:rPr>
                <w:rFonts w:cs="Arial"/>
              </w:rPr>
              <w:t>340-270-0400 </w:t>
            </w:r>
          </w:p>
        </w:tc>
        <w:tc>
          <w:tcPr>
            <w:tcW w:w="212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BCC38B1" w14:textId="77777777" w:rsidR="00714C65" w:rsidRPr="00A373FD" w:rsidRDefault="00714C65">
            <w:pPr>
              <w:jc w:val="center"/>
              <w:rPr>
                <w:rFonts w:cs="Arial"/>
              </w:rPr>
            </w:pPr>
            <w:r w:rsidRPr="009D74E9">
              <w:rPr>
                <w:rFonts w:cs="Arial"/>
              </w:rPr>
              <w:t>340-270-0410 </w:t>
            </w:r>
          </w:p>
        </w:tc>
        <w:tc>
          <w:tcPr>
            <w:tcW w:w="212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4A7A004" w14:textId="77777777" w:rsidR="00714C65" w:rsidRPr="00A373FD" w:rsidRDefault="00714C65">
            <w:pPr>
              <w:jc w:val="center"/>
              <w:rPr>
                <w:rFonts w:cs="Arial"/>
              </w:rPr>
            </w:pPr>
            <w:r w:rsidRPr="00940EB2">
              <w:rPr>
                <w:rFonts w:cs="Arial"/>
              </w:rPr>
              <w:t>340-270-0420 </w:t>
            </w:r>
          </w:p>
        </w:tc>
        <w:tc>
          <w:tcPr>
            <w:tcW w:w="212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DB27865" w14:textId="77777777" w:rsidR="00714C65" w:rsidRPr="00A373FD" w:rsidRDefault="00714C65">
            <w:pPr>
              <w:jc w:val="center"/>
              <w:rPr>
                <w:rFonts w:cs="Arial"/>
              </w:rPr>
            </w:pPr>
            <w:r w:rsidRPr="00B405EE">
              <w:rPr>
                <w:rFonts w:cs="Arial"/>
              </w:rPr>
              <w:t>340-270-0430 </w:t>
            </w:r>
          </w:p>
        </w:tc>
        <w:tc>
          <w:tcPr>
            <w:tcW w:w="2124" w:type="dxa"/>
            <w:tcBorders>
              <w:top w:val="single" w:sz="12" w:space="0" w:color="000000" w:themeColor="text1"/>
              <w:left w:val="single" w:sz="12" w:space="0" w:color="000000" w:themeColor="text1"/>
              <w:bottom w:val="single" w:sz="12" w:space="0" w:color="000000" w:themeColor="text1"/>
            </w:tcBorders>
            <w:vAlign w:val="center"/>
          </w:tcPr>
          <w:p w14:paraId="32C18459" w14:textId="77777777" w:rsidR="00714C65" w:rsidRPr="00A373FD" w:rsidRDefault="00714C65">
            <w:pPr>
              <w:jc w:val="center"/>
              <w:rPr>
                <w:rFonts w:cs="Arial"/>
              </w:rPr>
            </w:pPr>
            <w:r w:rsidRPr="00470EFF">
              <w:rPr>
                <w:rFonts w:cs="Arial"/>
              </w:rPr>
              <w:t>340-270-0600</w:t>
            </w:r>
          </w:p>
        </w:tc>
      </w:tr>
      <w:tr w:rsidR="00714C65" w:rsidRPr="00A373FD" w14:paraId="77732CE9" w14:textId="77777777">
        <w:tc>
          <w:tcPr>
            <w:tcW w:w="2124" w:type="dxa"/>
            <w:tcBorders>
              <w:top w:val="single" w:sz="12" w:space="0" w:color="000000" w:themeColor="text1"/>
              <w:bottom w:val="single" w:sz="12" w:space="0" w:color="000000" w:themeColor="text1"/>
              <w:right w:val="single" w:sz="12" w:space="0" w:color="000000" w:themeColor="text1"/>
            </w:tcBorders>
            <w:vAlign w:val="center"/>
          </w:tcPr>
          <w:p w14:paraId="08893B47" w14:textId="77777777" w:rsidR="00714C65" w:rsidRPr="00A373FD" w:rsidRDefault="00714C65">
            <w:pPr>
              <w:jc w:val="center"/>
              <w:rPr>
                <w:rFonts w:cs="Arial"/>
              </w:rPr>
            </w:pPr>
            <w:r w:rsidRPr="0001227B">
              <w:rPr>
                <w:rFonts w:cs="Arial"/>
              </w:rPr>
              <w:t>340-270-0620 </w:t>
            </w:r>
          </w:p>
        </w:tc>
        <w:tc>
          <w:tcPr>
            <w:tcW w:w="212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3B3B676" w14:textId="77777777" w:rsidR="00714C65" w:rsidRPr="00A373FD" w:rsidRDefault="00714C65">
            <w:pPr>
              <w:jc w:val="center"/>
              <w:rPr>
                <w:rFonts w:cs="Arial"/>
              </w:rPr>
            </w:pPr>
            <w:r w:rsidRPr="00A63E51">
              <w:rPr>
                <w:rFonts w:cs="Arial"/>
              </w:rPr>
              <w:t>340-270-0660 </w:t>
            </w:r>
          </w:p>
        </w:tc>
        <w:tc>
          <w:tcPr>
            <w:tcW w:w="212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06B9206" w14:textId="77777777" w:rsidR="00714C65" w:rsidRPr="00A373FD" w:rsidRDefault="00714C65">
            <w:pPr>
              <w:jc w:val="center"/>
              <w:rPr>
                <w:rFonts w:cs="Arial"/>
              </w:rPr>
            </w:pPr>
            <w:r w:rsidRPr="004D345F">
              <w:rPr>
                <w:rFonts w:cs="Arial"/>
              </w:rPr>
              <w:t>340-270-0680 </w:t>
            </w:r>
          </w:p>
        </w:tc>
        <w:tc>
          <w:tcPr>
            <w:tcW w:w="212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9CDE31E" w14:textId="77777777" w:rsidR="00714C65" w:rsidRPr="00A373FD" w:rsidRDefault="00714C65">
            <w:pPr>
              <w:jc w:val="center"/>
              <w:rPr>
                <w:rFonts w:cs="Arial"/>
              </w:rPr>
            </w:pPr>
          </w:p>
        </w:tc>
        <w:tc>
          <w:tcPr>
            <w:tcW w:w="2124" w:type="dxa"/>
            <w:tcBorders>
              <w:top w:val="single" w:sz="12" w:space="0" w:color="000000" w:themeColor="text1"/>
              <w:left w:val="single" w:sz="12" w:space="0" w:color="000000" w:themeColor="text1"/>
              <w:bottom w:val="single" w:sz="12" w:space="0" w:color="000000" w:themeColor="text1"/>
            </w:tcBorders>
            <w:vAlign w:val="center"/>
          </w:tcPr>
          <w:p w14:paraId="1A8EE851" w14:textId="77777777" w:rsidR="00714C65" w:rsidRPr="00A373FD" w:rsidRDefault="00714C65">
            <w:pPr>
              <w:jc w:val="center"/>
              <w:rPr>
                <w:rFonts w:cs="Arial"/>
              </w:rPr>
            </w:pPr>
          </w:p>
        </w:tc>
      </w:tr>
    </w:tbl>
    <w:p w14:paraId="188EDD69" w14:textId="77777777" w:rsidR="00714C65" w:rsidRPr="00A373FD" w:rsidRDefault="00714C65" w:rsidP="00714C65">
      <w:pPr>
        <w:pStyle w:val="Heading3"/>
      </w:pPr>
      <w:bookmarkStart w:id="31" w:name="_Toc226361733"/>
      <w:r>
        <w:t>Statutory authority - ORS</w:t>
      </w:r>
      <w:bookmarkEnd w:id="31"/>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top w:w="14" w:type="dxa"/>
          <w:left w:w="14" w:type="dxa"/>
          <w:bottom w:w="14" w:type="dxa"/>
          <w:right w:w="14" w:type="dxa"/>
        </w:tblCellMar>
        <w:tblLook w:val="04A0" w:firstRow="1" w:lastRow="0" w:firstColumn="1" w:lastColumn="0" w:noHBand="0" w:noVBand="1"/>
      </w:tblPr>
      <w:tblGrid>
        <w:gridCol w:w="1863"/>
        <w:gridCol w:w="1862"/>
        <w:gridCol w:w="1863"/>
        <w:gridCol w:w="1862"/>
        <w:gridCol w:w="1864"/>
      </w:tblGrid>
      <w:tr w:rsidR="00714C65" w:rsidRPr="00A373FD" w14:paraId="3C4492E2" w14:textId="77777777">
        <w:tc>
          <w:tcPr>
            <w:tcW w:w="1863" w:type="dxa"/>
            <w:tcBorders>
              <w:top w:val="single" w:sz="12" w:space="0" w:color="000000" w:themeColor="text1"/>
              <w:bottom w:val="single" w:sz="12" w:space="0" w:color="000000" w:themeColor="text1"/>
              <w:right w:val="single" w:sz="12" w:space="0" w:color="000000" w:themeColor="text1"/>
            </w:tcBorders>
            <w:vAlign w:val="center"/>
          </w:tcPr>
          <w:p w14:paraId="3BD0B4E0" w14:textId="77777777" w:rsidR="00714C65" w:rsidRPr="00A373FD" w:rsidRDefault="00714C65">
            <w:pPr>
              <w:jc w:val="center"/>
              <w:rPr>
                <w:rFonts w:cs="Arial"/>
              </w:rPr>
            </w:pPr>
            <w:r w:rsidRPr="00A373FD">
              <w:rPr>
                <w:rFonts w:cs="Arial"/>
              </w:rPr>
              <w:t>468.020</w:t>
            </w:r>
          </w:p>
        </w:tc>
        <w:tc>
          <w:tcPr>
            <w:tcW w:w="186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0B7C3E6" w14:textId="77777777" w:rsidR="00714C65" w:rsidRPr="00A373FD" w:rsidRDefault="00714C65">
            <w:pPr>
              <w:jc w:val="center"/>
              <w:rPr>
                <w:rFonts w:cs="Arial"/>
              </w:rPr>
            </w:pPr>
            <w:r w:rsidRPr="00A373FD">
              <w:rPr>
                <w:rFonts w:cs="Arial"/>
              </w:rPr>
              <w:t>468.</w:t>
            </w:r>
            <w:r w:rsidRPr="00251C93">
              <w:rPr>
                <w:rFonts w:cs="Arial"/>
              </w:rPr>
              <w:t>444</w:t>
            </w:r>
          </w:p>
        </w:tc>
        <w:tc>
          <w:tcPr>
            <w:tcW w:w="186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4E3362E" w14:textId="77777777" w:rsidR="00714C65" w:rsidRPr="00A373FD" w:rsidRDefault="00714C65">
            <w:pPr>
              <w:jc w:val="center"/>
              <w:rPr>
                <w:rFonts w:cs="Arial"/>
              </w:rPr>
            </w:pPr>
            <w:r w:rsidRPr="00251C93">
              <w:rPr>
                <w:rFonts w:cs="Arial"/>
              </w:rPr>
              <w:t>468.</w:t>
            </w:r>
            <w:r w:rsidRPr="004045A1">
              <w:rPr>
                <w:rFonts w:cs="Arial"/>
              </w:rPr>
              <w:t>446</w:t>
            </w:r>
          </w:p>
        </w:tc>
        <w:tc>
          <w:tcPr>
            <w:tcW w:w="186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BA26492" w14:textId="77777777" w:rsidR="00714C65" w:rsidRPr="00A373FD" w:rsidRDefault="00714C65">
            <w:pPr>
              <w:jc w:val="center"/>
              <w:rPr>
                <w:rFonts w:cs="Arial"/>
              </w:rPr>
            </w:pPr>
            <w:r w:rsidRPr="004045A1">
              <w:rPr>
                <w:rFonts w:cs="Arial"/>
              </w:rPr>
              <w:t>468.</w:t>
            </w:r>
            <w:r w:rsidRPr="002D557B">
              <w:rPr>
                <w:rFonts w:cs="Arial"/>
              </w:rPr>
              <w:t>463</w:t>
            </w:r>
          </w:p>
        </w:tc>
        <w:tc>
          <w:tcPr>
            <w:tcW w:w="1864" w:type="dxa"/>
            <w:tcBorders>
              <w:top w:val="single" w:sz="12" w:space="0" w:color="000000" w:themeColor="text1"/>
              <w:left w:val="single" w:sz="12" w:space="0" w:color="000000" w:themeColor="text1"/>
              <w:bottom w:val="single" w:sz="12" w:space="0" w:color="000000" w:themeColor="text1"/>
            </w:tcBorders>
            <w:vAlign w:val="center"/>
          </w:tcPr>
          <w:p w14:paraId="6FF8F10E" w14:textId="77777777" w:rsidR="00714C65" w:rsidRPr="00A373FD" w:rsidRDefault="00714C65">
            <w:pPr>
              <w:jc w:val="center"/>
              <w:rPr>
                <w:rFonts w:cs="Arial"/>
              </w:rPr>
            </w:pPr>
          </w:p>
        </w:tc>
      </w:tr>
    </w:tbl>
    <w:p w14:paraId="2DC3B80D" w14:textId="77777777" w:rsidR="00714C65" w:rsidRPr="00A373FD" w:rsidRDefault="00714C65" w:rsidP="00714C65">
      <w:pPr>
        <w:pStyle w:val="Heading3"/>
      </w:pPr>
      <w:bookmarkStart w:id="32" w:name="_Toc226361734"/>
      <w:r w:rsidRPr="00DE03C3">
        <w:t xml:space="preserve">Statutes </w:t>
      </w:r>
      <w:r>
        <w:t>i</w:t>
      </w:r>
      <w:r w:rsidRPr="00DE03C3">
        <w:t>mplemented - ORS</w:t>
      </w:r>
      <w:bookmarkEnd w:id="32"/>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top w:w="14" w:type="dxa"/>
          <w:left w:w="14" w:type="dxa"/>
          <w:bottom w:w="14" w:type="dxa"/>
          <w:right w:w="14" w:type="dxa"/>
        </w:tblCellMar>
        <w:tblLook w:val="04A0" w:firstRow="1" w:lastRow="0" w:firstColumn="1" w:lastColumn="0" w:noHBand="0" w:noVBand="1"/>
      </w:tblPr>
      <w:tblGrid>
        <w:gridCol w:w="3586"/>
        <w:gridCol w:w="2723"/>
        <w:gridCol w:w="3005"/>
      </w:tblGrid>
      <w:tr w:rsidR="00714C65" w:rsidRPr="00A373FD" w14:paraId="23DE8EBF" w14:textId="77777777">
        <w:tc>
          <w:tcPr>
            <w:tcW w:w="3586" w:type="dxa"/>
            <w:tcBorders>
              <w:top w:val="single" w:sz="12" w:space="0" w:color="000000" w:themeColor="text1"/>
              <w:bottom w:val="single" w:sz="12" w:space="0" w:color="000000" w:themeColor="text1"/>
              <w:right w:val="single" w:sz="12" w:space="0" w:color="000000" w:themeColor="text1"/>
            </w:tcBorders>
            <w:vAlign w:val="center"/>
          </w:tcPr>
          <w:p w14:paraId="48789D4B" w14:textId="77777777" w:rsidR="00714C65" w:rsidRPr="00A373FD" w:rsidRDefault="00714C65">
            <w:pPr>
              <w:jc w:val="center"/>
              <w:rPr>
                <w:rFonts w:cs="Arial"/>
              </w:rPr>
            </w:pPr>
            <w:r w:rsidRPr="002D557B">
              <w:rPr>
                <w:rFonts w:cs="Arial"/>
              </w:rPr>
              <w:t xml:space="preserve">468.442 </w:t>
            </w:r>
          </w:p>
        </w:tc>
        <w:tc>
          <w:tcPr>
            <w:tcW w:w="2723" w:type="dxa"/>
            <w:tcBorders>
              <w:top w:val="single" w:sz="12" w:space="0" w:color="000000" w:themeColor="text1"/>
              <w:bottom w:val="single" w:sz="12" w:space="0" w:color="000000" w:themeColor="text1"/>
              <w:right w:val="single" w:sz="12" w:space="0" w:color="000000" w:themeColor="text1"/>
            </w:tcBorders>
          </w:tcPr>
          <w:p w14:paraId="56372687" w14:textId="77777777" w:rsidR="00714C65" w:rsidRPr="004045A1" w:rsidRDefault="00714C65">
            <w:pPr>
              <w:jc w:val="center"/>
              <w:rPr>
                <w:rFonts w:cs="Arial"/>
              </w:rPr>
            </w:pPr>
            <w:r w:rsidRPr="004045A1">
              <w:rPr>
                <w:rFonts w:cs="Arial"/>
              </w:rPr>
              <w:t>468.446</w:t>
            </w:r>
          </w:p>
        </w:tc>
        <w:tc>
          <w:tcPr>
            <w:tcW w:w="3005" w:type="dxa"/>
            <w:tcBorders>
              <w:top w:val="single" w:sz="12" w:space="0" w:color="000000" w:themeColor="text1"/>
              <w:left w:val="single" w:sz="12" w:space="0" w:color="000000" w:themeColor="text1"/>
              <w:bottom w:val="single" w:sz="12" w:space="0" w:color="000000" w:themeColor="text1"/>
            </w:tcBorders>
            <w:vAlign w:val="center"/>
          </w:tcPr>
          <w:p w14:paraId="1CCDF28B" w14:textId="77777777" w:rsidR="00714C65" w:rsidRPr="00A373FD" w:rsidRDefault="00714C65">
            <w:pPr>
              <w:jc w:val="center"/>
              <w:rPr>
                <w:rFonts w:cs="Arial"/>
              </w:rPr>
            </w:pPr>
            <w:r w:rsidRPr="002D557B">
              <w:rPr>
                <w:rFonts w:cs="Arial"/>
              </w:rPr>
              <w:t>468.463</w:t>
            </w:r>
          </w:p>
        </w:tc>
      </w:tr>
    </w:tbl>
    <w:p w14:paraId="2C16FD78" w14:textId="77777777" w:rsidR="00714C65" w:rsidRPr="00A373FD" w:rsidRDefault="00714C65" w:rsidP="00714C65">
      <w:pPr>
        <w:rPr>
          <w:rFonts w:cs="Arial"/>
        </w:rPr>
      </w:pPr>
    </w:p>
    <w:p w14:paraId="0906B465" w14:textId="77777777" w:rsidR="00714C65" w:rsidRPr="00A373FD" w:rsidRDefault="00714C65" w:rsidP="00714C65">
      <w:pPr>
        <w:pStyle w:val="Heading2"/>
        <w:rPr>
          <w:rFonts w:cs="Arial"/>
        </w:rPr>
      </w:pPr>
      <w:bookmarkStart w:id="33" w:name="_Toc226361735"/>
      <w:r w:rsidRPr="00A373FD">
        <w:rPr>
          <w:rFonts w:cs="Arial"/>
        </w:rPr>
        <w:t>Legislation</w:t>
      </w:r>
      <w:bookmarkEnd w:id="33"/>
      <w:r w:rsidRPr="00A373FD">
        <w:rPr>
          <w:rFonts w:cs="Arial"/>
        </w:rPr>
        <w:t xml:space="preserve"> </w:t>
      </w:r>
    </w:p>
    <w:p w14:paraId="61434B53" w14:textId="77777777" w:rsidR="00714C65" w:rsidRDefault="00714C65" w:rsidP="00C80A7C">
      <w:pPr>
        <w:spacing w:after="0" w:line="240" w:lineRule="auto"/>
        <w:rPr>
          <w:rFonts w:cs="Arial"/>
        </w:rPr>
      </w:pPr>
      <w:r>
        <w:rPr>
          <w:rFonts w:cs="Arial"/>
        </w:rPr>
        <w:t>HB 2017 (2017)</w:t>
      </w:r>
    </w:p>
    <w:p w14:paraId="6DAD97AD" w14:textId="77777777" w:rsidR="00714C65" w:rsidRDefault="00714C65" w:rsidP="00C80A7C">
      <w:pPr>
        <w:spacing w:after="0" w:line="240" w:lineRule="auto"/>
        <w:rPr>
          <w:rFonts w:cs="Arial"/>
        </w:rPr>
      </w:pPr>
      <w:r>
        <w:rPr>
          <w:rFonts w:cs="Arial"/>
        </w:rPr>
        <w:t>HB 4059 (2018)</w:t>
      </w:r>
    </w:p>
    <w:p w14:paraId="37A0B099" w14:textId="77777777" w:rsidR="00714C65" w:rsidRDefault="00714C65" w:rsidP="00C80A7C">
      <w:pPr>
        <w:spacing w:after="0" w:line="240" w:lineRule="auto"/>
        <w:rPr>
          <w:rFonts w:cs="Arial"/>
        </w:rPr>
      </w:pPr>
      <w:r>
        <w:rPr>
          <w:rFonts w:cs="Arial"/>
        </w:rPr>
        <w:t>HB 2592 (2019)</w:t>
      </w:r>
      <w:r>
        <w:rPr>
          <w:rFonts w:cs="Arial"/>
        </w:rPr>
        <w:br/>
        <w:t>HB 2165 (2021)</w:t>
      </w:r>
    </w:p>
    <w:p w14:paraId="2AA3B506" w14:textId="77777777" w:rsidR="00714C65" w:rsidRDefault="00714C65" w:rsidP="00C80A7C">
      <w:pPr>
        <w:spacing w:after="0" w:line="240" w:lineRule="auto"/>
        <w:rPr>
          <w:rFonts w:cs="Arial"/>
        </w:rPr>
      </w:pPr>
      <w:r>
        <w:rPr>
          <w:rFonts w:cs="Arial"/>
        </w:rPr>
        <w:t>HB 5202 (2022)</w:t>
      </w:r>
    </w:p>
    <w:p w14:paraId="6564800B" w14:textId="77777777" w:rsidR="00714C65" w:rsidRDefault="00714C65" w:rsidP="00C80A7C">
      <w:pPr>
        <w:spacing w:after="0" w:line="240" w:lineRule="auto"/>
        <w:rPr>
          <w:rFonts w:cs="Arial"/>
        </w:rPr>
      </w:pPr>
      <w:r>
        <w:rPr>
          <w:rFonts w:cs="Arial"/>
        </w:rPr>
        <w:t>HB 4109 (2024)</w:t>
      </w:r>
    </w:p>
    <w:p w14:paraId="5B91102B" w14:textId="77777777" w:rsidR="00714C65" w:rsidRPr="00A373FD" w:rsidRDefault="00714C65" w:rsidP="00C80A7C">
      <w:pPr>
        <w:spacing w:after="0" w:line="240" w:lineRule="auto"/>
        <w:rPr>
          <w:rFonts w:cs="Arial"/>
        </w:rPr>
      </w:pPr>
      <w:r>
        <w:rPr>
          <w:rFonts w:cs="Arial"/>
        </w:rPr>
        <w:t>HB 3409 (2023)</w:t>
      </w:r>
    </w:p>
    <w:p w14:paraId="67262A38" w14:textId="77777777" w:rsidR="00714C65" w:rsidRPr="00A373FD" w:rsidRDefault="00714C65" w:rsidP="00714C65">
      <w:pPr>
        <w:rPr>
          <w:rFonts w:cs="Arial"/>
        </w:rPr>
      </w:pPr>
    </w:p>
    <w:p w14:paraId="3E2E9610" w14:textId="77777777" w:rsidR="00714C65" w:rsidRPr="00515287" w:rsidRDefault="00714C65" w:rsidP="00515287">
      <w:pPr>
        <w:pStyle w:val="Heading1"/>
        <w:rPr>
          <w:rStyle w:val="Heading1Char"/>
          <w:b/>
        </w:rPr>
      </w:pPr>
      <w:bookmarkStart w:id="34" w:name="_Toc218065407"/>
      <w:bookmarkStart w:id="35" w:name="_Toc226361736"/>
      <w:bookmarkStart w:id="36" w:name="SupportingDocuments"/>
      <w:r w:rsidRPr="00515287">
        <w:rPr>
          <w:rStyle w:val="Heading1Char"/>
          <w:b/>
        </w:rPr>
        <w:t>Documents relied on for rulemaking</w:t>
      </w:r>
      <w:bookmarkEnd w:id="34"/>
      <w:bookmarkEnd w:id="35"/>
    </w:p>
    <w:bookmarkEnd w:id="36"/>
    <w:p w14:paraId="535BACD9" w14:textId="77777777" w:rsidR="00714C65" w:rsidRPr="00B47552" w:rsidRDefault="00714C65" w:rsidP="00714C65">
      <w:pPr>
        <w:pStyle w:val="instructions"/>
        <w:rPr>
          <w:b w:val="0"/>
          <w:bCs/>
          <w:color w:val="auto"/>
        </w:rPr>
      </w:pPr>
      <w:r w:rsidRPr="00B47552">
        <w:rPr>
          <w:b w:val="0"/>
          <w:bCs/>
          <w:color w:val="auto"/>
        </w:rPr>
        <w:t>These are reports, maps, studies, and similar documents that were used in completing this rulemaking. Do not list other statutes or rules here (OAR, ORS, CFR, USC, Federal Register) unless the rule writers relied on or referred to documents contained in those statutes or rules, such as reports, maps or studies.</w:t>
      </w:r>
    </w:p>
    <w:p w14:paraId="7F02EFB9" w14:textId="77777777" w:rsidR="00714C65" w:rsidRPr="00A373FD" w:rsidRDefault="00714C65" w:rsidP="00714C65">
      <w:pPr>
        <w:rPr>
          <w:rFonts w:cs="Arial"/>
        </w:rPr>
      </w:pP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top w:w="43" w:type="dxa"/>
          <w:left w:w="43" w:type="dxa"/>
          <w:bottom w:w="43" w:type="dxa"/>
          <w:right w:w="43" w:type="dxa"/>
        </w:tblCellMar>
        <w:tblLook w:val="04A0" w:firstRow="1" w:lastRow="0" w:firstColumn="1" w:lastColumn="0" w:noHBand="0" w:noVBand="1"/>
      </w:tblPr>
      <w:tblGrid>
        <w:gridCol w:w="4213"/>
        <w:gridCol w:w="5117"/>
      </w:tblGrid>
      <w:tr w:rsidR="00714C65" w:rsidRPr="00A373FD" w14:paraId="769CC9CE" w14:textId="77777777">
        <w:trPr>
          <w:trHeight w:val="296"/>
        </w:trPr>
        <w:tc>
          <w:tcPr>
            <w:tcW w:w="5565" w:type="dxa"/>
            <w:tcBorders>
              <w:top w:val="single" w:sz="12" w:space="0" w:color="000000" w:themeColor="text1"/>
              <w:bottom w:val="single" w:sz="12" w:space="0" w:color="000000" w:themeColor="text1"/>
            </w:tcBorders>
            <w:shd w:val="clear" w:color="auto" w:fill="D9F2D0" w:themeFill="accent6" w:themeFillTint="33"/>
            <w:vAlign w:val="center"/>
          </w:tcPr>
          <w:p w14:paraId="2EB385D1" w14:textId="77777777" w:rsidR="00714C65" w:rsidRPr="00DE03C3" w:rsidRDefault="00714C65">
            <w:pPr>
              <w:jc w:val="center"/>
              <w:rPr>
                <w:rFonts w:cs="Arial"/>
                <w:b/>
                <w:sz w:val="24"/>
              </w:rPr>
            </w:pPr>
            <w:r w:rsidRPr="00DE03C3">
              <w:rPr>
                <w:rFonts w:cs="Arial"/>
                <w:b/>
                <w:sz w:val="24"/>
              </w:rPr>
              <w:lastRenderedPageBreak/>
              <w:t>Document title</w:t>
            </w:r>
          </w:p>
        </w:tc>
        <w:tc>
          <w:tcPr>
            <w:tcW w:w="5130" w:type="dxa"/>
            <w:tcBorders>
              <w:top w:val="single" w:sz="12" w:space="0" w:color="000000" w:themeColor="text1"/>
              <w:bottom w:val="single" w:sz="12" w:space="0" w:color="000000" w:themeColor="text1"/>
            </w:tcBorders>
            <w:shd w:val="clear" w:color="auto" w:fill="D9F2D0" w:themeFill="accent6" w:themeFillTint="33"/>
            <w:vAlign w:val="center"/>
          </w:tcPr>
          <w:p w14:paraId="38217546" w14:textId="77777777" w:rsidR="00714C65" w:rsidRPr="00DE03C3" w:rsidRDefault="00714C65">
            <w:pPr>
              <w:jc w:val="center"/>
              <w:rPr>
                <w:rFonts w:cs="Arial"/>
                <w:b/>
                <w:sz w:val="24"/>
              </w:rPr>
            </w:pPr>
            <w:r w:rsidRPr="00DE03C3">
              <w:rPr>
                <w:rFonts w:cs="Arial"/>
                <w:b/>
                <w:sz w:val="24"/>
              </w:rPr>
              <w:t>Document location</w:t>
            </w:r>
          </w:p>
        </w:tc>
      </w:tr>
      <w:tr w:rsidR="00714C65" w:rsidRPr="00A373FD" w14:paraId="308CC5C3" w14:textId="77777777">
        <w:trPr>
          <w:trHeight w:val="575"/>
        </w:trPr>
        <w:tc>
          <w:tcPr>
            <w:tcW w:w="5565" w:type="dxa"/>
            <w:tcBorders>
              <w:top w:val="single" w:sz="12" w:space="0" w:color="000000" w:themeColor="text1"/>
              <w:bottom w:val="single" w:sz="12" w:space="0" w:color="000000" w:themeColor="text1"/>
              <w:right w:val="single" w:sz="12" w:space="0" w:color="000000" w:themeColor="text1"/>
            </w:tcBorders>
            <w:vAlign w:val="center"/>
          </w:tcPr>
          <w:p w14:paraId="77F6D9B2" w14:textId="77777777" w:rsidR="00714C65" w:rsidRPr="00CE3EB6" w:rsidRDefault="00714C65">
            <w:pPr>
              <w:rPr>
                <w:rFonts w:cs="Arial"/>
                <w:color w:val="0070C0"/>
              </w:rPr>
            </w:pPr>
            <w:hyperlink r:id="rId12" w:history="1">
              <w:r w:rsidRPr="00CE3EB6">
                <w:rPr>
                  <w:rStyle w:val="Hyperlink"/>
                  <w:rFonts w:cs="Arial"/>
                  <w:color w:val="0070C0"/>
                </w:rPr>
                <w:t>OCVRP Rebate Statistics and Survey Data</w:t>
              </w:r>
            </w:hyperlink>
          </w:p>
        </w:tc>
        <w:tc>
          <w:tcPr>
            <w:tcW w:w="5130" w:type="dxa"/>
            <w:tcBorders>
              <w:top w:val="single" w:sz="12" w:space="0" w:color="000000" w:themeColor="text1"/>
              <w:left w:val="single" w:sz="12" w:space="0" w:color="000000" w:themeColor="text1"/>
              <w:bottom w:val="single" w:sz="12" w:space="0" w:color="000000" w:themeColor="text1"/>
            </w:tcBorders>
            <w:vAlign w:val="center"/>
          </w:tcPr>
          <w:p w14:paraId="540A773A" w14:textId="77777777" w:rsidR="00714C65" w:rsidRPr="00CE3EB6" w:rsidRDefault="00714C65">
            <w:pPr>
              <w:rPr>
                <w:rFonts w:cs="Arial"/>
                <w:color w:val="0070C0"/>
              </w:rPr>
            </w:pPr>
            <w:hyperlink r:id="rId13" w:history="1">
              <w:r w:rsidRPr="00CE3EB6">
                <w:rPr>
                  <w:rStyle w:val="Hyperlink"/>
                  <w:rFonts w:cs="Arial"/>
                  <w:color w:val="0070C0"/>
                </w:rPr>
                <w:t>https://evrebate.oregon.gov/rebate-statistics</w:t>
              </w:r>
            </w:hyperlink>
            <w:r w:rsidRPr="00CE3EB6">
              <w:rPr>
                <w:rFonts w:cs="Arial"/>
                <w:color w:val="0070C0"/>
              </w:rPr>
              <w:t xml:space="preserve"> </w:t>
            </w:r>
          </w:p>
        </w:tc>
      </w:tr>
      <w:tr w:rsidR="00714C65" w:rsidRPr="00A373FD" w14:paraId="47FD80BF" w14:textId="77777777">
        <w:trPr>
          <w:trHeight w:val="237"/>
        </w:trPr>
        <w:tc>
          <w:tcPr>
            <w:tcW w:w="5565" w:type="dxa"/>
            <w:tcBorders>
              <w:top w:val="single" w:sz="12" w:space="0" w:color="000000" w:themeColor="text1"/>
              <w:bottom w:val="single" w:sz="12" w:space="0" w:color="000000" w:themeColor="text1"/>
              <w:right w:val="single" w:sz="12" w:space="0" w:color="000000" w:themeColor="text1"/>
            </w:tcBorders>
            <w:vAlign w:val="center"/>
          </w:tcPr>
          <w:p w14:paraId="238B8D94" w14:textId="77777777" w:rsidR="00714C65" w:rsidRPr="00CE3EB6" w:rsidRDefault="00714C65">
            <w:pPr>
              <w:rPr>
                <w:rFonts w:cs="Arial"/>
                <w:color w:val="0070C0"/>
              </w:rPr>
            </w:pPr>
            <w:hyperlink r:id="rId14" w:history="1">
              <w:r w:rsidRPr="00CE3EB6">
                <w:rPr>
                  <w:rStyle w:val="Hyperlink"/>
                  <w:rFonts w:cs="Arial"/>
                  <w:color w:val="0070C0"/>
                </w:rPr>
                <w:t>Assessment of light-duty electric vehicle costs and consumer benefits in the United States in the 2022-2035 time frame</w:t>
              </w:r>
            </w:hyperlink>
          </w:p>
        </w:tc>
        <w:tc>
          <w:tcPr>
            <w:tcW w:w="5130" w:type="dxa"/>
            <w:tcBorders>
              <w:top w:val="single" w:sz="12" w:space="0" w:color="000000" w:themeColor="text1"/>
              <w:left w:val="single" w:sz="12" w:space="0" w:color="000000" w:themeColor="text1"/>
              <w:bottom w:val="single" w:sz="12" w:space="0" w:color="000000" w:themeColor="text1"/>
            </w:tcBorders>
            <w:vAlign w:val="center"/>
          </w:tcPr>
          <w:p w14:paraId="3BC32209" w14:textId="77777777" w:rsidR="00714C65" w:rsidRPr="00CE3EB6" w:rsidRDefault="00714C65">
            <w:pPr>
              <w:rPr>
                <w:rFonts w:cs="Arial"/>
                <w:color w:val="0070C0"/>
              </w:rPr>
            </w:pPr>
            <w:hyperlink r:id="rId15" w:history="1">
              <w:r w:rsidRPr="00CE3EB6">
                <w:rPr>
                  <w:rStyle w:val="Hyperlink"/>
                  <w:rFonts w:cs="Arial"/>
                  <w:color w:val="0070C0"/>
                </w:rPr>
                <w:t>https://theicct.org/wp-content/uploads/2022/10/ev-cost-benefits-2035-oct22.pdf</w:t>
              </w:r>
            </w:hyperlink>
            <w:r w:rsidRPr="00CE3EB6">
              <w:rPr>
                <w:rFonts w:cs="Arial"/>
                <w:color w:val="0070C0"/>
              </w:rPr>
              <w:t xml:space="preserve"> </w:t>
            </w:r>
          </w:p>
        </w:tc>
      </w:tr>
      <w:tr w:rsidR="00714C65" w:rsidRPr="00A373FD" w14:paraId="52432BB1" w14:textId="77777777">
        <w:trPr>
          <w:trHeight w:val="237"/>
        </w:trPr>
        <w:tc>
          <w:tcPr>
            <w:tcW w:w="5565" w:type="dxa"/>
            <w:tcBorders>
              <w:top w:val="single" w:sz="12" w:space="0" w:color="000000" w:themeColor="text1"/>
              <w:bottom w:val="single" w:sz="12" w:space="0" w:color="000000" w:themeColor="text1"/>
              <w:right w:val="single" w:sz="12" w:space="0" w:color="000000" w:themeColor="text1"/>
            </w:tcBorders>
            <w:vAlign w:val="center"/>
          </w:tcPr>
          <w:p w14:paraId="6340F22E" w14:textId="77777777" w:rsidR="00714C65" w:rsidRPr="00CE3EB6" w:rsidRDefault="00714C65">
            <w:pPr>
              <w:rPr>
                <w:rFonts w:cs="Arial"/>
                <w:color w:val="0070C0"/>
              </w:rPr>
            </w:pPr>
            <w:hyperlink r:id="rId16" w:history="1">
              <w:r w:rsidRPr="00CE3EB6">
                <w:rPr>
                  <w:rStyle w:val="Hyperlink"/>
                  <w:rFonts w:cs="Arial"/>
                  <w:color w:val="0070C0"/>
                </w:rPr>
                <w:t>Issue Brief: Affordable Vehicles in Decline</w:t>
              </w:r>
            </w:hyperlink>
          </w:p>
        </w:tc>
        <w:tc>
          <w:tcPr>
            <w:tcW w:w="5130" w:type="dxa"/>
            <w:tcBorders>
              <w:top w:val="single" w:sz="12" w:space="0" w:color="000000" w:themeColor="text1"/>
              <w:left w:val="single" w:sz="12" w:space="0" w:color="000000" w:themeColor="text1"/>
              <w:bottom w:val="single" w:sz="12" w:space="0" w:color="000000" w:themeColor="text1"/>
            </w:tcBorders>
            <w:vAlign w:val="center"/>
          </w:tcPr>
          <w:p w14:paraId="4D97C3E6" w14:textId="77777777" w:rsidR="00714C65" w:rsidRPr="00CE3EB6" w:rsidRDefault="00714C65">
            <w:pPr>
              <w:rPr>
                <w:rFonts w:cs="Arial"/>
                <w:color w:val="0070C0"/>
              </w:rPr>
            </w:pPr>
            <w:hyperlink r:id="rId17" w:history="1">
              <w:r w:rsidRPr="00CE3EB6">
                <w:rPr>
                  <w:rStyle w:val="Hyperlink"/>
                  <w:rFonts w:cs="Arial"/>
                  <w:color w:val="0070C0"/>
                </w:rPr>
                <w:t>https://atlaspolicy.com/wp-content/uploads/2025/10/Affordable-Vehicles-in-Decline.pdf</w:t>
              </w:r>
            </w:hyperlink>
            <w:r w:rsidRPr="00CE3EB6">
              <w:rPr>
                <w:rFonts w:cs="Arial"/>
                <w:color w:val="0070C0"/>
              </w:rPr>
              <w:t xml:space="preserve"> </w:t>
            </w:r>
          </w:p>
        </w:tc>
      </w:tr>
      <w:tr w:rsidR="00714C65" w:rsidRPr="00A373FD" w14:paraId="0168B693" w14:textId="77777777">
        <w:trPr>
          <w:trHeight w:val="225"/>
        </w:trPr>
        <w:tc>
          <w:tcPr>
            <w:tcW w:w="5565" w:type="dxa"/>
            <w:tcBorders>
              <w:top w:val="single" w:sz="12" w:space="0" w:color="000000" w:themeColor="text1"/>
              <w:bottom w:val="single" w:sz="12" w:space="0" w:color="000000" w:themeColor="text1"/>
              <w:right w:val="single" w:sz="12" w:space="0" w:color="000000" w:themeColor="text1"/>
            </w:tcBorders>
            <w:vAlign w:val="center"/>
          </w:tcPr>
          <w:p w14:paraId="75EFF6AC" w14:textId="77777777" w:rsidR="00714C65" w:rsidRPr="00CE3EB6" w:rsidRDefault="00714C65">
            <w:pPr>
              <w:rPr>
                <w:rFonts w:cs="Arial"/>
                <w:color w:val="0070C0"/>
              </w:rPr>
            </w:pPr>
            <w:hyperlink r:id="rId18" w:history="1">
              <w:r w:rsidRPr="00CE3EB6">
                <w:rPr>
                  <w:rStyle w:val="Hyperlink"/>
                  <w:rFonts w:cs="Arial"/>
                  <w:color w:val="0070C0"/>
                </w:rPr>
                <w:t>Global EV Outlook 2025</w:t>
              </w:r>
            </w:hyperlink>
          </w:p>
        </w:tc>
        <w:tc>
          <w:tcPr>
            <w:tcW w:w="5130" w:type="dxa"/>
            <w:tcBorders>
              <w:top w:val="single" w:sz="12" w:space="0" w:color="000000" w:themeColor="text1"/>
              <w:left w:val="single" w:sz="12" w:space="0" w:color="000000" w:themeColor="text1"/>
              <w:bottom w:val="single" w:sz="12" w:space="0" w:color="000000" w:themeColor="text1"/>
            </w:tcBorders>
            <w:vAlign w:val="center"/>
          </w:tcPr>
          <w:p w14:paraId="11D7085E" w14:textId="77777777" w:rsidR="00714C65" w:rsidRPr="00CE3EB6" w:rsidRDefault="00714C65">
            <w:pPr>
              <w:rPr>
                <w:rFonts w:cs="Arial"/>
                <w:color w:val="0070C0"/>
              </w:rPr>
            </w:pPr>
            <w:hyperlink r:id="rId19" w:history="1">
              <w:r w:rsidRPr="00CE3EB6">
                <w:rPr>
                  <w:rStyle w:val="Hyperlink"/>
                  <w:rFonts w:cs="Arial"/>
                  <w:color w:val="0070C0"/>
                </w:rPr>
                <w:t>https://iea.blob.core.windows.net/assets/7ea38b60-3033-42a6-9589-71134f4229f4/GlobalEVOutlook2025.pdf</w:t>
              </w:r>
            </w:hyperlink>
            <w:r w:rsidRPr="00CE3EB6">
              <w:rPr>
                <w:rFonts w:cs="Arial"/>
                <w:color w:val="0070C0"/>
              </w:rPr>
              <w:t xml:space="preserve"> </w:t>
            </w:r>
          </w:p>
        </w:tc>
      </w:tr>
      <w:tr w:rsidR="00714C65" w:rsidRPr="00A373FD" w14:paraId="688A6C9B" w14:textId="77777777">
        <w:trPr>
          <w:trHeight w:val="225"/>
        </w:trPr>
        <w:tc>
          <w:tcPr>
            <w:tcW w:w="5565" w:type="dxa"/>
            <w:tcBorders>
              <w:top w:val="single" w:sz="12" w:space="0" w:color="000000" w:themeColor="text1"/>
              <w:bottom w:val="single" w:sz="12" w:space="0" w:color="000000" w:themeColor="text1"/>
              <w:right w:val="single" w:sz="12" w:space="0" w:color="000000" w:themeColor="text1"/>
            </w:tcBorders>
            <w:vAlign w:val="center"/>
          </w:tcPr>
          <w:p w14:paraId="2930D043" w14:textId="77777777" w:rsidR="00714C65" w:rsidRPr="00CE3EB6" w:rsidRDefault="00714C65">
            <w:pPr>
              <w:rPr>
                <w:rFonts w:cs="Arial"/>
                <w:color w:val="0070C0"/>
              </w:rPr>
            </w:pPr>
            <w:hyperlink r:id="rId20" w:history="1">
              <w:r w:rsidRPr="00CE3EB6">
                <w:rPr>
                  <w:rStyle w:val="Hyperlink"/>
                  <w:rFonts w:cs="Arial"/>
                  <w:color w:val="0070C0"/>
                </w:rPr>
                <w:t>Used Electric Car Prices &amp; Market Report — Q3 2025</w:t>
              </w:r>
            </w:hyperlink>
          </w:p>
        </w:tc>
        <w:tc>
          <w:tcPr>
            <w:tcW w:w="5130" w:type="dxa"/>
            <w:tcBorders>
              <w:top w:val="single" w:sz="12" w:space="0" w:color="000000" w:themeColor="text1"/>
              <w:left w:val="single" w:sz="12" w:space="0" w:color="000000" w:themeColor="text1"/>
              <w:bottom w:val="single" w:sz="12" w:space="0" w:color="000000" w:themeColor="text1"/>
            </w:tcBorders>
            <w:vAlign w:val="center"/>
          </w:tcPr>
          <w:p w14:paraId="50B27048" w14:textId="77777777" w:rsidR="00714C65" w:rsidRPr="00CE3EB6" w:rsidRDefault="00714C65">
            <w:pPr>
              <w:rPr>
                <w:rFonts w:cs="Arial"/>
                <w:color w:val="0070C0"/>
              </w:rPr>
            </w:pPr>
            <w:hyperlink r:id="rId21" w:history="1">
              <w:r w:rsidRPr="00CE3EB6">
                <w:rPr>
                  <w:rStyle w:val="Hyperlink"/>
                  <w:rFonts w:cs="Arial"/>
                  <w:color w:val="0070C0"/>
                </w:rPr>
                <w:t>https://www.recurrentauto.com/research/used-electric-vehicle-buying-report</w:t>
              </w:r>
            </w:hyperlink>
            <w:r w:rsidRPr="00CE3EB6">
              <w:rPr>
                <w:rFonts w:cs="Arial"/>
                <w:color w:val="0070C0"/>
              </w:rPr>
              <w:t xml:space="preserve"> </w:t>
            </w:r>
          </w:p>
        </w:tc>
      </w:tr>
      <w:tr w:rsidR="00714C65" w:rsidRPr="00A373FD" w14:paraId="65F6CD3E" w14:textId="77777777">
        <w:trPr>
          <w:trHeight w:val="225"/>
        </w:trPr>
        <w:tc>
          <w:tcPr>
            <w:tcW w:w="5565" w:type="dxa"/>
            <w:tcBorders>
              <w:top w:val="single" w:sz="12" w:space="0" w:color="000000" w:themeColor="text1"/>
              <w:bottom w:val="single" w:sz="12" w:space="0" w:color="000000" w:themeColor="text1"/>
              <w:right w:val="single" w:sz="12" w:space="0" w:color="000000" w:themeColor="text1"/>
            </w:tcBorders>
            <w:vAlign w:val="center"/>
          </w:tcPr>
          <w:p w14:paraId="217574CA" w14:textId="77777777" w:rsidR="00714C65" w:rsidRPr="00CE3EB6" w:rsidRDefault="00714C65">
            <w:pPr>
              <w:rPr>
                <w:rFonts w:cs="Arial"/>
                <w:color w:val="0070C0"/>
              </w:rPr>
            </w:pPr>
            <w:hyperlink r:id="rId22" w:history="1">
              <w:r w:rsidRPr="00CE3EB6">
                <w:rPr>
                  <w:rStyle w:val="Hyperlink"/>
                  <w:rFonts w:cs="Arial"/>
                  <w:color w:val="0070C0"/>
                </w:rPr>
                <w:t>2025 EV Driver Survey</w:t>
              </w:r>
            </w:hyperlink>
          </w:p>
        </w:tc>
        <w:tc>
          <w:tcPr>
            <w:tcW w:w="5130" w:type="dxa"/>
            <w:tcBorders>
              <w:top w:val="single" w:sz="12" w:space="0" w:color="000000" w:themeColor="text1"/>
              <w:left w:val="single" w:sz="12" w:space="0" w:color="000000" w:themeColor="text1"/>
              <w:bottom w:val="single" w:sz="12" w:space="0" w:color="000000" w:themeColor="text1"/>
            </w:tcBorders>
            <w:vAlign w:val="center"/>
          </w:tcPr>
          <w:p w14:paraId="320E343D" w14:textId="77777777" w:rsidR="00714C65" w:rsidRPr="00CE3EB6" w:rsidRDefault="00714C65">
            <w:pPr>
              <w:rPr>
                <w:rFonts w:cs="Arial"/>
                <w:color w:val="0070C0"/>
              </w:rPr>
            </w:pPr>
            <w:hyperlink r:id="rId23" w:history="1">
              <w:r w:rsidRPr="00CE3EB6">
                <w:rPr>
                  <w:rStyle w:val="Hyperlink"/>
                  <w:rFonts w:cs="Arial"/>
                  <w:color w:val="0070C0"/>
                </w:rPr>
                <w:t>https://pluginamerica.org/survey/2025-ev-driver-survey/</w:t>
              </w:r>
            </w:hyperlink>
            <w:r w:rsidRPr="00CE3EB6">
              <w:rPr>
                <w:rFonts w:cs="Arial"/>
                <w:color w:val="0070C0"/>
              </w:rPr>
              <w:t xml:space="preserve"> </w:t>
            </w:r>
          </w:p>
        </w:tc>
      </w:tr>
      <w:tr w:rsidR="00714C65" w:rsidRPr="00A373FD" w14:paraId="68FCDD6F" w14:textId="77777777">
        <w:trPr>
          <w:trHeight w:val="225"/>
        </w:trPr>
        <w:tc>
          <w:tcPr>
            <w:tcW w:w="5565" w:type="dxa"/>
            <w:tcBorders>
              <w:top w:val="single" w:sz="12" w:space="0" w:color="000000" w:themeColor="text1"/>
              <w:bottom w:val="single" w:sz="12" w:space="0" w:color="000000" w:themeColor="text1"/>
              <w:right w:val="single" w:sz="12" w:space="0" w:color="000000" w:themeColor="text1"/>
            </w:tcBorders>
            <w:vAlign w:val="center"/>
          </w:tcPr>
          <w:p w14:paraId="482CAF7F" w14:textId="77777777" w:rsidR="00714C65" w:rsidRPr="00CE3EB6" w:rsidRDefault="00714C65">
            <w:pPr>
              <w:rPr>
                <w:rFonts w:cs="Arial"/>
                <w:color w:val="0070C0"/>
              </w:rPr>
            </w:pPr>
            <w:hyperlink r:id="rId24" w:history="1">
              <w:r w:rsidRPr="00CE3EB6">
                <w:rPr>
                  <w:rStyle w:val="Hyperlink"/>
                  <w:rFonts w:cs="Arial"/>
                  <w:color w:val="0070C0"/>
                </w:rPr>
                <w:t>Data Sources and Assumptions for the Electricity Sources and Fuel-Cycle Emissions Tool</w:t>
              </w:r>
            </w:hyperlink>
          </w:p>
        </w:tc>
        <w:tc>
          <w:tcPr>
            <w:tcW w:w="5130" w:type="dxa"/>
            <w:tcBorders>
              <w:top w:val="single" w:sz="12" w:space="0" w:color="000000" w:themeColor="text1"/>
              <w:left w:val="single" w:sz="12" w:space="0" w:color="000000" w:themeColor="text1"/>
              <w:bottom w:val="single" w:sz="12" w:space="0" w:color="000000" w:themeColor="text1"/>
            </w:tcBorders>
            <w:vAlign w:val="center"/>
          </w:tcPr>
          <w:p w14:paraId="75556B28" w14:textId="77777777" w:rsidR="00714C65" w:rsidRPr="00CE3EB6" w:rsidRDefault="00714C65">
            <w:pPr>
              <w:rPr>
                <w:rFonts w:cs="Arial"/>
                <w:color w:val="0070C0"/>
              </w:rPr>
            </w:pPr>
            <w:hyperlink r:id="rId25" w:history="1">
              <w:r w:rsidRPr="00CE3EB6">
                <w:rPr>
                  <w:rStyle w:val="Hyperlink"/>
                  <w:rFonts w:cs="Arial"/>
                  <w:color w:val="0070C0"/>
                </w:rPr>
                <w:t>https://afdc.energy.gov/vehicles/electric-emissions-sources</w:t>
              </w:r>
            </w:hyperlink>
            <w:r w:rsidRPr="00CE3EB6">
              <w:rPr>
                <w:rFonts w:cs="Arial"/>
                <w:color w:val="0070C0"/>
              </w:rPr>
              <w:t xml:space="preserve"> </w:t>
            </w:r>
          </w:p>
        </w:tc>
      </w:tr>
      <w:tr w:rsidR="00714C65" w:rsidRPr="00A373FD" w14:paraId="6361995A" w14:textId="77777777">
        <w:trPr>
          <w:trHeight w:val="225"/>
        </w:trPr>
        <w:tc>
          <w:tcPr>
            <w:tcW w:w="5565" w:type="dxa"/>
            <w:tcBorders>
              <w:top w:val="single" w:sz="12" w:space="0" w:color="000000" w:themeColor="text1"/>
              <w:bottom w:val="single" w:sz="12" w:space="0" w:color="000000" w:themeColor="text1"/>
              <w:right w:val="single" w:sz="12" w:space="0" w:color="000000" w:themeColor="text1"/>
            </w:tcBorders>
            <w:vAlign w:val="center"/>
          </w:tcPr>
          <w:p w14:paraId="47C7C790" w14:textId="45B4712F" w:rsidR="00714C65" w:rsidRPr="00CE3EB6" w:rsidRDefault="00714C65">
            <w:pPr>
              <w:rPr>
                <w:rFonts w:cs="Arial"/>
                <w:color w:val="0070C0"/>
              </w:rPr>
            </w:pPr>
            <w:hyperlink r:id="rId26" w:history="1">
              <w:r w:rsidRPr="00CE3EB6">
                <w:rPr>
                  <w:rStyle w:val="Hyperlink"/>
                  <w:rFonts w:cs="Arial"/>
                  <w:color w:val="0070C0"/>
                </w:rPr>
                <w:t xml:space="preserve">2026 Will Be the ‘Year of the Used EV,’ </w:t>
              </w:r>
              <w:r w:rsidR="00AE33FB" w:rsidRPr="00CE3EB6">
                <w:rPr>
                  <w:rStyle w:val="Hyperlink"/>
                  <w:rFonts w:cs="Arial"/>
                  <w:color w:val="0070C0"/>
                </w:rPr>
                <w:t>says</w:t>
              </w:r>
              <w:r w:rsidRPr="00CE3EB6">
                <w:rPr>
                  <w:rStyle w:val="Hyperlink"/>
                  <w:rFonts w:cs="Arial"/>
                  <w:color w:val="0070C0"/>
                </w:rPr>
                <w:t xml:space="preserve"> Recurrent CEO</w:t>
              </w:r>
            </w:hyperlink>
          </w:p>
        </w:tc>
        <w:tc>
          <w:tcPr>
            <w:tcW w:w="5130" w:type="dxa"/>
            <w:tcBorders>
              <w:top w:val="single" w:sz="12" w:space="0" w:color="000000" w:themeColor="text1"/>
              <w:left w:val="single" w:sz="12" w:space="0" w:color="000000" w:themeColor="text1"/>
              <w:bottom w:val="single" w:sz="12" w:space="0" w:color="000000" w:themeColor="text1"/>
            </w:tcBorders>
            <w:vAlign w:val="center"/>
          </w:tcPr>
          <w:p w14:paraId="563FA9CA" w14:textId="77777777" w:rsidR="00714C65" w:rsidRPr="00CE3EB6" w:rsidRDefault="00714C65">
            <w:pPr>
              <w:rPr>
                <w:rFonts w:cs="Arial"/>
                <w:color w:val="0070C0"/>
              </w:rPr>
            </w:pPr>
            <w:hyperlink r:id="rId27" w:history="1">
              <w:r w:rsidRPr="00CE3EB6">
                <w:rPr>
                  <w:rStyle w:val="Hyperlink"/>
                  <w:rFonts w:cs="Arial"/>
                  <w:color w:val="0070C0"/>
                </w:rPr>
                <w:t>https://evinfo.net/2025/10/2026-will-be-the-year-of-the-used-ev-says-recurrent-ceo/</w:t>
              </w:r>
            </w:hyperlink>
            <w:r w:rsidRPr="00CE3EB6">
              <w:rPr>
                <w:rFonts w:cs="Arial"/>
                <w:color w:val="0070C0"/>
              </w:rPr>
              <w:t xml:space="preserve"> </w:t>
            </w:r>
          </w:p>
        </w:tc>
      </w:tr>
      <w:tr w:rsidR="00714C65" w:rsidRPr="00A373FD" w14:paraId="3F6CB1E5" w14:textId="77777777">
        <w:trPr>
          <w:trHeight w:val="225"/>
        </w:trPr>
        <w:tc>
          <w:tcPr>
            <w:tcW w:w="5565" w:type="dxa"/>
            <w:tcBorders>
              <w:top w:val="single" w:sz="12" w:space="0" w:color="000000" w:themeColor="text1"/>
              <w:bottom w:val="single" w:sz="12" w:space="0" w:color="000000" w:themeColor="text1"/>
              <w:right w:val="single" w:sz="12" w:space="0" w:color="000000" w:themeColor="text1"/>
            </w:tcBorders>
            <w:vAlign w:val="center"/>
          </w:tcPr>
          <w:p w14:paraId="3244EBE9" w14:textId="77777777" w:rsidR="00714C65" w:rsidRPr="00CE3EB6" w:rsidRDefault="00714C65">
            <w:pPr>
              <w:rPr>
                <w:rFonts w:cs="Arial"/>
                <w:color w:val="0070C0"/>
              </w:rPr>
            </w:pPr>
            <w:hyperlink r:id="rId28" w:history="1">
              <w:r w:rsidRPr="00CE3EB6">
                <w:rPr>
                  <w:rStyle w:val="Hyperlink"/>
                  <w:rFonts w:cs="Arial"/>
                  <w:color w:val="0070C0"/>
                </w:rPr>
                <w:t>Used Cars Are Lingering on Lots as Prices Climb, But EVs Are Moving Fast</w:t>
              </w:r>
            </w:hyperlink>
          </w:p>
        </w:tc>
        <w:tc>
          <w:tcPr>
            <w:tcW w:w="5130" w:type="dxa"/>
            <w:tcBorders>
              <w:top w:val="single" w:sz="12" w:space="0" w:color="000000" w:themeColor="text1"/>
              <w:left w:val="single" w:sz="12" w:space="0" w:color="000000" w:themeColor="text1"/>
              <w:bottom w:val="single" w:sz="12" w:space="0" w:color="000000" w:themeColor="text1"/>
            </w:tcBorders>
            <w:vAlign w:val="center"/>
          </w:tcPr>
          <w:p w14:paraId="191B17CC" w14:textId="77777777" w:rsidR="00714C65" w:rsidRPr="00CE3EB6" w:rsidRDefault="00714C65">
            <w:pPr>
              <w:rPr>
                <w:rFonts w:cs="Arial"/>
                <w:color w:val="0070C0"/>
              </w:rPr>
            </w:pPr>
            <w:hyperlink r:id="rId29" w:history="1">
              <w:r w:rsidRPr="00CE3EB6">
                <w:rPr>
                  <w:rStyle w:val="Hyperlink"/>
                  <w:rFonts w:cs="Arial"/>
                  <w:color w:val="0070C0"/>
                </w:rPr>
                <w:t>https://www.edmunds.com/car-news/edmunds-q3-2025-insights-used-car-report.html</w:t>
              </w:r>
            </w:hyperlink>
            <w:r w:rsidRPr="00CE3EB6">
              <w:rPr>
                <w:rFonts w:cs="Arial"/>
                <w:color w:val="0070C0"/>
              </w:rPr>
              <w:t xml:space="preserve"> </w:t>
            </w:r>
          </w:p>
        </w:tc>
      </w:tr>
    </w:tbl>
    <w:p w14:paraId="54387CC8" w14:textId="5124A3E8" w:rsidR="00ED47E6" w:rsidRDefault="00ED47E6" w:rsidP="00ED47E6"/>
    <w:p w14:paraId="3F2C16E8" w14:textId="77777777" w:rsidR="00251FD3" w:rsidRDefault="00251FD3" w:rsidP="00ED47E6"/>
    <w:p w14:paraId="1CC421E7" w14:textId="77777777" w:rsidR="00251FD3" w:rsidRDefault="00251FD3" w:rsidP="00ED47E6"/>
    <w:p w14:paraId="28AC4A4E" w14:textId="77777777" w:rsidR="00251FD3" w:rsidRDefault="00251FD3" w:rsidP="00ED47E6"/>
    <w:p w14:paraId="00698BBD" w14:textId="77777777" w:rsidR="00251FD3" w:rsidRDefault="00251FD3" w:rsidP="00ED47E6"/>
    <w:p w14:paraId="2C762506" w14:textId="77777777" w:rsidR="00251FD3" w:rsidRDefault="00251FD3" w:rsidP="00ED47E6"/>
    <w:p w14:paraId="48DE8397" w14:textId="77777777" w:rsidR="00251FD3" w:rsidRDefault="00251FD3" w:rsidP="00ED47E6"/>
    <w:p w14:paraId="33E57FE1" w14:textId="77777777" w:rsidR="00251FD3" w:rsidRDefault="00251FD3" w:rsidP="00ED47E6"/>
    <w:p w14:paraId="6C89E127" w14:textId="77777777" w:rsidR="00251FD3" w:rsidRDefault="00251FD3" w:rsidP="00ED47E6"/>
    <w:p w14:paraId="56B459AB" w14:textId="77777777" w:rsidR="00251FD3" w:rsidRPr="00A373FD" w:rsidRDefault="00251FD3" w:rsidP="00251FD3">
      <w:pPr>
        <w:pStyle w:val="Heading1"/>
      </w:pPr>
      <w:bookmarkStart w:id="37" w:name="_Toc218065408"/>
      <w:bookmarkStart w:id="38" w:name="_Toc226361737"/>
      <w:r w:rsidRPr="00A373FD">
        <w:lastRenderedPageBreak/>
        <w:t>Rules summary</w:t>
      </w:r>
      <w:bookmarkEnd w:id="37"/>
      <w:bookmarkEnd w:id="38"/>
    </w:p>
    <w:p w14:paraId="5FE0C8F7" w14:textId="77777777" w:rsidR="00251FD3" w:rsidRPr="00A373FD" w:rsidRDefault="00251FD3" w:rsidP="00251FD3">
      <w:pPr>
        <w:autoSpaceDE w:val="0"/>
        <w:autoSpaceDN w:val="0"/>
        <w:adjustRightInd w:val="0"/>
        <w:rPr>
          <w:rFonts w:cs="Arial"/>
        </w:rPr>
      </w:pPr>
      <w:r w:rsidRPr="00A373FD">
        <w:rPr>
          <w:rFonts w:cs="Arial"/>
        </w:rPr>
        <w:t>As OAR 166-500-0030(1)(e) requires, the following are included to provide a brief summary of the proposed new rules and existing rules affected by this rulemaking.</w:t>
      </w:r>
    </w:p>
    <w:p w14:paraId="4D8A8F62" w14:textId="77777777" w:rsidR="00251FD3" w:rsidRPr="00A373FD" w:rsidRDefault="00251FD3" w:rsidP="00251FD3">
      <w:pPr>
        <w:rPr>
          <w:rFonts w:cs="Arial"/>
          <w:highlight w:val="yellow"/>
        </w:rPr>
      </w:pPr>
    </w:p>
    <w:p w14:paraId="57AB92C5" w14:textId="77777777" w:rsidR="00251FD3" w:rsidRPr="00A373FD" w:rsidRDefault="00251FD3" w:rsidP="00251FD3">
      <w:pPr>
        <w:rPr>
          <w:rFonts w:cs="Arial"/>
          <w:b/>
          <w:bCs/>
          <w:sz w:val="28"/>
          <w:szCs w:val="12"/>
        </w:rPr>
      </w:pPr>
      <w:r w:rsidRPr="00A373FD">
        <w:rPr>
          <w:rFonts w:cs="Arial"/>
          <w:b/>
          <w:bCs/>
          <w:sz w:val="28"/>
          <w:szCs w:val="12"/>
        </w:rPr>
        <w:t xml:space="preserve">OAR chapter 340, division </w:t>
      </w:r>
      <w:r>
        <w:rPr>
          <w:rFonts w:cs="Arial"/>
          <w:b/>
          <w:bCs/>
          <w:sz w:val="28"/>
          <w:szCs w:val="12"/>
        </w:rPr>
        <w:t>270</w:t>
      </w:r>
    </w:p>
    <w:tbl>
      <w:tblPr>
        <w:tblW w:w="9337" w:type="dxa"/>
        <w:tblBorders>
          <w:top w:val="single" w:sz="18" w:space="0" w:color="000000"/>
          <w:left w:val="single" w:sz="18" w:space="0" w:color="000000"/>
          <w:bottom w:val="single" w:sz="18" w:space="0" w:color="000000"/>
          <w:right w:val="single" w:sz="18" w:space="0" w:color="000000"/>
          <w:insideH w:val="single" w:sz="12" w:space="0" w:color="000000"/>
          <w:insideV w:val="single" w:sz="12" w:space="0" w:color="000000"/>
        </w:tblBorders>
        <w:tblLayout w:type="fixed"/>
        <w:tblCellMar>
          <w:top w:w="72" w:type="dxa"/>
          <w:left w:w="72" w:type="dxa"/>
          <w:bottom w:w="72" w:type="dxa"/>
          <w:right w:w="72" w:type="dxa"/>
        </w:tblCellMar>
        <w:tblLook w:val="04A0" w:firstRow="1" w:lastRow="0" w:firstColumn="1" w:lastColumn="0" w:noHBand="0" w:noVBand="1"/>
      </w:tblPr>
      <w:tblGrid>
        <w:gridCol w:w="2047"/>
        <w:gridCol w:w="3060"/>
        <w:gridCol w:w="4230"/>
      </w:tblGrid>
      <w:tr w:rsidR="002E1047" w:rsidRPr="002E1047" w14:paraId="6D0A4D7B" w14:textId="77777777" w:rsidTr="002E1047">
        <w:trPr>
          <w:trHeight w:val="531"/>
          <w:tblHeader/>
        </w:trPr>
        <w:tc>
          <w:tcPr>
            <w:tcW w:w="2047" w:type="dxa"/>
            <w:shd w:val="clear" w:color="auto" w:fill="E2EFD9"/>
            <w:noWrap/>
            <w:vAlign w:val="center"/>
            <w:hideMark/>
          </w:tcPr>
          <w:p w14:paraId="0C70F4C0" w14:textId="77777777" w:rsidR="002E1047" w:rsidRPr="002E1047" w:rsidRDefault="002E1047" w:rsidP="002E1047">
            <w:pPr>
              <w:spacing w:after="0" w:line="240" w:lineRule="auto"/>
              <w:jc w:val="center"/>
              <w:outlineLvl w:val="0"/>
              <w:rPr>
                <w:rFonts w:eastAsia="Calibri" w:cs="Arial"/>
                <w:b/>
                <w:color w:val="000000"/>
                <w:kern w:val="0"/>
                <w:sz w:val="28"/>
                <w:szCs w:val="28"/>
                <w14:ligatures w14:val="none"/>
              </w:rPr>
            </w:pPr>
            <w:r w:rsidRPr="002E1047">
              <w:rPr>
                <w:rFonts w:eastAsia="Calibri" w:cs="Arial"/>
                <w:b/>
                <w:color w:val="000000"/>
                <w:kern w:val="0"/>
                <w:sz w:val="28"/>
                <w:szCs w:val="28"/>
                <w14:ligatures w14:val="none"/>
              </w:rPr>
              <w:t>Rule Number</w:t>
            </w:r>
          </w:p>
        </w:tc>
        <w:tc>
          <w:tcPr>
            <w:tcW w:w="3060" w:type="dxa"/>
            <w:shd w:val="clear" w:color="auto" w:fill="E2EFD9"/>
            <w:noWrap/>
            <w:vAlign w:val="center"/>
            <w:hideMark/>
          </w:tcPr>
          <w:p w14:paraId="646A2070" w14:textId="77777777" w:rsidR="002E1047" w:rsidRPr="002E1047" w:rsidRDefault="002E1047" w:rsidP="002E1047">
            <w:pPr>
              <w:spacing w:after="0" w:line="240" w:lineRule="auto"/>
              <w:jc w:val="center"/>
              <w:outlineLvl w:val="0"/>
              <w:rPr>
                <w:rFonts w:eastAsia="Calibri" w:cs="Arial"/>
                <w:b/>
                <w:color w:val="000000"/>
                <w:kern w:val="0"/>
                <w:sz w:val="28"/>
                <w:szCs w:val="28"/>
                <w14:ligatures w14:val="none"/>
              </w:rPr>
            </w:pPr>
            <w:r w:rsidRPr="002E1047">
              <w:rPr>
                <w:rFonts w:eastAsia="Calibri" w:cs="Arial"/>
                <w:b/>
                <w:color w:val="000000"/>
                <w:kern w:val="0"/>
                <w:sz w:val="28"/>
                <w:szCs w:val="28"/>
                <w14:ligatures w14:val="none"/>
              </w:rPr>
              <w:t>Rule Title</w:t>
            </w:r>
          </w:p>
        </w:tc>
        <w:tc>
          <w:tcPr>
            <w:tcW w:w="4230" w:type="dxa"/>
            <w:shd w:val="clear" w:color="auto" w:fill="E2EFD9"/>
            <w:vAlign w:val="center"/>
          </w:tcPr>
          <w:p w14:paraId="566B4A32" w14:textId="77777777" w:rsidR="002E1047" w:rsidRPr="002E1047" w:rsidRDefault="002E1047" w:rsidP="002E1047">
            <w:pPr>
              <w:spacing w:after="0" w:line="240" w:lineRule="auto"/>
              <w:jc w:val="center"/>
              <w:outlineLvl w:val="0"/>
              <w:rPr>
                <w:rFonts w:eastAsia="Calibri" w:cs="Arial"/>
                <w:b/>
                <w:color w:val="000000"/>
                <w:kern w:val="0"/>
                <w:sz w:val="28"/>
                <w:szCs w:val="28"/>
                <w14:ligatures w14:val="none"/>
              </w:rPr>
            </w:pPr>
            <w:r w:rsidRPr="002E1047">
              <w:rPr>
                <w:rFonts w:eastAsia="Calibri" w:cs="Arial"/>
                <w:b/>
                <w:color w:val="000000"/>
                <w:kern w:val="0"/>
                <w:sz w:val="28"/>
                <w:szCs w:val="28"/>
                <w14:ligatures w14:val="none"/>
              </w:rPr>
              <w:t>Explanation</w:t>
            </w:r>
          </w:p>
        </w:tc>
      </w:tr>
      <w:tr w:rsidR="002E1047" w:rsidRPr="002E1047" w14:paraId="338BA03C" w14:textId="77777777" w:rsidTr="002E1047">
        <w:trPr>
          <w:trHeight w:val="19"/>
        </w:trPr>
        <w:tc>
          <w:tcPr>
            <w:tcW w:w="2047" w:type="dxa"/>
            <w:hideMark/>
          </w:tcPr>
          <w:p w14:paraId="3F4B6869" w14:textId="77777777" w:rsidR="002E1047" w:rsidRPr="002E1047" w:rsidRDefault="002E1047" w:rsidP="002E1047">
            <w:pPr>
              <w:spacing w:after="0" w:line="240" w:lineRule="auto"/>
              <w:jc w:val="center"/>
              <w:outlineLvl w:val="0"/>
              <w:rPr>
                <w:rFonts w:eastAsia="Calibri" w:cs="Arial"/>
                <w:color w:val="000000"/>
                <w:kern w:val="0"/>
                <w14:ligatures w14:val="none"/>
              </w:rPr>
            </w:pPr>
            <w:hyperlink r:id="rId30" w:history="1">
              <w:r w:rsidRPr="002E1047">
                <w:rPr>
                  <w:rFonts w:eastAsia="Calibri" w:cs="Arial"/>
                  <w:b/>
                  <w:bCs/>
                  <w:color w:val="0563C1"/>
                  <w:kern w:val="0"/>
                  <w:u w:val="single"/>
                  <w14:ligatures w14:val="none"/>
                </w:rPr>
                <w:t>340-270-0030</w:t>
              </w:r>
            </w:hyperlink>
          </w:p>
        </w:tc>
        <w:tc>
          <w:tcPr>
            <w:tcW w:w="3060" w:type="dxa"/>
            <w:hideMark/>
          </w:tcPr>
          <w:p w14:paraId="4AF16062" w14:textId="77777777" w:rsidR="002E1047" w:rsidRPr="002E1047" w:rsidRDefault="002E1047" w:rsidP="002E1047">
            <w:pPr>
              <w:autoSpaceDE w:val="0"/>
              <w:autoSpaceDN w:val="0"/>
              <w:spacing w:after="0" w:line="240" w:lineRule="auto"/>
              <w:outlineLvl w:val="0"/>
              <w:rPr>
                <w:rFonts w:eastAsia="Calibri" w:cs="Arial"/>
                <w:color w:val="000000"/>
                <w:kern w:val="0"/>
                <w14:ligatures w14:val="none"/>
              </w:rPr>
            </w:pPr>
            <w:r w:rsidRPr="002E1047">
              <w:rPr>
                <w:rFonts w:eastAsia="Calibri" w:cs="Arial"/>
                <w:bCs/>
                <w:color w:val="000000"/>
                <w:kern w:val="0"/>
                <w14:ligatures w14:val="none"/>
              </w:rPr>
              <w:t>Definitions and Abbreviations</w:t>
            </w:r>
          </w:p>
        </w:tc>
        <w:tc>
          <w:tcPr>
            <w:tcW w:w="4230" w:type="dxa"/>
          </w:tcPr>
          <w:p w14:paraId="290B5A15" w14:textId="77777777" w:rsidR="002E1047" w:rsidRPr="002E1047" w:rsidRDefault="002E1047" w:rsidP="002E1047">
            <w:pPr>
              <w:spacing w:after="0" w:line="240" w:lineRule="auto"/>
              <w:outlineLvl w:val="0"/>
              <w:rPr>
                <w:rFonts w:eastAsia="Calibri" w:cs="Arial"/>
                <w:bCs/>
                <w:kern w:val="0"/>
                <w:szCs w:val="32"/>
                <w14:ligatures w14:val="none"/>
              </w:rPr>
            </w:pPr>
            <w:r w:rsidRPr="002E1047">
              <w:rPr>
                <w:rFonts w:eastAsia="Calibri" w:cs="Arial"/>
                <w:bCs/>
                <w:kern w:val="0"/>
                <w:szCs w:val="32"/>
                <w14:ligatures w14:val="none"/>
              </w:rPr>
              <w:t>Update outdated citations and process references, clarify vehicle definitions and add new definitions</w:t>
            </w:r>
          </w:p>
        </w:tc>
      </w:tr>
      <w:tr w:rsidR="002E1047" w:rsidRPr="002E1047" w14:paraId="2045FACD" w14:textId="77777777" w:rsidTr="002E1047">
        <w:trPr>
          <w:trHeight w:val="19"/>
        </w:trPr>
        <w:tc>
          <w:tcPr>
            <w:tcW w:w="2047" w:type="dxa"/>
          </w:tcPr>
          <w:p w14:paraId="0E8EF804" w14:textId="77777777" w:rsidR="002E1047" w:rsidRPr="002E1047" w:rsidRDefault="002E1047" w:rsidP="002E1047">
            <w:pPr>
              <w:spacing w:after="0" w:line="240" w:lineRule="auto"/>
              <w:jc w:val="center"/>
              <w:outlineLvl w:val="0"/>
              <w:rPr>
                <w:rFonts w:eastAsia="Calibri" w:cs="Arial"/>
                <w:color w:val="000000"/>
                <w:kern w:val="0"/>
                <w14:ligatures w14:val="none"/>
              </w:rPr>
            </w:pPr>
            <w:hyperlink r:id="rId31" w:history="1">
              <w:r w:rsidRPr="002E1047">
                <w:rPr>
                  <w:rFonts w:eastAsia="Calibri" w:cs="Arial"/>
                  <w:b/>
                  <w:bCs/>
                  <w:color w:val="0563C1"/>
                  <w:kern w:val="0"/>
                  <w:u w:val="single"/>
                  <w14:ligatures w14:val="none"/>
                </w:rPr>
                <w:t>340-270-0100</w:t>
              </w:r>
            </w:hyperlink>
          </w:p>
        </w:tc>
        <w:tc>
          <w:tcPr>
            <w:tcW w:w="3060" w:type="dxa"/>
          </w:tcPr>
          <w:p w14:paraId="1DCD593E" w14:textId="77777777" w:rsidR="002E1047" w:rsidRPr="002E1047" w:rsidRDefault="002E1047" w:rsidP="002E1047">
            <w:pPr>
              <w:autoSpaceDE w:val="0"/>
              <w:autoSpaceDN w:val="0"/>
              <w:spacing w:after="0" w:line="240" w:lineRule="auto"/>
              <w:outlineLvl w:val="0"/>
              <w:rPr>
                <w:rFonts w:eastAsia="Calibri" w:cs="Arial"/>
                <w:color w:val="000000"/>
                <w:kern w:val="0"/>
                <w14:ligatures w14:val="none"/>
              </w:rPr>
            </w:pPr>
            <w:r w:rsidRPr="002E1047">
              <w:rPr>
                <w:rFonts w:eastAsia="Calibri" w:cs="Arial"/>
                <w:color w:val="000000"/>
                <w:kern w:val="0"/>
                <w14:ligatures w14:val="none"/>
              </w:rPr>
              <w:t>Vehicles Eligible for Zero-Emission Vehicle Standard Rebates</w:t>
            </w:r>
          </w:p>
        </w:tc>
        <w:tc>
          <w:tcPr>
            <w:tcW w:w="4230" w:type="dxa"/>
          </w:tcPr>
          <w:p w14:paraId="69E5644E" w14:textId="77777777" w:rsidR="002E1047" w:rsidRPr="002E1047" w:rsidRDefault="002E1047" w:rsidP="002E1047">
            <w:pPr>
              <w:spacing w:after="0" w:line="240" w:lineRule="auto"/>
              <w:outlineLvl w:val="0"/>
              <w:rPr>
                <w:rFonts w:eastAsia="Calibri" w:cs="Arial"/>
                <w:bCs/>
                <w:kern w:val="0"/>
                <w:szCs w:val="32"/>
                <w14:ligatures w14:val="none"/>
              </w:rPr>
            </w:pPr>
            <w:r w:rsidRPr="002E1047">
              <w:rPr>
                <w:rFonts w:eastAsia="Calibri" w:cs="Arial"/>
                <w:bCs/>
                <w:kern w:val="0"/>
                <w:szCs w:val="32"/>
                <w14:ligatures w14:val="none"/>
              </w:rPr>
              <w:t>Clarify vehicle eligibility</w:t>
            </w:r>
          </w:p>
        </w:tc>
      </w:tr>
      <w:tr w:rsidR="002E1047" w:rsidRPr="002E1047" w14:paraId="0DE42B8C" w14:textId="77777777" w:rsidTr="002E1047">
        <w:trPr>
          <w:trHeight w:val="19"/>
        </w:trPr>
        <w:tc>
          <w:tcPr>
            <w:tcW w:w="2047" w:type="dxa"/>
          </w:tcPr>
          <w:p w14:paraId="37B3449E" w14:textId="77777777" w:rsidR="002E1047" w:rsidRPr="002E1047" w:rsidRDefault="002E1047" w:rsidP="002E1047">
            <w:pPr>
              <w:spacing w:after="0" w:line="240" w:lineRule="auto"/>
              <w:jc w:val="center"/>
              <w:outlineLvl w:val="0"/>
              <w:rPr>
                <w:rFonts w:eastAsia="Calibri" w:cs="Times New Roman"/>
                <w:color w:val="000000"/>
                <w:kern w:val="0"/>
                <w14:ligatures w14:val="none"/>
              </w:rPr>
            </w:pPr>
            <w:hyperlink r:id="rId32" w:history="1">
              <w:r w:rsidRPr="002E1047">
                <w:rPr>
                  <w:rFonts w:eastAsia="Calibri" w:cs="Arial"/>
                  <w:b/>
                  <w:bCs/>
                  <w:color w:val="0563C1"/>
                  <w:kern w:val="0"/>
                  <w:u w:val="single"/>
                  <w14:ligatures w14:val="none"/>
                </w:rPr>
                <w:t>340-270-0110</w:t>
              </w:r>
            </w:hyperlink>
          </w:p>
        </w:tc>
        <w:tc>
          <w:tcPr>
            <w:tcW w:w="3060" w:type="dxa"/>
          </w:tcPr>
          <w:p w14:paraId="735C3970" w14:textId="77777777" w:rsidR="002E1047" w:rsidRPr="002E1047" w:rsidRDefault="002E1047" w:rsidP="002E1047">
            <w:pPr>
              <w:autoSpaceDE w:val="0"/>
              <w:autoSpaceDN w:val="0"/>
              <w:spacing w:after="0" w:line="240" w:lineRule="auto"/>
              <w:outlineLvl w:val="0"/>
              <w:rPr>
                <w:rFonts w:eastAsia="Calibri" w:cs="Arial"/>
                <w:color w:val="000000"/>
                <w:kern w:val="0"/>
                <w14:ligatures w14:val="none"/>
              </w:rPr>
            </w:pPr>
            <w:r w:rsidRPr="002E1047">
              <w:rPr>
                <w:rFonts w:eastAsia="Calibri" w:cs="Arial"/>
                <w:color w:val="000000"/>
                <w:kern w:val="0"/>
                <w14:ligatures w14:val="none"/>
              </w:rPr>
              <w:t>Amount of Zero-Emission Vehicle Standard Rebates</w:t>
            </w:r>
          </w:p>
        </w:tc>
        <w:tc>
          <w:tcPr>
            <w:tcW w:w="4230" w:type="dxa"/>
          </w:tcPr>
          <w:p w14:paraId="341467F0" w14:textId="77777777" w:rsidR="002E1047" w:rsidRPr="002E1047" w:rsidRDefault="002E1047" w:rsidP="002E1047">
            <w:pPr>
              <w:spacing w:after="0" w:line="240" w:lineRule="auto"/>
              <w:outlineLvl w:val="0"/>
              <w:rPr>
                <w:rFonts w:eastAsia="Calibri" w:cs="Arial"/>
                <w:bCs/>
                <w:kern w:val="0"/>
                <w:szCs w:val="32"/>
                <w14:ligatures w14:val="none"/>
              </w:rPr>
            </w:pPr>
            <w:r w:rsidRPr="002E1047">
              <w:rPr>
                <w:rFonts w:eastAsia="Calibri" w:cs="Arial"/>
                <w:bCs/>
                <w:kern w:val="0"/>
                <w:szCs w:val="32"/>
                <w14:ligatures w14:val="none"/>
              </w:rPr>
              <w:t>Decrease Standard Rebate amounts</w:t>
            </w:r>
          </w:p>
        </w:tc>
      </w:tr>
      <w:tr w:rsidR="002E1047" w:rsidRPr="002E1047" w14:paraId="45F70C3C" w14:textId="77777777" w:rsidTr="002E1047">
        <w:trPr>
          <w:trHeight w:val="19"/>
        </w:trPr>
        <w:tc>
          <w:tcPr>
            <w:tcW w:w="2047" w:type="dxa"/>
          </w:tcPr>
          <w:p w14:paraId="056746AC" w14:textId="77777777" w:rsidR="002E1047" w:rsidRPr="002E1047" w:rsidRDefault="002E1047" w:rsidP="002E1047">
            <w:pPr>
              <w:spacing w:after="0" w:line="240" w:lineRule="auto"/>
              <w:jc w:val="center"/>
              <w:outlineLvl w:val="0"/>
              <w:rPr>
                <w:rFonts w:eastAsia="Calibri" w:cs="Arial"/>
                <w:color w:val="000000"/>
                <w:kern w:val="0"/>
                <w14:ligatures w14:val="none"/>
              </w:rPr>
            </w:pPr>
            <w:hyperlink r:id="rId33" w:history="1">
              <w:r w:rsidRPr="002E1047">
                <w:rPr>
                  <w:rFonts w:eastAsia="Calibri" w:cs="Arial"/>
                  <w:b/>
                  <w:bCs/>
                  <w:color w:val="0563C1"/>
                  <w:kern w:val="0"/>
                  <w:u w:val="single"/>
                  <w14:ligatures w14:val="none"/>
                </w:rPr>
                <w:t>340-270-0120</w:t>
              </w:r>
            </w:hyperlink>
          </w:p>
        </w:tc>
        <w:tc>
          <w:tcPr>
            <w:tcW w:w="3060" w:type="dxa"/>
          </w:tcPr>
          <w:p w14:paraId="660ED96C" w14:textId="77777777" w:rsidR="002E1047" w:rsidRPr="002E1047" w:rsidRDefault="002E1047" w:rsidP="002E1047">
            <w:pPr>
              <w:autoSpaceDE w:val="0"/>
              <w:autoSpaceDN w:val="0"/>
              <w:spacing w:after="0" w:line="240" w:lineRule="auto"/>
              <w:outlineLvl w:val="0"/>
              <w:rPr>
                <w:rFonts w:eastAsia="Calibri" w:cs="Arial"/>
                <w:color w:val="000000"/>
                <w:kern w:val="0"/>
                <w14:ligatures w14:val="none"/>
              </w:rPr>
            </w:pPr>
            <w:r w:rsidRPr="002E1047">
              <w:rPr>
                <w:rFonts w:eastAsia="Calibri" w:cs="Arial"/>
                <w:color w:val="000000"/>
                <w:kern w:val="0"/>
                <w14:ligatures w14:val="none"/>
              </w:rPr>
              <w:t>Requirements for Zero-Emission Vehicle Standard Rebates</w:t>
            </w:r>
          </w:p>
        </w:tc>
        <w:tc>
          <w:tcPr>
            <w:tcW w:w="4230" w:type="dxa"/>
          </w:tcPr>
          <w:p w14:paraId="62B7F320" w14:textId="77777777" w:rsidR="002E1047" w:rsidRPr="002E1047" w:rsidRDefault="002E1047" w:rsidP="002E1047">
            <w:pPr>
              <w:spacing w:after="0" w:line="240" w:lineRule="auto"/>
              <w:outlineLvl w:val="0"/>
              <w:rPr>
                <w:rFonts w:eastAsia="Calibri" w:cs="Arial"/>
                <w:bCs/>
                <w:kern w:val="0"/>
                <w:szCs w:val="32"/>
                <w14:ligatures w14:val="none"/>
              </w:rPr>
            </w:pPr>
            <w:r w:rsidRPr="002E1047">
              <w:rPr>
                <w:rFonts w:eastAsia="Calibri" w:cs="Arial"/>
                <w:bCs/>
                <w:kern w:val="0"/>
                <w:szCs w:val="32"/>
                <w14:ligatures w14:val="none"/>
              </w:rPr>
              <w:t>Clarify the requirements for Standard Rebates and the application review process. Limit the number of Standard Rebates for individuals.</w:t>
            </w:r>
          </w:p>
        </w:tc>
      </w:tr>
      <w:tr w:rsidR="002E1047" w:rsidRPr="002E1047" w14:paraId="04D3F14F" w14:textId="77777777" w:rsidTr="002E1047">
        <w:trPr>
          <w:trHeight w:val="19"/>
        </w:trPr>
        <w:tc>
          <w:tcPr>
            <w:tcW w:w="2047" w:type="dxa"/>
          </w:tcPr>
          <w:p w14:paraId="319D2C12" w14:textId="77777777" w:rsidR="002E1047" w:rsidRPr="002E1047" w:rsidRDefault="002E1047" w:rsidP="002E1047">
            <w:pPr>
              <w:spacing w:after="0" w:line="240" w:lineRule="auto"/>
              <w:jc w:val="center"/>
              <w:outlineLvl w:val="0"/>
              <w:rPr>
                <w:rFonts w:eastAsia="Calibri" w:cs="Arial"/>
                <w:color w:val="000000"/>
                <w:kern w:val="0"/>
                <w14:ligatures w14:val="none"/>
              </w:rPr>
            </w:pPr>
            <w:hyperlink r:id="rId34" w:history="1">
              <w:r w:rsidRPr="002E1047">
                <w:rPr>
                  <w:rFonts w:eastAsia="Calibri" w:cs="Arial"/>
                  <w:b/>
                  <w:bCs/>
                  <w:color w:val="0563C1"/>
                  <w:kern w:val="0"/>
                  <w:u w:val="single"/>
                  <w14:ligatures w14:val="none"/>
                </w:rPr>
                <w:t>340-270-0200</w:t>
              </w:r>
            </w:hyperlink>
          </w:p>
        </w:tc>
        <w:tc>
          <w:tcPr>
            <w:tcW w:w="3060" w:type="dxa"/>
          </w:tcPr>
          <w:p w14:paraId="75B072F2" w14:textId="77777777" w:rsidR="002E1047" w:rsidRPr="002E1047" w:rsidRDefault="002E1047" w:rsidP="002E1047">
            <w:pPr>
              <w:autoSpaceDE w:val="0"/>
              <w:autoSpaceDN w:val="0"/>
              <w:spacing w:after="0" w:line="240" w:lineRule="auto"/>
              <w:outlineLvl w:val="0"/>
              <w:rPr>
                <w:rFonts w:eastAsia="Calibri" w:cs="Arial"/>
                <w:color w:val="000000"/>
                <w:kern w:val="0"/>
                <w14:ligatures w14:val="none"/>
              </w:rPr>
            </w:pPr>
            <w:r w:rsidRPr="002E1047">
              <w:rPr>
                <w:rFonts w:eastAsia="Calibri" w:cs="Arial"/>
                <w:color w:val="000000"/>
                <w:kern w:val="0"/>
                <w14:ligatures w14:val="none"/>
              </w:rPr>
              <w:t>Application Review Process</w:t>
            </w:r>
          </w:p>
        </w:tc>
        <w:tc>
          <w:tcPr>
            <w:tcW w:w="4230" w:type="dxa"/>
          </w:tcPr>
          <w:p w14:paraId="0D36A7E7" w14:textId="77777777" w:rsidR="002E1047" w:rsidRPr="002E1047" w:rsidRDefault="002E1047" w:rsidP="002E1047">
            <w:pPr>
              <w:spacing w:after="0" w:line="240" w:lineRule="auto"/>
              <w:outlineLvl w:val="0"/>
              <w:rPr>
                <w:rFonts w:eastAsia="Calibri" w:cs="Arial"/>
                <w:bCs/>
                <w:kern w:val="0"/>
                <w:szCs w:val="32"/>
                <w14:ligatures w14:val="none"/>
              </w:rPr>
            </w:pPr>
            <w:r w:rsidRPr="002E1047">
              <w:rPr>
                <w:rFonts w:eastAsia="Calibri" w:cs="Arial"/>
                <w:bCs/>
                <w:kern w:val="0"/>
                <w:szCs w:val="32"/>
                <w14:ligatures w14:val="none"/>
              </w:rPr>
              <w:t>Clarify the application review process</w:t>
            </w:r>
          </w:p>
        </w:tc>
      </w:tr>
      <w:tr w:rsidR="002E1047" w:rsidRPr="002E1047" w14:paraId="3E157D8B" w14:textId="77777777" w:rsidTr="002E1047">
        <w:trPr>
          <w:trHeight w:val="19"/>
        </w:trPr>
        <w:tc>
          <w:tcPr>
            <w:tcW w:w="2047" w:type="dxa"/>
          </w:tcPr>
          <w:p w14:paraId="51DD1381" w14:textId="77777777" w:rsidR="002E1047" w:rsidRPr="002E1047" w:rsidRDefault="002E1047" w:rsidP="002E1047">
            <w:pPr>
              <w:spacing w:after="0" w:line="240" w:lineRule="auto"/>
              <w:jc w:val="center"/>
              <w:outlineLvl w:val="0"/>
              <w:rPr>
                <w:rFonts w:eastAsia="Calibri" w:cs="Arial"/>
                <w:color w:val="000000"/>
                <w:kern w:val="0"/>
                <w14:ligatures w14:val="none"/>
              </w:rPr>
            </w:pPr>
            <w:hyperlink r:id="rId35" w:history="1">
              <w:r w:rsidRPr="002E1047">
                <w:rPr>
                  <w:rFonts w:eastAsia="Calibri" w:cs="Arial"/>
                  <w:b/>
                  <w:bCs/>
                  <w:color w:val="0563C1"/>
                  <w:kern w:val="0"/>
                  <w:u w:val="single"/>
                  <w14:ligatures w14:val="none"/>
                </w:rPr>
                <w:t>340-270-0400</w:t>
              </w:r>
            </w:hyperlink>
          </w:p>
        </w:tc>
        <w:tc>
          <w:tcPr>
            <w:tcW w:w="3060" w:type="dxa"/>
          </w:tcPr>
          <w:p w14:paraId="2942115C" w14:textId="77777777" w:rsidR="002E1047" w:rsidRPr="002E1047" w:rsidRDefault="002E1047" w:rsidP="002E1047">
            <w:pPr>
              <w:autoSpaceDE w:val="0"/>
              <w:autoSpaceDN w:val="0"/>
              <w:spacing w:after="0" w:line="240" w:lineRule="auto"/>
              <w:outlineLvl w:val="0"/>
              <w:rPr>
                <w:rFonts w:eastAsia="Calibri" w:cs="Arial"/>
                <w:color w:val="000000"/>
                <w:kern w:val="0"/>
                <w14:ligatures w14:val="none"/>
              </w:rPr>
            </w:pPr>
            <w:r w:rsidRPr="002E1047">
              <w:rPr>
                <w:rFonts w:eastAsia="Calibri" w:cs="Arial"/>
                <w:color w:val="000000"/>
                <w:kern w:val="0"/>
                <w14:ligatures w14:val="none"/>
              </w:rPr>
              <w:t>Charge Ahead Program</w:t>
            </w:r>
          </w:p>
        </w:tc>
        <w:tc>
          <w:tcPr>
            <w:tcW w:w="4230" w:type="dxa"/>
          </w:tcPr>
          <w:p w14:paraId="66A0B390" w14:textId="77777777" w:rsidR="002E1047" w:rsidRPr="002E1047" w:rsidRDefault="002E1047" w:rsidP="002E1047">
            <w:pPr>
              <w:spacing w:after="0" w:line="240" w:lineRule="auto"/>
              <w:outlineLvl w:val="0"/>
              <w:rPr>
                <w:rFonts w:eastAsia="Calibri" w:cs="Arial"/>
                <w:bCs/>
                <w:kern w:val="0"/>
                <w:szCs w:val="32"/>
                <w14:ligatures w14:val="none"/>
              </w:rPr>
            </w:pPr>
            <w:r w:rsidRPr="002E1047">
              <w:rPr>
                <w:rFonts w:eastAsia="Calibri" w:cs="Arial"/>
                <w:bCs/>
                <w:kern w:val="0"/>
                <w:szCs w:val="32"/>
                <w14:ligatures w14:val="none"/>
              </w:rPr>
              <w:t>Clarify vehicle references</w:t>
            </w:r>
          </w:p>
        </w:tc>
      </w:tr>
      <w:tr w:rsidR="002E1047" w:rsidRPr="002E1047" w14:paraId="38B9DDDE" w14:textId="77777777" w:rsidTr="002E1047">
        <w:trPr>
          <w:trHeight w:val="19"/>
        </w:trPr>
        <w:tc>
          <w:tcPr>
            <w:tcW w:w="2047" w:type="dxa"/>
          </w:tcPr>
          <w:p w14:paraId="597E1C5B" w14:textId="77777777" w:rsidR="002E1047" w:rsidRPr="002E1047" w:rsidRDefault="002E1047" w:rsidP="002E1047">
            <w:pPr>
              <w:spacing w:after="0" w:line="240" w:lineRule="auto"/>
              <w:jc w:val="center"/>
              <w:outlineLvl w:val="0"/>
              <w:rPr>
                <w:rFonts w:eastAsia="Calibri" w:cs="Arial"/>
                <w:color w:val="000000"/>
                <w:kern w:val="0"/>
                <w14:ligatures w14:val="none"/>
              </w:rPr>
            </w:pPr>
            <w:hyperlink r:id="rId36" w:history="1">
              <w:r w:rsidRPr="002E1047">
                <w:rPr>
                  <w:rFonts w:eastAsia="Calibri" w:cs="Arial"/>
                  <w:b/>
                  <w:bCs/>
                  <w:color w:val="0563C1"/>
                  <w:kern w:val="0"/>
                  <w:u w:val="single"/>
                  <w14:ligatures w14:val="none"/>
                </w:rPr>
                <w:t>340-270-0410</w:t>
              </w:r>
            </w:hyperlink>
          </w:p>
        </w:tc>
        <w:tc>
          <w:tcPr>
            <w:tcW w:w="3060" w:type="dxa"/>
          </w:tcPr>
          <w:p w14:paraId="5612A740" w14:textId="77777777" w:rsidR="002E1047" w:rsidRPr="002E1047" w:rsidRDefault="002E1047" w:rsidP="002E1047">
            <w:pPr>
              <w:autoSpaceDE w:val="0"/>
              <w:autoSpaceDN w:val="0"/>
              <w:spacing w:after="0" w:line="240" w:lineRule="auto"/>
              <w:outlineLvl w:val="0"/>
              <w:rPr>
                <w:rFonts w:eastAsia="Calibri" w:cs="Arial"/>
                <w:color w:val="000000"/>
                <w:kern w:val="0"/>
                <w14:ligatures w14:val="none"/>
              </w:rPr>
            </w:pPr>
            <w:r w:rsidRPr="002E1047">
              <w:rPr>
                <w:rFonts w:eastAsia="Calibri" w:cs="Arial"/>
                <w:color w:val="000000"/>
                <w:kern w:val="0"/>
                <w14:ligatures w14:val="none"/>
              </w:rPr>
              <w:t>Vehicles Eligible for the Charge Ahead Program</w:t>
            </w:r>
          </w:p>
        </w:tc>
        <w:tc>
          <w:tcPr>
            <w:tcW w:w="4230" w:type="dxa"/>
          </w:tcPr>
          <w:p w14:paraId="24A71413" w14:textId="77777777" w:rsidR="002E1047" w:rsidRPr="002E1047" w:rsidRDefault="002E1047" w:rsidP="002E1047">
            <w:pPr>
              <w:spacing w:after="0" w:line="240" w:lineRule="auto"/>
              <w:outlineLvl w:val="0"/>
              <w:rPr>
                <w:rFonts w:eastAsia="Calibri" w:cs="Arial"/>
                <w:bCs/>
                <w:kern w:val="0"/>
                <w:szCs w:val="32"/>
                <w14:ligatures w14:val="none"/>
              </w:rPr>
            </w:pPr>
            <w:r w:rsidRPr="002E1047">
              <w:rPr>
                <w:rFonts w:eastAsia="Calibri" w:cs="Arial"/>
                <w:bCs/>
                <w:kern w:val="0"/>
                <w:szCs w:val="32"/>
                <w14:ligatures w14:val="none"/>
              </w:rPr>
              <w:t>Clarify vehicle references and eligibility</w:t>
            </w:r>
          </w:p>
        </w:tc>
      </w:tr>
      <w:tr w:rsidR="002E1047" w:rsidRPr="002E1047" w14:paraId="3095E34F" w14:textId="77777777" w:rsidTr="002E1047">
        <w:trPr>
          <w:trHeight w:val="19"/>
        </w:trPr>
        <w:tc>
          <w:tcPr>
            <w:tcW w:w="2047" w:type="dxa"/>
          </w:tcPr>
          <w:p w14:paraId="4D8153A2" w14:textId="77777777" w:rsidR="002E1047" w:rsidRPr="002E1047" w:rsidRDefault="002E1047" w:rsidP="002E1047">
            <w:pPr>
              <w:spacing w:after="0" w:line="240" w:lineRule="auto"/>
              <w:jc w:val="center"/>
              <w:outlineLvl w:val="0"/>
              <w:rPr>
                <w:rFonts w:eastAsia="Calibri" w:cs="Arial"/>
                <w:color w:val="000000"/>
                <w:kern w:val="0"/>
                <w14:ligatures w14:val="none"/>
              </w:rPr>
            </w:pPr>
            <w:hyperlink r:id="rId37" w:history="1">
              <w:r w:rsidRPr="002E1047">
                <w:rPr>
                  <w:rFonts w:eastAsia="Calibri" w:cs="Arial"/>
                  <w:b/>
                  <w:bCs/>
                  <w:color w:val="0563C1"/>
                  <w:kern w:val="0"/>
                  <w:u w:val="single"/>
                  <w14:ligatures w14:val="none"/>
                </w:rPr>
                <w:t>340-270-0420</w:t>
              </w:r>
            </w:hyperlink>
          </w:p>
        </w:tc>
        <w:tc>
          <w:tcPr>
            <w:tcW w:w="3060" w:type="dxa"/>
          </w:tcPr>
          <w:p w14:paraId="75723A5A" w14:textId="77777777" w:rsidR="002E1047" w:rsidRPr="002E1047" w:rsidRDefault="002E1047" w:rsidP="002E1047">
            <w:pPr>
              <w:autoSpaceDE w:val="0"/>
              <w:autoSpaceDN w:val="0"/>
              <w:spacing w:after="0" w:line="240" w:lineRule="auto"/>
              <w:outlineLvl w:val="0"/>
              <w:rPr>
                <w:rFonts w:eastAsia="Calibri" w:cs="Arial"/>
                <w:color w:val="000000"/>
                <w:kern w:val="0"/>
                <w14:ligatures w14:val="none"/>
              </w:rPr>
            </w:pPr>
            <w:r w:rsidRPr="002E1047">
              <w:rPr>
                <w:rFonts w:eastAsia="Calibri" w:cs="Arial"/>
                <w:color w:val="000000"/>
                <w:kern w:val="0"/>
                <w14:ligatures w14:val="none"/>
              </w:rPr>
              <w:t>Amount of Charge Ahead Program Rebate</w:t>
            </w:r>
          </w:p>
        </w:tc>
        <w:tc>
          <w:tcPr>
            <w:tcW w:w="4230" w:type="dxa"/>
          </w:tcPr>
          <w:p w14:paraId="3A3579FE" w14:textId="77777777" w:rsidR="002E1047" w:rsidRPr="002E1047" w:rsidRDefault="002E1047" w:rsidP="002E1047">
            <w:pPr>
              <w:spacing w:after="0" w:line="240" w:lineRule="auto"/>
              <w:outlineLvl w:val="0"/>
              <w:rPr>
                <w:rFonts w:eastAsia="Calibri" w:cs="Arial"/>
                <w:bCs/>
                <w:kern w:val="0"/>
                <w:szCs w:val="32"/>
                <w14:ligatures w14:val="none"/>
              </w:rPr>
            </w:pPr>
            <w:r w:rsidRPr="002E1047">
              <w:rPr>
                <w:rFonts w:eastAsia="Calibri" w:cs="Arial"/>
                <w:bCs/>
                <w:kern w:val="0"/>
                <w:szCs w:val="32"/>
                <w14:ligatures w14:val="none"/>
              </w:rPr>
              <w:t>Decrease the Charge Ahead Rebate amount for used vehicles</w:t>
            </w:r>
          </w:p>
        </w:tc>
      </w:tr>
      <w:tr w:rsidR="002E1047" w:rsidRPr="002E1047" w14:paraId="34C34881" w14:textId="77777777" w:rsidTr="002E1047">
        <w:trPr>
          <w:trHeight w:val="19"/>
        </w:trPr>
        <w:tc>
          <w:tcPr>
            <w:tcW w:w="2047" w:type="dxa"/>
          </w:tcPr>
          <w:p w14:paraId="013E25F8" w14:textId="77777777" w:rsidR="002E1047" w:rsidRPr="002E1047" w:rsidRDefault="002E1047" w:rsidP="002E1047">
            <w:pPr>
              <w:spacing w:after="0" w:line="240" w:lineRule="auto"/>
              <w:jc w:val="center"/>
              <w:outlineLvl w:val="0"/>
              <w:rPr>
                <w:rFonts w:eastAsia="Calibri" w:cs="Arial"/>
                <w:color w:val="000000"/>
                <w:kern w:val="0"/>
                <w14:ligatures w14:val="none"/>
              </w:rPr>
            </w:pPr>
            <w:hyperlink r:id="rId38" w:history="1">
              <w:r w:rsidRPr="002E1047">
                <w:rPr>
                  <w:rFonts w:eastAsia="Calibri" w:cs="Arial"/>
                  <w:b/>
                  <w:bCs/>
                  <w:color w:val="0563C1"/>
                  <w:kern w:val="0"/>
                  <w:u w:val="single"/>
                  <w14:ligatures w14:val="none"/>
                </w:rPr>
                <w:t>340-270-0430</w:t>
              </w:r>
            </w:hyperlink>
          </w:p>
        </w:tc>
        <w:tc>
          <w:tcPr>
            <w:tcW w:w="3060" w:type="dxa"/>
          </w:tcPr>
          <w:p w14:paraId="48434D85" w14:textId="77777777" w:rsidR="002E1047" w:rsidRPr="002E1047" w:rsidRDefault="002E1047" w:rsidP="002E1047">
            <w:pPr>
              <w:autoSpaceDE w:val="0"/>
              <w:autoSpaceDN w:val="0"/>
              <w:spacing w:after="0" w:line="240" w:lineRule="auto"/>
              <w:outlineLvl w:val="0"/>
              <w:rPr>
                <w:rFonts w:eastAsia="Calibri" w:cs="Arial"/>
                <w:color w:val="000000"/>
                <w:kern w:val="0"/>
                <w14:ligatures w14:val="none"/>
              </w:rPr>
            </w:pPr>
            <w:r w:rsidRPr="002E1047">
              <w:rPr>
                <w:rFonts w:eastAsia="Calibri" w:cs="Arial"/>
                <w:color w:val="000000"/>
                <w:kern w:val="0"/>
                <w14:ligatures w14:val="none"/>
              </w:rPr>
              <w:t>Requirements for Charge Ahead Program Rebates</w:t>
            </w:r>
          </w:p>
        </w:tc>
        <w:tc>
          <w:tcPr>
            <w:tcW w:w="4230" w:type="dxa"/>
          </w:tcPr>
          <w:p w14:paraId="5901CA85" w14:textId="77777777" w:rsidR="002E1047" w:rsidRPr="002E1047" w:rsidRDefault="002E1047" w:rsidP="002E1047">
            <w:pPr>
              <w:spacing w:after="0" w:line="240" w:lineRule="auto"/>
              <w:outlineLvl w:val="0"/>
              <w:rPr>
                <w:rFonts w:eastAsia="Calibri" w:cs="Arial"/>
                <w:bCs/>
                <w:kern w:val="0"/>
                <w:szCs w:val="32"/>
                <w14:ligatures w14:val="none"/>
              </w:rPr>
            </w:pPr>
            <w:r w:rsidRPr="002E1047">
              <w:rPr>
                <w:rFonts w:eastAsia="Calibri" w:cs="Arial"/>
                <w:bCs/>
                <w:kern w:val="0"/>
                <w:szCs w:val="32"/>
                <w14:ligatures w14:val="none"/>
              </w:rPr>
              <w:t>Clarify applicant and rebate eligibility and the rebate review process. Limit the number Charge Ahead Rebates for individuals</w:t>
            </w:r>
          </w:p>
        </w:tc>
      </w:tr>
      <w:tr w:rsidR="002E1047" w:rsidRPr="002E1047" w14:paraId="4F1489CC" w14:textId="77777777" w:rsidTr="002E1047">
        <w:trPr>
          <w:trHeight w:val="19"/>
        </w:trPr>
        <w:tc>
          <w:tcPr>
            <w:tcW w:w="2047" w:type="dxa"/>
          </w:tcPr>
          <w:p w14:paraId="42C13DD4" w14:textId="77777777" w:rsidR="002E1047" w:rsidRPr="002E1047" w:rsidRDefault="002E1047" w:rsidP="002E1047">
            <w:pPr>
              <w:spacing w:after="0" w:line="240" w:lineRule="auto"/>
              <w:jc w:val="center"/>
              <w:outlineLvl w:val="0"/>
              <w:rPr>
                <w:rFonts w:eastAsia="Calibri" w:cs="Arial"/>
                <w:color w:val="000000"/>
                <w:kern w:val="0"/>
                <w14:ligatures w14:val="none"/>
              </w:rPr>
            </w:pPr>
            <w:hyperlink r:id="rId39" w:history="1">
              <w:r w:rsidRPr="002E1047">
                <w:rPr>
                  <w:rFonts w:eastAsia="Calibri" w:cs="Arial"/>
                  <w:b/>
                  <w:bCs/>
                  <w:color w:val="0563C1"/>
                  <w:kern w:val="0"/>
                  <w:u w:val="single"/>
                  <w14:ligatures w14:val="none"/>
                </w:rPr>
                <w:t>340-270-0600</w:t>
              </w:r>
            </w:hyperlink>
          </w:p>
        </w:tc>
        <w:tc>
          <w:tcPr>
            <w:tcW w:w="3060" w:type="dxa"/>
          </w:tcPr>
          <w:p w14:paraId="0A6DB401" w14:textId="77777777" w:rsidR="002E1047" w:rsidRPr="002E1047" w:rsidRDefault="002E1047" w:rsidP="002E1047">
            <w:pPr>
              <w:autoSpaceDE w:val="0"/>
              <w:autoSpaceDN w:val="0"/>
              <w:spacing w:after="0" w:line="240" w:lineRule="auto"/>
              <w:outlineLvl w:val="0"/>
              <w:rPr>
                <w:rFonts w:eastAsia="Calibri" w:cs="Arial"/>
                <w:color w:val="000000"/>
                <w:kern w:val="0"/>
                <w14:ligatures w14:val="none"/>
              </w:rPr>
            </w:pPr>
            <w:r w:rsidRPr="002E1047">
              <w:rPr>
                <w:rFonts w:eastAsia="Calibri" w:cs="Arial"/>
                <w:color w:val="000000"/>
                <w:kern w:val="0"/>
                <w14:ligatures w14:val="none"/>
              </w:rPr>
              <w:t>Vehicles Qualifying for Zero-Emission Medium- and Heavy-Duty Vehicle Rebates</w:t>
            </w:r>
          </w:p>
        </w:tc>
        <w:tc>
          <w:tcPr>
            <w:tcW w:w="4230" w:type="dxa"/>
          </w:tcPr>
          <w:p w14:paraId="2D9F3081" w14:textId="77777777" w:rsidR="002E1047" w:rsidRPr="002E1047" w:rsidRDefault="002E1047" w:rsidP="002E1047">
            <w:pPr>
              <w:spacing w:after="0" w:line="240" w:lineRule="auto"/>
              <w:outlineLvl w:val="0"/>
              <w:rPr>
                <w:rFonts w:eastAsia="Calibri" w:cs="Arial"/>
                <w:bCs/>
                <w:kern w:val="0"/>
                <w:szCs w:val="32"/>
                <w14:ligatures w14:val="none"/>
              </w:rPr>
            </w:pPr>
            <w:r w:rsidRPr="002E1047">
              <w:rPr>
                <w:rFonts w:eastAsia="Calibri" w:cs="Arial"/>
                <w:bCs/>
                <w:kern w:val="0"/>
                <w:szCs w:val="32"/>
                <w14:ligatures w14:val="none"/>
              </w:rPr>
              <w:t>Clarify eligibility</w:t>
            </w:r>
          </w:p>
        </w:tc>
      </w:tr>
      <w:tr w:rsidR="002E1047" w:rsidRPr="002E1047" w14:paraId="533993B3" w14:textId="77777777" w:rsidTr="002E1047">
        <w:trPr>
          <w:trHeight w:val="19"/>
        </w:trPr>
        <w:tc>
          <w:tcPr>
            <w:tcW w:w="2047" w:type="dxa"/>
          </w:tcPr>
          <w:p w14:paraId="61F73525" w14:textId="77777777" w:rsidR="002E1047" w:rsidRPr="002E1047" w:rsidRDefault="002E1047" w:rsidP="002E1047">
            <w:pPr>
              <w:spacing w:after="0" w:line="240" w:lineRule="auto"/>
              <w:jc w:val="center"/>
              <w:outlineLvl w:val="0"/>
              <w:rPr>
                <w:rFonts w:eastAsia="Calibri" w:cs="Arial"/>
                <w:color w:val="000000"/>
                <w:kern w:val="0"/>
                <w14:ligatures w14:val="none"/>
              </w:rPr>
            </w:pPr>
            <w:hyperlink r:id="rId40" w:history="1">
              <w:r w:rsidRPr="002E1047">
                <w:rPr>
                  <w:rFonts w:eastAsia="Calibri" w:cs="Arial"/>
                  <w:b/>
                  <w:bCs/>
                  <w:color w:val="0563C1"/>
                  <w:kern w:val="0"/>
                  <w:u w:val="single"/>
                  <w14:ligatures w14:val="none"/>
                </w:rPr>
                <w:t>340-270-0620</w:t>
              </w:r>
            </w:hyperlink>
          </w:p>
        </w:tc>
        <w:tc>
          <w:tcPr>
            <w:tcW w:w="3060" w:type="dxa"/>
          </w:tcPr>
          <w:p w14:paraId="63BEA4B5" w14:textId="77777777" w:rsidR="002E1047" w:rsidRPr="002E1047" w:rsidRDefault="002E1047" w:rsidP="002E1047">
            <w:pPr>
              <w:autoSpaceDE w:val="0"/>
              <w:autoSpaceDN w:val="0"/>
              <w:spacing w:after="0" w:line="240" w:lineRule="auto"/>
              <w:outlineLvl w:val="0"/>
              <w:rPr>
                <w:rFonts w:eastAsia="Calibri" w:cs="Arial"/>
                <w:color w:val="000000"/>
                <w:kern w:val="0"/>
                <w14:ligatures w14:val="none"/>
              </w:rPr>
            </w:pPr>
            <w:r w:rsidRPr="002E1047">
              <w:rPr>
                <w:rFonts w:eastAsia="Calibri" w:cs="Arial"/>
                <w:color w:val="000000"/>
                <w:kern w:val="0"/>
                <w14:ligatures w14:val="none"/>
              </w:rPr>
              <w:t>Overview of ZERO Fleet Rebate Process</w:t>
            </w:r>
          </w:p>
        </w:tc>
        <w:tc>
          <w:tcPr>
            <w:tcW w:w="4230" w:type="dxa"/>
          </w:tcPr>
          <w:p w14:paraId="23C18C8C" w14:textId="77777777" w:rsidR="002E1047" w:rsidRPr="002E1047" w:rsidRDefault="002E1047" w:rsidP="002E1047">
            <w:pPr>
              <w:spacing w:after="0" w:line="240" w:lineRule="auto"/>
              <w:outlineLvl w:val="0"/>
              <w:rPr>
                <w:rFonts w:eastAsia="Calibri" w:cs="Arial"/>
                <w:bCs/>
                <w:kern w:val="0"/>
                <w:szCs w:val="32"/>
                <w14:ligatures w14:val="none"/>
              </w:rPr>
            </w:pPr>
            <w:r w:rsidRPr="002E1047">
              <w:rPr>
                <w:rFonts w:eastAsia="Calibri" w:cs="Arial"/>
                <w:bCs/>
                <w:kern w:val="0"/>
                <w:szCs w:val="32"/>
                <w14:ligatures w14:val="none"/>
              </w:rPr>
              <w:t>Enable rebate reservation flexibility</w:t>
            </w:r>
          </w:p>
        </w:tc>
      </w:tr>
      <w:tr w:rsidR="002E1047" w:rsidRPr="002E1047" w14:paraId="7B400208" w14:textId="77777777" w:rsidTr="002E1047">
        <w:trPr>
          <w:trHeight w:val="19"/>
        </w:trPr>
        <w:tc>
          <w:tcPr>
            <w:tcW w:w="2047" w:type="dxa"/>
          </w:tcPr>
          <w:p w14:paraId="62E426BF" w14:textId="77777777" w:rsidR="002E1047" w:rsidRPr="002E1047" w:rsidRDefault="002E1047" w:rsidP="002E1047">
            <w:pPr>
              <w:spacing w:after="0" w:line="240" w:lineRule="auto"/>
              <w:jc w:val="center"/>
              <w:outlineLvl w:val="0"/>
              <w:rPr>
                <w:rFonts w:eastAsia="Calibri" w:cs="Arial"/>
                <w:color w:val="000000"/>
                <w:kern w:val="0"/>
                <w14:ligatures w14:val="none"/>
              </w:rPr>
            </w:pPr>
            <w:hyperlink r:id="rId41" w:history="1">
              <w:r w:rsidRPr="002E1047">
                <w:rPr>
                  <w:rFonts w:eastAsia="Calibri" w:cs="Arial"/>
                  <w:b/>
                  <w:bCs/>
                  <w:color w:val="0563C1"/>
                  <w:kern w:val="0"/>
                  <w:u w:val="single"/>
                  <w14:ligatures w14:val="none"/>
                </w:rPr>
                <w:t>340-270-0660</w:t>
              </w:r>
            </w:hyperlink>
          </w:p>
        </w:tc>
        <w:tc>
          <w:tcPr>
            <w:tcW w:w="3060" w:type="dxa"/>
          </w:tcPr>
          <w:p w14:paraId="65AF5CBA" w14:textId="77777777" w:rsidR="002E1047" w:rsidRPr="002E1047" w:rsidRDefault="002E1047" w:rsidP="002E1047">
            <w:pPr>
              <w:autoSpaceDE w:val="0"/>
              <w:autoSpaceDN w:val="0"/>
              <w:spacing w:after="0" w:line="240" w:lineRule="auto"/>
              <w:outlineLvl w:val="0"/>
              <w:rPr>
                <w:rFonts w:eastAsia="Calibri" w:cs="Arial"/>
                <w:color w:val="000000"/>
                <w:kern w:val="0"/>
                <w14:ligatures w14:val="none"/>
              </w:rPr>
            </w:pPr>
            <w:r w:rsidRPr="002E1047">
              <w:rPr>
                <w:rFonts w:eastAsia="Calibri" w:cs="Arial"/>
                <w:color w:val="000000"/>
                <w:kern w:val="0"/>
                <w14:ligatures w14:val="none"/>
              </w:rPr>
              <w:t>Conditions to Award of Rebate Funds</w:t>
            </w:r>
          </w:p>
        </w:tc>
        <w:tc>
          <w:tcPr>
            <w:tcW w:w="4230" w:type="dxa"/>
          </w:tcPr>
          <w:p w14:paraId="138548A1" w14:textId="77777777" w:rsidR="002E1047" w:rsidRPr="002E1047" w:rsidRDefault="002E1047" w:rsidP="002E1047">
            <w:pPr>
              <w:spacing w:after="0" w:line="240" w:lineRule="auto"/>
              <w:outlineLvl w:val="0"/>
              <w:rPr>
                <w:rFonts w:eastAsia="Calibri" w:cs="Arial"/>
                <w:bCs/>
                <w:kern w:val="0"/>
                <w:szCs w:val="32"/>
                <w14:ligatures w14:val="none"/>
              </w:rPr>
            </w:pPr>
            <w:r w:rsidRPr="002E1047">
              <w:rPr>
                <w:rFonts w:eastAsia="Calibri" w:cs="Arial"/>
                <w:bCs/>
                <w:kern w:val="0"/>
                <w:szCs w:val="32"/>
                <w14:ligatures w14:val="none"/>
              </w:rPr>
              <w:t>Clarify application review and eligibility requirements</w:t>
            </w:r>
          </w:p>
        </w:tc>
      </w:tr>
      <w:tr w:rsidR="002E1047" w:rsidRPr="002E1047" w14:paraId="277BF322" w14:textId="77777777" w:rsidTr="002E1047">
        <w:trPr>
          <w:trHeight w:val="19"/>
        </w:trPr>
        <w:tc>
          <w:tcPr>
            <w:tcW w:w="2047" w:type="dxa"/>
          </w:tcPr>
          <w:p w14:paraId="619AD9ED" w14:textId="77777777" w:rsidR="002E1047" w:rsidRPr="002E1047" w:rsidRDefault="002E1047" w:rsidP="002E1047">
            <w:pPr>
              <w:spacing w:after="0" w:line="240" w:lineRule="auto"/>
              <w:jc w:val="center"/>
              <w:outlineLvl w:val="0"/>
              <w:rPr>
                <w:rFonts w:eastAsia="Calibri" w:cs="Times New Roman"/>
                <w:color w:val="000000"/>
                <w:kern w:val="0"/>
                <w14:ligatures w14:val="none"/>
              </w:rPr>
            </w:pPr>
            <w:hyperlink r:id="rId42" w:history="1">
              <w:r w:rsidRPr="002E1047">
                <w:rPr>
                  <w:rFonts w:eastAsia="Calibri" w:cs="Arial"/>
                  <w:b/>
                  <w:bCs/>
                  <w:color w:val="0563C1"/>
                  <w:kern w:val="0"/>
                  <w:u w:val="single"/>
                  <w14:ligatures w14:val="none"/>
                </w:rPr>
                <w:t>340-270-0670</w:t>
              </w:r>
            </w:hyperlink>
          </w:p>
        </w:tc>
        <w:tc>
          <w:tcPr>
            <w:tcW w:w="3060" w:type="dxa"/>
          </w:tcPr>
          <w:p w14:paraId="0CA73E08" w14:textId="77777777" w:rsidR="002E1047" w:rsidRPr="002E1047" w:rsidRDefault="002E1047" w:rsidP="002E1047">
            <w:pPr>
              <w:autoSpaceDE w:val="0"/>
              <w:autoSpaceDN w:val="0"/>
              <w:spacing w:after="0" w:line="240" w:lineRule="auto"/>
              <w:outlineLvl w:val="0"/>
              <w:rPr>
                <w:rFonts w:eastAsia="Calibri" w:cs="Arial"/>
                <w:color w:val="000000"/>
                <w:kern w:val="0"/>
                <w14:ligatures w14:val="none"/>
              </w:rPr>
            </w:pPr>
            <w:r w:rsidRPr="002E1047">
              <w:rPr>
                <w:rFonts w:eastAsia="Calibri" w:cs="Arial"/>
                <w:bCs/>
                <w:color w:val="000000"/>
                <w:kern w:val="0"/>
                <w14:ligatures w14:val="none"/>
              </w:rPr>
              <w:t>Post-Rebate Conditions</w:t>
            </w:r>
          </w:p>
        </w:tc>
        <w:tc>
          <w:tcPr>
            <w:tcW w:w="4230" w:type="dxa"/>
          </w:tcPr>
          <w:p w14:paraId="07035FB9" w14:textId="77777777" w:rsidR="002E1047" w:rsidRPr="002E1047" w:rsidRDefault="002E1047" w:rsidP="002E1047">
            <w:pPr>
              <w:spacing w:after="0" w:line="240" w:lineRule="auto"/>
              <w:outlineLvl w:val="0"/>
              <w:rPr>
                <w:rFonts w:eastAsia="Calibri" w:cs="Arial"/>
                <w:bCs/>
                <w:kern w:val="0"/>
                <w:szCs w:val="32"/>
                <w14:ligatures w14:val="none"/>
              </w:rPr>
            </w:pPr>
            <w:r w:rsidRPr="002E1047">
              <w:rPr>
                <w:rFonts w:eastAsia="Calibri" w:cs="Arial"/>
                <w:bCs/>
                <w:kern w:val="0"/>
                <w:szCs w:val="32"/>
                <w14:ligatures w14:val="none"/>
              </w:rPr>
              <w:t>Clarify DEQ review process</w:t>
            </w:r>
          </w:p>
        </w:tc>
      </w:tr>
      <w:tr w:rsidR="002E1047" w:rsidRPr="002E1047" w14:paraId="496F63B6" w14:textId="77777777" w:rsidTr="002E1047">
        <w:trPr>
          <w:trHeight w:val="19"/>
        </w:trPr>
        <w:tc>
          <w:tcPr>
            <w:tcW w:w="2047" w:type="dxa"/>
          </w:tcPr>
          <w:p w14:paraId="592B184C" w14:textId="77777777" w:rsidR="002E1047" w:rsidRPr="002E1047" w:rsidRDefault="002E1047" w:rsidP="002E1047">
            <w:pPr>
              <w:spacing w:after="0" w:line="240" w:lineRule="auto"/>
              <w:jc w:val="center"/>
              <w:outlineLvl w:val="0"/>
              <w:rPr>
                <w:rFonts w:eastAsia="Calibri" w:cs="Arial"/>
                <w:color w:val="000000"/>
                <w:kern w:val="0"/>
                <w14:ligatures w14:val="none"/>
              </w:rPr>
            </w:pPr>
            <w:hyperlink r:id="rId43">
              <w:r w:rsidRPr="002E1047">
                <w:rPr>
                  <w:rFonts w:eastAsia="Calibri" w:cs="Arial"/>
                  <w:b/>
                  <w:bCs/>
                  <w:color w:val="0563C1"/>
                  <w:kern w:val="0"/>
                  <w:u w:val="single"/>
                  <w14:ligatures w14:val="none"/>
                </w:rPr>
                <w:t>340-270-0680</w:t>
              </w:r>
            </w:hyperlink>
          </w:p>
          <w:p w14:paraId="654FF73F" w14:textId="77777777" w:rsidR="002E1047" w:rsidRPr="002E1047" w:rsidRDefault="002E1047" w:rsidP="002E1047">
            <w:pPr>
              <w:spacing w:after="0" w:line="240" w:lineRule="auto"/>
              <w:jc w:val="center"/>
              <w:outlineLvl w:val="0"/>
              <w:rPr>
                <w:rFonts w:eastAsia="Calibri" w:cs="Arial"/>
                <w:color w:val="000000"/>
                <w:kern w:val="0"/>
                <w14:ligatures w14:val="none"/>
              </w:rPr>
            </w:pPr>
          </w:p>
        </w:tc>
        <w:tc>
          <w:tcPr>
            <w:tcW w:w="3060" w:type="dxa"/>
          </w:tcPr>
          <w:p w14:paraId="47CD0B58" w14:textId="77777777" w:rsidR="002E1047" w:rsidRPr="002E1047" w:rsidRDefault="002E1047" w:rsidP="002E1047">
            <w:pPr>
              <w:autoSpaceDE w:val="0"/>
              <w:autoSpaceDN w:val="0"/>
              <w:spacing w:after="0" w:line="240" w:lineRule="auto"/>
              <w:outlineLvl w:val="0"/>
              <w:rPr>
                <w:rFonts w:eastAsia="Calibri" w:cs="Arial"/>
                <w:color w:val="000000"/>
                <w:kern w:val="0"/>
                <w14:ligatures w14:val="none"/>
              </w:rPr>
            </w:pPr>
            <w:r w:rsidRPr="002E1047">
              <w:rPr>
                <w:rFonts w:eastAsia="Calibri" w:cs="Arial"/>
                <w:color w:val="000000"/>
                <w:kern w:val="0"/>
                <w14:ligatures w14:val="none"/>
              </w:rPr>
              <w:t>Vehicle Ownership Provisions and Refund Obligations</w:t>
            </w:r>
          </w:p>
        </w:tc>
        <w:tc>
          <w:tcPr>
            <w:tcW w:w="4230" w:type="dxa"/>
          </w:tcPr>
          <w:p w14:paraId="2039188C" w14:textId="77777777" w:rsidR="002E1047" w:rsidRPr="002E1047" w:rsidRDefault="002E1047" w:rsidP="002E1047">
            <w:pPr>
              <w:spacing w:after="0" w:line="240" w:lineRule="auto"/>
              <w:outlineLvl w:val="0"/>
              <w:rPr>
                <w:rFonts w:eastAsia="Calibri" w:cs="Arial"/>
                <w:bCs/>
                <w:kern w:val="0"/>
                <w:szCs w:val="32"/>
                <w14:ligatures w14:val="none"/>
              </w:rPr>
            </w:pPr>
            <w:r w:rsidRPr="002E1047">
              <w:rPr>
                <w:rFonts w:eastAsia="Calibri" w:cs="Arial"/>
                <w:bCs/>
                <w:kern w:val="0"/>
                <w:szCs w:val="32"/>
                <w14:ligatures w14:val="none"/>
              </w:rPr>
              <w:t>Clarify DEQ review process for ineligible applications</w:t>
            </w:r>
          </w:p>
        </w:tc>
      </w:tr>
    </w:tbl>
    <w:p w14:paraId="75B8B8A6" w14:textId="77777777" w:rsidR="00251FD3" w:rsidRPr="00A373FD" w:rsidRDefault="00251FD3" w:rsidP="00251FD3">
      <w:pPr>
        <w:pStyle w:val="Heading1"/>
      </w:pPr>
    </w:p>
    <w:p w14:paraId="1617E35E" w14:textId="77777777" w:rsidR="00ED47E6" w:rsidRDefault="00ED47E6" w:rsidP="00ED47E6"/>
    <w:p w14:paraId="2D7A5767" w14:textId="77777777" w:rsidR="00ED47E6" w:rsidRDefault="00ED47E6" w:rsidP="00ED47E6">
      <w:r>
        <w:t> </w:t>
      </w:r>
    </w:p>
    <w:p w14:paraId="4977E47B" w14:textId="77777777" w:rsidR="00ED47E6" w:rsidRDefault="00ED47E6" w:rsidP="00ED47E6">
      <w:r>
        <w:t xml:space="preserve"> </w:t>
      </w:r>
    </w:p>
    <w:p w14:paraId="4EEA57E6" w14:textId="5B83AD50" w:rsidR="00563365" w:rsidRDefault="00563365">
      <w:pPr>
        <w:spacing w:after="160"/>
      </w:pPr>
      <w:r>
        <w:br w:type="page"/>
      </w:r>
    </w:p>
    <w:p w14:paraId="71000EB8" w14:textId="77777777" w:rsidR="00B7748A" w:rsidRPr="00A373FD" w:rsidRDefault="00B7748A" w:rsidP="00B7748A">
      <w:pPr>
        <w:pStyle w:val="Heading1"/>
      </w:pPr>
      <w:bookmarkStart w:id="39" w:name="_Toc218065409"/>
      <w:bookmarkStart w:id="40" w:name="_Toc226361738"/>
      <w:r>
        <w:lastRenderedPageBreak/>
        <w:t>Fee analysis</w:t>
      </w:r>
      <w:bookmarkEnd w:id="39"/>
      <w:bookmarkEnd w:id="40"/>
    </w:p>
    <w:p w14:paraId="2A418F33" w14:textId="77777777" w:rsidR="00B7748A" w:rsidRDefault="00B7748A" w:rsidP="00B7748A">
      <w:pPr>
        <w:rPr>
          <w:rFonts w:cs="Arial"/>
        </w:rPr>
      </w:pPr>
      <w:bookmarkStart w:id="41" w:name="RANGE!A226:B243"/>
      <w:bookmarkEnd w:id="41"/>
      <w:r w:rsidRPr="00A373FD">
        <w:rPr>
          <w:rFonts w:cs="Arial"/>
        </w:rPr>
        <w:t>This rulemaking does not involve fees.</w:t>
      </w:r>
    </w:p>
    <w:p w14:paraId="0C6099FC" w14:textId="77777777" w:rsidR="00B7748A" w:rsidRDefault="00B7748A" w:rsidP="00563365">
      <w:pPr>
        <w:pStyle w:val="Heading1"/>
      </w:pPr>
    </w:p>
    <w:p w14:paraId="6D11B353" w14:textId="72178BF1" w:rsidR="00ED47E6" w:rsidRDefault="00ED47E6" w:rsidP="00563365">
      <w:pPr>
        <w:pStyle w:val="Heading1"/>
      </w:pPr>
      <w:bookmarkStart w:id="42" w:name="_Toc226361739"/>
      <w:r>
        <w:t>Statement of fiscal and economic impact</w:t>
      </w:r>
      <w:bookmarkEnd w:id="42"/>
    </w:p>
    <w:p w14:paraId="3790B491" w14:textId="77777777" w:rsidR="00AB7AEA" w:rsidRPr="00A373FD" w:rsidRDefault="00AB7AEA" w:rsidP="00AB7AEA">
      <w:pPr>
        <w:pStyle w:val="Heading2"/>
        <w:rPr>
          <w:rFonts w:cs="Arial"/>
        </w:rPr>
      </w:pPr>
      <w:bookmarkStart w:id="43" w:name="_Toc226361740"/>
      <w:r w:rsidRPr="00A373FD">
        <w:rPr>
          <w:rFonts w:cs="Arial"/>
        </w:rPr>
        <w:t>Fiscal and economic impact</w:t>
      </w:r>
      <w:bookmarkEnd w:id="43"/>
    </w:p>
    <w:p w14:paraId="456BE45C" w14:textId="605A3F8C" w:rsidR="00AB7AEA" w:rsidRPr="007C0671" w:rsidRDefault="00AB7AEA" w:rsidP="00AB7AEA">
      <w:pPr>
        <w:rPr>
          <w:rFonts w:cs="Arial"/>
        </w:rPr>
      </w:pPr>
      <w:r w:rsidRPr="007C0671">
        <w:rPr>
          <w:rFonts w:cs="Arial"/>
        </w:rPr>
        <w:t xml:space="preserve">The proposed rules are not anticipated to </w:t>
      </w:r>
      <w:r w:rsidR="002111B3">
        <w:rPr>
          <w:rFonts w:cs="Arial"/>
        </w:rPr>
        <w:t>have a</w:t>
      </w:r>
      <w:r w:rsidRPr="007C0671">
        <w:rPr>
          <w:rFonts w:cs="Arial"/>
        </w:rPr>
        <w:t xml:space="preserve"> significant negative economic impact </w:t>
      </w:r>
      <w:r w:rsidR="00B60BD5">
        <w:rPr>
          <w:rFonts w:cs="Arial"/>
        </w:rPr>
        <w:t>on</w:t>
      </w:r>
      <w:r w:rsidRPr="007C0671">
        <w:rPr>
          <w:rFonts w:cs="Arial"/>
        </w:rPr>
        <w:t xml:space="preserve"> any entity. The proposed OCVRP amendments limit the number of individual rebates one can receive, consider adjusting rebate amounts for OCVRP, enhance clarity and update program processes that currently cite outdated sources. The ZERO Fleet amendments clarify vehicle eligibility, update the application review process, and encourage price competition for vehicle sales</w:t>
      </w:r>
      <w:r>
        <w:rPr>
          <w:rFonts w:cs="Arial"/>
        </w:rPr>
        <w:t>.</w:t>
      </w:r>
      <w:r w:rsidRPr="007C0671">
        <w:rPr>
          <w:rFonts w:cs="Arial"/>
        </w:rPr>
        <w:t> </w:t>
      </w:r>
    </w:p>
    <w:p w14:paraId="5724746A" w14:textId="07F0753D" w:rsidR="00AB7AEA" w:rsidRPr="007C0671" w:rsidRDefault="00AB7AEA" w:rsidP="00AB7AEA">
      <w:pPr>
        <w:rPr>
          <w:rFonts w:cs="Arial"/>
        </w:rPr>
      </w:pPr>
    </w:p>
    <w:p w14:paraId="2C92DBED" w14:textId="46DA6215" w:rsidR="00AB7AEA" w:rsidRPr="007C0671" w:rsidRDefault="00AB7AEA" w:rsidP="00AB7AEA">
      <w:pPr>
        <w:rPr>
          <w:rFonts w:cs="Arial"/>
        </w:rPr>
      </w:pPr>
      <w:r w:rsidRPr="007C0671">
        <w:rPr>
          <w:rFonts w:cs="Arial"/>
        </w:rPr>
        <w:t>The rebate programs provide financial benefit</w:t>
      </w:r>
      <w:r w:rsidR="006C7999">
        <w:rPr>
          <w:rFonts w:cs="Arial"/>
        </w:rPr>
        <w:t>s</w:t>
      </w:r>
      <w:r w:rsidRPr="007C0671">
        <w:rPr>
          <w:rFonts w:cs="Arial"/>
        </w:rPr>
        <w:t xml:space="preserve"> to vehicle and equipment dealers and manufacturers because supplemental rebates are likely to increase sales. The rules</w:t>
      </w:r>
      <w:r w:rsidRPr="6256579D" w:rsidDel="007C0671">
        <w:rPr>
          <w:rFonts w:cs="Arial"/>
        </w:rPr>
        <w:t xml:space="preserve"> </w:t>
      </w:r>
      <w:r w:rsidRPr="6256579D">
        <w:rPr>
          <w:rFonts w:cs="Arial"/>
        </w:rPr>
        <w:t>would</w:t>
      </w:r>
      <w:r w:rsidRPr="007C0671">
        <w:rPr>
          <w:rFonts w:cs="Arial"/>
        </w:rPr>
        <w:t xml:space="preserve"> continue to benefit private and public entities that seek to purchase or lease eligible vehicles. The rules </w:t>
      </w:r>
      <w:r w:rsidRPr="6256579D">
        <w:rPr>
          <w:rFonts w:cs="Arial"/>
        </w:rPr>
        <w:t xml:space="preserve">would </w:t>
      </w:r>
      <w:r w:rsidRPr="007C0671">
        <w:rPr>
          <w:rFonts w:cs="Arial"/>
        </w:rPr>
        <w:t>also continue to benefit the public by decreasing the cost of zero</w:t>
      </w:r>
      <w:r w:rsidRPr="6256579D">
        <w:rPr>
          <w:rFonts w:cs="Arial"/>
        </w:rPr>
        <w:t>-</w:t>
      </w:r>
      <w:r w:rsidRPr="007C0671">
        <w:rPr>
          <w:rFonts w:cs="Arial"/>
        </w:rPr>
        <w:t>emission vehicles. The rebate programs provide direct financial incentives for these purchases, creating a positive economic impact.  </w:t>
      </w:r>
    </w:p>
    <w:p w14:paraId="190BEFA3" w14:textId="77777777" w:rsidR="00AB7AEA" w:rsidRPr="007C0671" w:rsidRDefault="00AB7AEA" w:rsidP="00AB7AEA">
      <w:pPr>
        <w:rPr>
          <w:rFonts w:cs="Arial"/>
        </w:rPr>
      </w:pPr>
      <w:r w:rsidRPr="007C0671">
        <w:rPr>
          <w:rFonts w:cs="Arial"/>
        </w:rPr>
        <w:t> </w:t>
      </w:r>
    </w:p>
    <w:p w14:paraId="79F50033" w14:textId="77777777" w:rsidR="00AB7AEA" w:rsidRPr="007C0671" w:rsidRDefault="00AB7AEA" w:rsidP="00AB7AEA">
      <w:pPr>
        <w:rPr>
          <w:rFonts w:cs="Arial"/>
        </w:rPr>
      </w:pPr>
      <w:r w:rsidRPr="007C0671">
        <w:rPr>
          <w:rFonts w:cs="Arial"/>
        </w:rPr>
        <w:t>While the potential OCVRP rebate adjustments could decrease individual rebate amounts, which could impact affordability, the rule</w:t>
      </w:r>
      <w:r>
        <w:rPr>
          <w:rFonts w:cs="Arial"/>
        </w:rPr>
        <w:t>s</w:t>
      </w:r>
      <w:r w:rsidRPr="007C0671">
        <w:rPr>
          <w:rFonts w:cs="Arial"/>
        </w:rPr>
        <w:t xml:space="preserve"> aim to conserve funding, which may enable the program to remain open longer each year and allow more individuals to take advantage of the rebate.  </w:t>
      </w:r>
    </w:p>
    <w:p w14:paraId="4715A960" w14:textId="77777777" w:rsidR="00AB7AEA" w:rsidRPr="007C0671" w:rsidRDefault="00AB7AEA" w:rsidP="00AB7AEA">
      <w:pPr>
        <w:rPr>
          <w:rFonts w:cs="Arial"/>
        </w:rPr>
      </w:pPr>
      <w:r w:rsidRPr="007C0671">
        <w:rPr>
          <w:rFonts w:cs="Arial"/>
        </w:rPr>
        <w:t> </w:t>
      </w:r>
    </w:p>
    <w:p w14:paraId="250FA3AA" w14:textId="56CFC08C" w:rsidR="00AB7AEA" w:rsidRPr="007C0671" w:rsidRDefault="00AB7AEA" w:rsidP="00AB7AEA">
      <w:pPr>
        <w:rPr>
          <w:rFonts w:cs="Arial"/>
        </w:rPr>
      </w:pPr>
      <w:r w:rsidRPr="007C0671">
        <w:rPr>
          <w:rFonts w:cs="Arial"/>
        </w:rPr>
        <w:t xml:space="preserve">The proposed adjustments to the ZERO Fleet program are designed to ensure that funding is directed to the fleet vehicles </w:t>
      </w:r>
      <w:r>
        <w:rPr>
          <w:rFonts w:cs="Arial"/>
        </w:rPr>
        <w:t>the</w:t>
      </w:r>
      <w:r w:rsidRPr="007C0671">
        <w:rPr>
          <w:rFonts w:cs="Arial"/>
        </w:rPr>
        <w:t xml:space="preserve"> </w:t>
      </w:r>
      <w:r>
        <w:rPr>
          <w:rFonts w:cs="Arial"/>
        </w:rPr>
        <w:t>legislature</w:t>
      </w:r>
      <w:r w:rsidRPr="007C0671">
        <w:rPr>
          <w:rFonts w:cs="Arial"/>
        </w:rPr>
        <w:t xml:space="preserve"> intended to support</w:t>
      </w:r>
      <w:r w:rsidRPr="2EEA0BC4">
        <w:rPr>
          <w:rFonts w:cs="Arial"/>
        </w:rPr>
        <w:t>,</w:t>
      </w:r>
      <w:r w:rsidRPr="377DCD16">
        <w:rPr>
          <w:rFonts w:cs="Arial"/>
        </w:rPr>
        <w:t xml:space="preserve"> based on </w:t>
      </w:r>
      <w:r w:rsidRPr="2150DC13">
        <w:rPr>
          <w:rFonts w:cs="Arial"/>
        </w:rPr>
        <w:t xml:space="preserve">committee discussions </w:t>
      </w:r>
      <w:r w:rsidR="002D2C70">
        <w:rPr>
          <w:rFonts w:cs="Arial"/>
        </w:rPr>
        <w:t>on</w:t>
      </w:r>
      <w:r w:rsidRPr="45A39608">
        <w:rPr>
          <w:rFonts w:cs="Arial"/>
        </w:rPr>
        <w:t xml:space="preserve"> </w:t>
      </w:r>
      <w:r w:rsidRPr="2BBC6873">
        <w:rPr>
          <w:rFonts w:cs="Arial"/>
        </w:rPr>
        <w:t>the scope of</w:t>
      </w:r>
      <w:r w:rsidRPr="4A79967D">
        <w:rPr>
          <w:rFonts w:cs="Arial"/>
        </w:rPr>
        <w:t xml:space="preserve"> </w:t>
      </w:r>
      <w:r w:rsidRPr="15CA4F70">
        <w:rPr>
          <w:rFonts w:cs="Arial"/>
        </w:rPr>
        <w:t xml:space="preserve">a rebate </w:t>
      </w:r>
      <w:r w:rsidRPr="2499D3E9">
        <w:rPr>
          <w:rFonts w:cs="Arial"/>
        </w:rPr>
        <w:t xml:space="preserve">program for </w:t>
      </w:r>
      <w:r w:rsidRPr="14D6A581">
        <w:rPr>
          <w:rFonts w:cs="Arial"/>
        </w:rPr>
        <w:t>Medium</w:t>
      </w:r>
      <w:r>
        <w:rPr>
          <w:rFonts w:cs="Arial"/>
        </w:rPr>
        <w:t xml:space="preserve">- and </w:t>
      </w:r>
      <w:r w:rsidRPr="14D6A581">
        <w:rPr>
          <w:rFonts w:cs="Arial"/>
        </w:rPr>
        <w:t>Heavy</w:t>
      </w:r>
      <w:r>
        <w:rPr>
          <w:rFonts w:cs="Arial"/>
        </w:rPr>
        <w:t>-</w:t>
      </w:r>
      <w:r w:rsidRPr="416C25A5">
        <w:rPr>
          <w:rFonts w:cs="Arial"/>
        </w:rPr>
        <w:t>Duty vehicles</w:t>
      </w:r>
      <w:r w:rsidRPr="2F26552F">
        <w:rPr>
          <w:rFonts w:cs="Arial"/>
        </w:rPr>
        <w:t>.</w:t>
      </w:r>
      <w:r w:rsidRPr="79D91E35">
        <w:rPr>
          <w:rFonts w:cs="Arial"/>
        </w:rPr>
        <w:t xml:space="preserve"> </w:t>
      </w:r>
      <w:r w:rsidRPr="2933A374">
        <w:rPr>
          <w:rFonts w:cs="Arial"/>
        </w:rPr>
        <w:t>The</w:t>
      </w:r>
      <w:r w:rsidRPr="007C0671">
        <w:rPr>
          <w:rFonts w:cs="Arial"/>
        </w:rPr>
        <w:t xml:space="preserve"> core goal is to </w:t>
      </w:r>
      <w:r w:rsidRPr="2CB64363">
        <w:rPr>
          <w:rFonts w:cs="Arial"/>
        </w:rPr>
        <w:t>reduce</w:t>
      </w:r>
      <w:r w:rsidRPr="007C0671">
        <w:rPr>
          <w:rFonts w:cs="Arial"/>
        </w:rPr>
        <w:t xml:space="preserve"> diesel emissions in Oregon by accelerating the adoption of electric medium- and heavy-duty vehicles as alternatives to traditional diesel-powered engines. These changes</w:t>
      </w:r>
      <w:r w:rsidRPr="007C0671" w:rsidDel="00A3154A">
        <w:rPr>
          <w:rFonts w:cs="Arial"/>
        </w:rPr>
        <w:t xml:space="preserve"> </w:t>
      </w:r>
      <w:r>
        <w:rPr>
          <w:rFonts w:cs="Arial"/>
        </w:rPr>
        <w:t>would</w:t>
      </w:r>
      <w:r w:rsidRPr="007C0671">
        <w:rPr>
          <w:rFonts w:cs="Arial"/>
        </w:rPr>
        <w:t xml:space="preserve"> help target funding more effectively—prioritizing areas most affected by diesel pollution—and ultimately contribute to cleaner air and healthier communities across the state. </w:t>
      </w:r>
    </w:p>
    <w:p w14:paraId="640677CA" w14:textId="77777777" w:rsidR="00AB7AEA" w:rsidRPr="007C0671" w:rsidRDefault="00AB7AEA" w:rsidP="00AB7AEA">
      <w:pPr>
        <w:rPr>
          <w:rFonts w:cs="Arial"/>
        </w:rPr>
      </w:pPr>
      <w:r w:rsidRPr="007C0671">
        <w:rPr>
          <w:rFonts w:cs="Arial"/>
        </w:rPr>
        <w:t> </w:t>
      </w:r>
    </w:p>
    <w:p w14:paraId="672E61B6" w14:textId="3D55CCEC" w:rsidR="00AB7AEA" w:rsidRPr="007C0671" w:rsidRDefault="00AB7AEA" w:rsidP="00AB7AEA">
      <w:pPr>
        <w:rPr>
          <w:rFonts w:cs="Arial"/>
        </w:rPr>
      </w:pPr>
      <w:r w:rsidRPr="007C0671">
        <w:rPr>
          <w:rFonts w:cs="Arial"/>
        </w:rPr>
        <w:t>DEQ anticipates the fiscal impact to continue to be a net positive, as rebates will continue to be issued and thereby decrease the costs for eligible zero</w:t>
      </w:r>
      <w:r w:rsidRPr="6256579D">
        <w:rPr>
          <w:rFonts w:cs="Arial"/>
        </w:rPr>
        <w:t>-</w:t>
      </w:r>
      <w:r w:rsidRPr="007C0671">
        <w:rPr>
          <w:rFonts w:cs="Arial"/>
        </w:rPr>
        <w:t>emission vehicle purchase</w:t>
      </w:r>
      <w:r w:rsidR="00FC3207">
        <w:rPr>
          <w:rFonts w:cs="Arial"/>
        </w:rPr>
        <w:t>s</w:t>
      </w:r>
      <w:r w:rsidRPr="007C0671">
        <w:rPr>
          <w:rFonts w:cs="Arial"/>
        </w:rPr>
        <w:t xml:space="preserve"> and leases, and will be available to more </w:t>
      </w:r>
      <w:r w:rsidR="00AA1C61" w:rsidRPr="007C0671">
        <w:rPr>
          <w:rFonts w:cs="Arial"/>
        </w:rPr>
        <w:t>individuals.</w:t>
      </w:r>
      <w:r w:rsidR="00AA1C61">
        <w:rPr>
          <w:rFonts w:cs="Arial"/>
        </w:rPr>
        <w:t xml:space="preserve"> This</w:t>
      </w:r>
      <w:r>
        <w:rPr>
          <w:rFonts w:cs="Arial"/>
        </w:rPr>
        <w:t xml:space="preserve"> in turn will reduce the costs to the state </w:t>
      </w:r>
      <w:r>
        <w:rPr>
          <w:rFonts w:cs="Arial"/>
        </w:rPr>
        <w:lastRenderedPageBreak/>
        <w:t xml:space="preserve">associated with air pollution and greenhouse gases. </w:t>
      </w:r>
      <w:r w:rsidRPr="1F3AF9AA">
        <w:rPr>
          <w:rFonts w:eastAsia="Arial" w:cs="Arial"/>
          <w:szCs w:val="22"/>
        </w:rPr>
        <w:t xml:space="preserve">For example, </w:t>
      </w:r>
      <w:r w:rsidR="00D60811">
        <w:rPr>
          <w:rFonts w:eastAsia="Arial" w:cs="Arial"/>
          <w:szCs w:val="22"/>
        </w:rPr>
        <w:t xml:space="preserve">a </w:t>
      </w:r>
      <w:r w:rsidRPr="1F3AF9AA">
        <w:rPr>
          <w:rFonts w:eastAsia="Arial" w:cs="Arial"/>
          <w:szCs w:val="22"/>
        </w:rPr>
        <w:t xml:space="preserve">recent analysis of Charged Ahead Rebates funded by the EPA's CERTA grant showed that, on average, each vehicle rebated by OCVRP decreased GHG emissions by about 38 MT. In addition, the 1,841 OCVRP Charge Ahead Rebates issued earlier this year as part of the EPA's CERTA grant have an estimated </w:t>
      </w:r>
      <w:r w:rsidR="00D60811">
        <w:rPr>
          <w:rFonts w:eastAsia="Arial" w:cs="Arial"/>
          <w:szCs w:val="22"/>
        </w:rPr>
        <w:t xml:space="preserve">overall </w:t>
      </w:r>
      <w:r w:rsidRPr="1F3AF9AA">
        <w:rPr>
          <w:rFonts w:eastAsia="Arial" w:cs="Arial"/>
          <w:szCs w:val="22"/>
        </w:rPr>
        <w:t>health savings of between $</w:t>
      </w:r>
      <w:r w:rsidRPr="79935166">
        <w:rPr>
          <w:rFonts w:eastAsia="Arial" w:cs="Arial"/>
          <w:szCs w:val="22"/>
        </w:rPr>
        <w:t>439,000</w:t>
      </w:r>
      <w:r w:rsidRPr="1F3AF9AA">
        <w:rPr>
          <w:rFonts w:eastAsia="Arial" w:cs="Arial"/>
          <w:szCs w:val="22"/>
        </w:rPr>
        <w:t xml:space="preserve"> and $</w:t>
      </w:r>
      <w:r w:rsidRPr="79935166">
        <w:rPr>
          <w:rFonts w:eastAsia="Arial" w:cs="Arial"/>
          <w:szCs w:val="22"/>
        </w:rPr>
        <w:t>839,000</w:t>
      </w:r>
      <w:r w:rsidRPr="1F3AF9AA">
        <w:rPr>
          <w:rFonts w:eastAsia="Arial" w:cs="Arial"/>
          <w:szCs w:val="22"/>
        </w:rPr>
        <w:t xml:space="preserve"> in Oregon, including an estimated $9</w:t>
      </w:r>
      <w:r w:rsidRPr="79935166">
        <w:rPr>
          <w:rFonts w:eastAsia="Arial" w:cs="Arial"/>
          <w:szCs w:val="22"/>
        </w:rPr>
        <w:t>,400</w:t>
      </w:r>
      <w:r w:rsidRPr="1F3AF9AA">
        <w:rPr>
          <w:rFonts w:eastAsia="Arial" w:cs="Arial"/>
          <w:szCs w:val="22"/>
        </w:rPr>
        <w:t xml:space="preserve"> </w:t>
      </w:r>
      <w:r w:rsidR="00D60811">
        <w:rPr>
          <w:rFonts w:eastAsia="Arial" w:cs="Arial"/>
          <w:szCs w:val="22"/>
        </w:rPr>
        <w:t>for</w:t>
      </w:r>
      <w:r w:rsidRPr="1F3AF9AA">
        <w:rPr>
          <w:rFonts w:eastAsia="Arial" w:cs="Arial"/>
          <w:szCs w:val="22"/>
        </w:rPr>
        <w:t xml:space="preserve"> asthma alone.  </w:t>
      </w:r>
      <w:r w:rsidRPr="79935166">
        <w:rPr>
          <w:rFonts w:eastAsia="Arial" w:cs="Arial"/>
        </w:rPr>
        <w:t xml:space="preserve">  </w:t>
      </w:r>
    </w:p>
    <w:p w14:paraId="79678171" w14:textId="77777777" w:rsidR="00AB7AEA" w:rsidRPr="00A373FD" w:rsidRDefault="00AB7AEA" w:rsidP="00AB7AEA">
      <w:pPr>
        <w:rPr>
          <w:rFonts w:cs="Arial"/>
        </w:rPr>
      </w:pPr>
      <w:r w:rsidRPr="00A373FD">
        <w:rPr>
          <w:rFonts w:cs="Arial"/>
        </w:rPr>
        <w:tab/>
      </w:r>
    </w:p>
    <w:p w14:paraId="12DDD5B2" w14:textId="77777777" w:rsidR="00AB7AEA" w:rsidRPr="00A373FD" w:rsidRDefault="00AB7AEA" w:rsidP="00AB7AEA">
      <w:pPr>
        <w:pStyle w:val="Heading2"/>
        <w:rPr>
          <w:rFonts w:cs="Arial"/>
        </w:rPr>
      </w:pPr>
      <w:bookmarkStart w:id="44" w:name="_Toc226361741"/>
      <w:r w:rsidRPr="00A373FD">
        <w:rPr>
          <w:rFonts w:cs="Arial"/>
        </w:rPr>
        <w:t>Statement of cost of compliance</w:t>
      </w:r>
      <w:bookmarkEnd w:id="44"/>
      <w:r w:rsidRPr="00A373FD">
        <w:rPr>
          <w:rFonts w:cs="Arial"/>
        </w:rPr>
        <w:tab/>
        <w:t xml:space="preserve">  </w:t>
      </w:r>
    </w:p>
    <w:p w14:paraId="55EFE701" w14:textId="77777777" w:rsidR="00AB7AEA" w:rsidRPr="00A373FD" w:rsidRDefault="00AB7AEA" w:rsidP="00AB7AEA">
      <w:pPr>
        <w:pStyle w:val="Heading3"/>
        <w:rPr>
          <w:rFonts w:cs="Arial"/>
        </w:rPr>
      </w:pPr>
      <w:bookmarkStart w:id="45" w:name="_Toc226361742"/>
      <w:r w:rsidRPr="00A373FD">
        <w:rPr>
          <w:rFonts w:cs="Arial"/>
        </w:rPr>
        <w:t>State agencies</w:t>
      </w:r>
      <w:bookmarkEnd w:id="45"/>
    </w:p>
    <w:p w14:paraId="6F7DE44E" w14:textId="1FA351ED" w:rsidR="00AB7AEA" w:rsidRDefault="00AB7AEA" w:rsidP="00AB7AEA">
      <w:pPr>
        <w:rPr>
          <w:rStyle w:val="normaltextrun"/>
          <w:rFonts w:cs="Arial"/>
          <w:color w:val="000000"/>
          <w:shd w:val="clear" w:color="auto" w:fill="FFFFFF"/>
        </w:rPr>
      </w:pPr>
      <w:r w:rsidRPr="0960D5C2">
        <w:rPr>
          <w:rStyle w:val="normaltextrun"/>
          <w:rFonts w:cs="Arial"/>
          <w:color w:val="000000"/>
          <w:shd w:val="clear" w:color="auto" w:fill="FFFFFF"/>
        </w:rPr>
        <w:t xml:space="preserve">DEQ does not expect the proposed OCVRP or ZERO Fleet rule changes to have a significant fiscal impact on state agencies. The rules propose amendments </w:t>
      </w:r>
      <w:r w:rsidR="7DA2B35D" w:rsidRPr="0960D5C2">
        <w:rPr>
          <w:rStyle w:val="normaltextrun"/>
          <w:rFonts w:cs="Arial"/>
          <w:color w:val="000000"/>
          <w:shd w:val="clear" w:color="auto" w:fill="FFFFFF"/>
        </w:rPr>
        <w:t>to conserve funding</w:t>
      </w:r>
      <w:r w:rsidRPr="0960D5C2">
        <w:rPr>
          <w:rStyle w:val="normaltextrun"/>
          <w:rFonts w:cs="Arial"/>
          <w:color w:val="000000"/>
          <w:shd w:val="clear" w:color="auto" w:fill="FFFFFF"/>
        </w:rPr>
        <w:t xml:space="preserve"> and </w:t>
      </w:r>
      <w:r w:rsidR="3E4CECDF" w:rsidRPr="0960D5C2">
        <w:rPr>
          <w:rStyle w:val="normaltextrun"/>
          <w:rFonts w:cs="Arial"/>
          <w:color w:val="000000"/>
          <w:shd w:val="clear" w:color="auto" w:fill="FFFFFF"/>
        </w:rPr>
        <w:t>enhance</w:t>
      </w:r>
      <w:r w:rsidRPr="0960D5C2">
        <w:rPr>
          <w:rStyle w:val="normaltextrun"/>
          <w:rFonts w:cs="Arial"/>
          <w:color w:val="000000"/>
          <w:shd w:val="clear" w:color="auto" w:fill="FFFFFF"/>
        </w:rPr>
        <w:t xml:space="preserve"> clarity and do not include additional requirements of state agencies. State agencies could benefit from the rebate </w:t>
      </w:r>
      <w:r w:rsidR="00AE33FB" w:rsidRPr="0960D5C2">
        <w:rPr>
          <w:rStyle w:val="normaltextrun"/>
          <w:rFonts w:cs="Arial"/>
          <w:color w:val="000000"/>
          <w:shd w:val="clear" w:color="auto" w:fill="FFFFFF"/>
        </w:rPr>
        <w:t>programs</w:t>
      </w:r>
      <w:r w:rsidRPr="0960D5C2">
        <w:rPr>
          <w:rStyle w:val="normaltextrun"/>
          <w:rFonts w:cs="Arial"/>
          <w:color w:val="000000"/>
          <w:shd w:val="clear" w:color="auto" w:fill="FFFFFF"/>
        </w:rPr>
        <w:t xml:space="preserve"> if they purchase or lease eligible vehicles and apply for the rebates, and they do not face any fiscal or economic impacts from the proposed rules. There is a small fiscal cost to DEQ to administer the program, and the ZERO Fleet rules are adding additional rebate application review steps to ensure fiscal accountability.</w:t>
      </w:r>
    </w:p>
    <w:p w14:paraId="6EC361DA" w14:textId="77777777" w:rsidR="00AB7AEA" w:rsidRPr="00A373FD" w:rsidRDefault="00AB7AEA" w:rsidP="00AB7AEA">
      <w:pPr>
        <w:rPr>
          <w:rFonts w:cs="Arial"/>
        </w:rPr>
      </w:pPr>
    </w:p>
    <w:p w14:paraId="4BAC8776" w14:textId="77777777" w:rsidR="00AB7AEA" w:rsidRPr="00A373FD" w:rsidRDefault="00AB7AEA" w:rsidP="00AB7AEA">
      <w:pPr>
        <w:pStyle w:val="Heading3"/>
        <w:rPr>
          <w:rFonts w:cs="Arial"/>
        </w:rPr>
      </w:pPr>
      <w:bookmarkStart w:id="46" w:name="_Toc226361743"/>
      <w:r w:rsidRPr="00A373FD">
        <w:rPr>
          <w:rFonts w:cs="Arial"/>
        </w:rPr>
        <w:t>Local governments</w:t>
      </w:r>
      <w:bookmarkEnd w:id="46"/>
    </w:p>
    <w:p w14:paraId="34D58EE9" w14:textId="016498B4" w:rsidR="00AB7AEA" w:rsidRPr="0011577F" w:rsidRDefault="00AB7AEA" w:rsidP="00AB7AEA">
      <w:pPr>
        <w:rPr>
          <w:rFonts w:cs="Arial"/>
        </w:rPr>
      </w:pPr>
      <w:r w:rsidRPr="0011577F">
        <w:rPr>
          <w:rFonts w:cs="Arial"/>
        </w:rPr>
        <w:t xml:space="preserve">These rules do not impose regulations and there is no requirement to participate in OCVRP or the ZERO Fleet Rebate program. Local </w:t>
      </w:r>
      <w:r w:rsidR="00FD65D3">
        <w:rPr>
          <w:rFonts w:cs="Arial"/>
        </w:rPr>
        <w:t>g</w:t>
      </w:r>
      <w:r w:rsidRPr="0011577F">
        <w:rPr>
          <w:rFonts w:cs="Arial"/>
        </w:rPr>
        <w:t>overnment participants affected by this rule are choosing to participate in the rebate program. </w:t>
      </w:r>
    </w:p>
    <w:p w14:paraId="7FD860B3" w14:textId="77777777" w:rsidR="00AB7AEA" w:rsidRPr="0011577F" w:rsidRDefault="00AB7AEA" w:rsidP="00AB7AEA">
      <w:pPr>
        <w:rPr>
          <w:rFonts w:cs="Arial"/>
        </w:rPr>
      </w:pPr>
      <w:r w:rsidRPr="0011577F">
        <w:rPr>
          <w:rFonts w:cs="Arial"/>
        </w:rPr>
        <w:t> </w:t>
      </w:r>
    </w:p>
    <w:p w14:paraId="2B02ADFC" w14:textId="12F4937D" w:rsidR="00AB7AEA" w:rsidRPr="0011577F" w:rsidRDefault="00AB7AEA" w:rsidP="00AB7AEA">
      <w:pPr>
        <w:rPr>
          <w:rFonts w:cs="Arial"/>
        </w:rPr>
      </w:pPr>
      <w:r w:rsidRPr="0011577F">
        <w:rPr>
          <w:rFonts w:cs="Arial"/>
        </w:rPr>
        <w:t xml:space="preserve">DEQ does not expect the proposed OCVRP or ZERO Fleet rule changes to have a significant fiscal impact on local governments. The rules propose amendments </w:t>
      </w:r>
      <w:r w:rsidR="13030ACE" w:rsidRPr="0960D5C2">
        <w:rPr>
          <w:rFonts w:cs="Arial"/>
        </w:rPr>
        <w:t xml:space="preserve">to conserve funding </w:t>
      </w:r>
      <w:r w:rsidRPr="0960D5C2">
        <w:rPr>
          <w:rFonts w:cs="Arial"/>
        </w:rPr>
        <w:t>and</w:t>
      </w:r>
      <w:r w:rsidR="08D79996" w:rsidRPr="0960D5C2">
        <w:rPr>
          <w:rFonts w:cs="Arial"/>
        </w:rPr>
        <w:t xml:space="preserve"> enhance</w:t>
      </w:r>
      <w:r w:rsidRPr="0011577F">
        <w:rPr>
          <w:rFonts w:cs="Arial"/>
        </w:rPr>
        <w:t xml:space="preserve"> clarity and do not include additional requirements of local governments. Local governments could benefit from the rebate programs if they purchase or lease eligible vehicles and apply for the rebates, and they do not face any direct fiscal or economic impacts from the proposed rules. </w:t>
      </w:r>
    </w:p>
    <w:p w14:paraId="20D9793C" w14:textId="77777777" w:rsidR="00AB7AEA" w:rsidRPr="00A373FD" w:rsidRDefault="00AB7AEA" w:rsidP="00AB7AEA">
      <w:pPr>
        <w:rPr>
          <w:rFonts w:cs="Arial"/>
        </w:rPr>
      </w:pPr>
    </w:p>
    <w:p w14:paraId="520CC0B9" w14:textId="77777777" w:rsidR="00AB7AEA" w:rsidRPr="00A373FD" w:rsidRDefault="00AB7AEA" w:rsidP="00AB7AEA">
      <w:pPr>
        <w:pStyle w:val="Heading3"/>
        <w:rPr>
          <w:rFonts w:cs="Arial"/>
        </w:rPr>
      </w:pPr>
      <w:bookmarkStart w:id="47" w:name="_Toc226361744"/>
      <w:r w:rsidRPr="00A373FD">
        <w:rPr>
          <w:rFonts w:cs="Arial"/>
        </w:rPr>
        <w:t>Public</w:t>
      </w:r>
      <w:bookmarkEnd w:id="47"/>
    </w:p>
    <w:p w14:paraId="4E4A4F73" w14:textId="011093A9" w:rsidR="00AB7AEA" w:rsidRPr="00736977" w:rsidRDefault="00AB7AEA" w:rsidP="00AB7AEA">
      <w:pPr>
        <w:rPr>
          <w:rFonts w:cs="Arial"/>
        </w:rPr>
      </w:pPr>
      <w:r w:rsidRPr="00736977">
        <w:rPr>
          <w:rFonts w:cs="Arial"/>
        </w:rPr>
        <w:t xml:space="preserve">These rules do not impose regulations and there is no requirement to participate in OCVRP or the ZERO Fleet Rebate program. Rebate participants affected by this rule </w:t>
      </w:r>
      <w:r>
        <w:rPr>
          <w:rFonts w:cs="Arial"/>
        </w:rPr>
        <w:t xml:space="preserve">would </w:t>
      </w:r>
      <w:r w:rsidRPr="00736977">
        <w:rPr>
          <w:rFonts w:cs="Arial"/>
        </w:rPr>
        <w:t>choos</w:t>
      </w:r>
      <w:r w:rsidR="00F636C1">
        <w:rPr>
          <w:rFonts w:cs="Arial"/>
        </w:rPr>
        <w:t>e</w:t>
      </w:r>
      <w:r w:rsidRPr="00736977">
        <w:rPr>
          <w:rFonts w:cs="Arial"/>
        </w:rPr>
        <w:t xml:space="preserve"> to participate in the rebate program. </w:t>
      </w:r>
    </w:p>
    <w:p w14:paraId="13D6CB3E" w14:textId="77777777" w:rsidR="00AB7AEA" w:rsidRPr="00736977" w:rsidRDefault="00AB7AEA" w:rsidP="00AB7AEA">
      <w:pPr>
        <w:rPr>
          <w:rFonts w:cs="Arial"/>
        </w:rPr>
      </w:pPr>
      <w:r w:rsidRPr="00736977">
        <w:rPr>
          <w:rFonts w:cs="Arial"/>
        </w:rPr>
        <w:t> </w:t>
      </w:r>
    </w:p>
    <w:p w14:paraId="323FC28C" w14:textId="5980075F" w:rsidR="00AB7AEA" w:rsidRPr="00736977" w:rsidRDefault="00AB7AEA" w:rsidP="00AB7AEA">
      <w:pPr>
        <w:rPr>
          <w:rFonts w:cs="Arial"/>
        </w:rPr>
      </w:pPr>
      <w:r w:rsidRPr="00736977">
        <w:rPr>
          <w:rFonts w:cs="Arial"/>
        </w:rPr>
        <w:t xml:space="preserve">For those </w:t>
      </w:r>
      <w:r w:rsidR="00F636C1">
        <w:rPr>
          <w:rFonts w:cs="Arial"/>
        </w:rPr>
        <w:t xml:space="preserve">who </w:t>
      </w:r>
      <w:r w:rsidRPr="00736977">
        <w:rPr>
          <w:rFonts w:cs="Arial"/>
        </w:rPr>
        <w:t>choose to participate, the rebate programs provide direct financial incentives for the purchase or lease of zero</w:t>
      </w:r>
      <w:r w:rsidRPr="6256579D">
        <w:rPr>
          <w:rFonts w:cs="Arial"/>
        </w:rPr>
        <w:t>-</w:t>
      </w:r>
      <w:r w:rsidRPr="00736977">
        <w:rPr>
          <w:rFonts w:cs="Arial"/>
        </w:rPr>
        <w:t xml:space="preserve">emission vehicles, creating a positive economic impact and air quality benefit for the public. People will realize a fiscal benefit from improved health outcomes </w:t>
      </w:r>
      <w:r w:rsidRPr="00736977">
        <w:rPr>
          <w:rFonts w:cs="Arial"/>
        </w:rPr>
        <w:lastRenderedPageBreak/>
        <w:t>due to better air quality from rebate</w:t>
      </w:r>
      <w:r w:rsidR="00F8414F">
        <w:rPr>
          <w:rFonts w:cs="Arial"/>
        </w:rPr>
        <w:t>-</w:t>
      </w:r>
      <w:r w:rsidRPr="00736977">
        <w:rPr>
          <w:rFonts w:cs="Arial"/>
        </w:rPr>
        <w:t xml:space="preserve">funded projects. Proposed rules do not regulate or impact the public beyond the anticipated improvement in air quality associated with </w:t>
      </w:r>
      <w:r w:rsidR="00F8414F">
        <w:rPr>
          <w:rFonts w:cs="Arial"/>
        </w:rPr>
        <w:t xml:space="preserve">the </w:t>
      </w:r>
      <w:r w:rsidRPr="00736977">
        <w:rPr>
          <w:rFonts w:cs="Arial"/>
        </w:rPr>
        <w:t>increased transition from gas and diesel vehicles to zero</w:t>
      </w:r>
      <w:r w:rsidRPr="6256579D">
        <w:rPr>
          <w:rFonts w:cs="Arial"/>
        </w:rPr>
        <w:t>-</w:t>
      </w:r>
      <w:r w:rsidRPr="00736977">
        <w:rPr>
          <w:rFonts w:cs="Arial"/>
        </w:rPr>
        <w:t>emission vehicles encouraged by the rebate programs.  </w:t>
      </w:r>
    </w:p>
    <w:p w14:paraId="5317311A" w14:textId="77777777" w:rsidR="00AB7AEA" w:rsidRPr="00736977" w:rsidRDefault="00AB7AEA" w:rsidP="00AB7AEA">
      <w:pPr>
        <w:rPr>
          <w:rFonts w:cs="Arial"/>
        </w:rPr>
      </w:pPr>
      <w:r w:rsidRPr="00736977">
        <w:rPr>
          <w:rFonts w:cs="Arial"/>
        </w:rPr>
        <w:t> </w:t>
      </w:r>
    </w:p>
    <w:p w14:paraId="3BC38DC9" w14:textId="77777777" w:rsidR="00AB7AEA" w:rsidRPr="00DF21D4" w:rsidRDefault="00AB7AEA" w:rsidP="00AB7AEA">
      <w:pPr>
        <w:rPr>
          <w:rFonts w:cs="Arial"/>
          <w:b/>
        </w:rPr>
      </w:pPr>
      <w:r w:rsidRPr="00DF21D4">
        <w:rPr>
          <w:rFonts w:cs="Arial"/>
          <w:b/>
        </w:rPr>
        <w:t>OCVRP </w:t>
      </w:r>
    </w:p>
    <w:p w14:paraId="58231B9B" w14:textId="2BA37B3E" w:rsidR="00AB7AEA" w:rsidRPr="00736977" w:rsidRDefault="00AB7AEA" w:rsidP="00AB7AEA">
      <w:pPr>
        <w:rPr>
          <w:rFonts w:cs="Arial"/>
        </w:rPr>
      </w:pPr>
      <w:r w:rsidRPr="00736977">
        <w:rPr>
          <w:rFonts w:cs="Arial"/>
        </w:rPr>
        <w:t xml:space="preserve">While the potential OCVRP rebate adjustments could decrease individual rebate amounts, </w:t>
      </w:r>
      <w:r w:rsidR="00854045">
        <w:rPr>
          <w:rFonts w:cs="Arial"/>
        </w:rPr>
        <w:t>thereb</w:t>
      </w:r>
      <w:r w:rsidR="0047354F">
        <w:rPr>
          <w:rFonts w:cs="Arial"/>
        </w:rPr>
        <w:t xml:space="preserve">y </w:t>
      </w:r>
      <w:r w:rsidRPr="00736977">
        <w:rPr>
          <w:rFonts w:cs="Arial"/>
        </w:rPr>
        <w:t>impact</w:t>
      </w:r>
      <w:r w:rsidR="0047354F">
        <w:rPr>
          <w:rFonts w:cs="Arial"/>
        </w:rPr>
        <w:t>ing</w:t>
      </w:r>
      <w:r w:rsidRPr="00736977">
        <w:rPr>
          <w:rFonts w:cs="Arial"/>
        </w:rPr>
        <w:t xml:space="preserve"> affordability, the rule aims to conserve funding, which may enable the program to remain open longer each year and allow more individuals to take advantage of the rebate. The decreased rebate amounts will also result in more individual vehicle rebates, increasing the number of individuals that are able to participate and an increase in the number zero</w:t>
      </w:r>
      <w:r w:rsidRPr="6256579D">
        <w:rPr>
          <w:rFonts w:cs="Arial"/>
        </w:rPr>
        <w:t>-</w:t>
      </w:r>
      <w:r w:rsidRPr="00736977">
        <w:rPr>
          <w:rFonts w:cs="Arial"/>
        </w:rPr>
        <w:t>emission vehicles contributing to air quality improvements. </w:t>
      </w:r>
    </w:p>
    <w:p w14:paraId="55E6DD01" w14:textId="77777777" w:rsidR="00AB7AEA" w:rsidRPr="00736977" w:rsidRDefault="00AB7AEA" w:rsidP="00AB7AEA">
      <w:pPr>
        <w:rPr>
          <w:rFonts w:cs="Arial"/>
        </w:rPr>
      </w:pPr>
      <w:r w:rsidRPr="00736977">
        <w:rPr>
          <w:rFonts w:cs="Arial"/>
        </w:rPr>
        <w:t> </w:t>
      </w:r>
    </w:p>
    <w:p w14:paraId="14B94516" w14:textId="77777777" w:rsidR="00AB7AEA" w:rsidRPr="00DF21D4" w:rsidRDefault="00AB7AEA" w:rsidP="00AB7AEA">
      <w:pPr>
        <w:rPr>
          <w:rFonts w:cs="Arial"/>
          <w:b/>
        </w:rPr>
      </w:pPr>
      <w:r w:rsidRPr="00DF21D4">
        <w:rPr>
          <w:rFonts w:cs="Arial"/>
          <w:b/>
        </w:rPr>
        <w:t>ZERO Fleet </w:t>
      </w:r>
    </w:p>
    <w:p w14:paraId="229C08AD" w14:textId="39BBC2A8" w:rsidR="00AB7AEA" w:rsidRPr="00736977" w:rsidRDefault="00AB7AEA" w:rsidP="00AB7AEA">
      <w:pPr>
        <w:rPr>
          <w:rFonts w:cs="Arial"/>
        </w:rPr>
      </w:pPr>
      <w:r w:rsidRPr="00736977">
        <w:rPr>
          <w:rFonts w:cs="Arial"/>
        </w:rPr>
        <w:t xml:space="preserve">The proposed updates to the ZERO Fleet rule are intended to improve program clarity, minimize the risk of </w:t>
      </w:r>
      <w:r w:rsidR="005066D1" w:rsidRPr="00736977">
        <w:rPr>
          <w:rFonts w:cs="Arial"/>
        </w:rPr>
        <w:t>misuse of public funds</w:t>
      </w:r>
      <w:r w:rsidRPr="00736977">
        <w:rPr>
          <w:rFonts w:cs="Arial"/>
        </w:rPr>
        <w:t>, and give purchasers the ability to compare prices with a rebate voucher in hand before committing to a sale. This added transparency is expected to encourage more competitive pricing and help counter price inflation in the medium- and heavy-duty zero-emission vehicle market. If adopted, these changes would strengthen participant confidence, protect public investments, and support Oregon businesses, non-profits, and government entities in securing better value.   </w:t>
      </w:r>
    </w:p>
    <w:p w14:paraId="5705AAB7" w14:textId="77777777" w:rsidR="00AB7AEA" w:rsidRPr="00A373FD" w:rsidRDefault="00AB7AEA" w:rsidP="00AB7AEA">
      <w:pPr>
        <w:rPr>
          <w:rFonts w:cs="Arial"/>
        </w:rPr>
      </w:pPr>
    </w:p>
    <w:p w14:paraId="0F730E78" w14:textId="77777777" w:rsidR="00AB7AEA" w:rsidRPr="00A373FD" w:rsidRDefault="00AB7AEA" w:rsidP="00AB7AEA">
      <w:pPr>
        <w:pStyle w:val="Heading3"/>
        <w:rPr>
          <w:rFonts w:cs="Arial"/>
        </w:rPr>
      </w:pPr>
      <w:bookmarkStart w:id="48" w:name="_Toc226361745"/>
      <w:r w:rsidRPr="00A373FD">
        <w:rPr>
          <w:rFonts w:cs="Arial"/>
        </w:rPr>
        <w:t>Large businesses - businesses with more than 50 employees</w:t>
      </w:r>
      <w:bookmarkEnd w:id="48"/>
    </w:p>
    <w:p w14:paraId="4BFEB8DB" w14:textId="125E041E" w:rsidR="00AB7AEA" w:rsidRPr="00736977" w:rsidRDefault="00AB7AEA" w:rsidP="00AB7AEA">
      <w:pPr>
        <w:rPr>
          <w:rFonts w:cs="Arial"/>
        </w:rPr>
      </w:pPr>
      <w:r w:rsidRPr="00736977">
        <w:rPr>
          <w:rFonts w:cs="Arial"/>
        </w:rPr>
        <w:t xml:space="preserve">There are no businesses or industries subject to the proposed rules because the rules do not impose any requirements on parties who do not wish to participate in the program. Businesses or industries likely to be impacted by the proposed rules </w:t>
      </w:r>
      <w:r w:rsidR="00CA0427">
        <w:rPr>
          <w:rFonts w:cs="Arial"/>
        </w:rPr>
        <w:t>include</w:t>
      </w:r>
      <w:r w:rsidRPr="00736977">
        <w:rPr>
          <w:rFonts w:cs="Arial"/>
        </w:rPr>
        <w:t xml:space="preserve"> those that manufacture or sell automobiles or </w:t>
      </w:r>
      <w:r w:rsidR="005066D1" w:rsidRPr="00736977">
        <w:rPr>
          <w:rFonts w:cs="Arial"/>
        </w:rPr>
        <w:t>apply</w:t>
      </w:r>
      <w:r w:rsidRPr="00736977">
        <w:rPr>
          <w:rFonts w:cs="Arial"/>
        </w:rPr>
        <w:t xml:space="preserve"> for</w:t>
      </w:r>
      <w:r w:rsidR="002B4A4A">
        <w:rPr>
          <w:rFonts w:cs="Arial"/>
        </w:rPr>
        <w:t xml:space="preserve"> </w:t>
      </w:r>
      <w:r w:rsidRPr="00736977">
        <w:rPr>
          <w:rFonts w:cs="Arial"/>
        </w:rPr>
        <w:t>a rebate. </w:t>
      </w:r>
    </w:p>
    <w:p w14:paraId="06068A4B" w14:textId="77777777" w:rsidR="00AB7AEA" w:rsidRPr="00736977" w:rsidRDefault="00AB7AEA" w:rsidP="00AB7AEA">
      <w:pPr>
        <w:rPr>
          <w:rFonts w:cs="Arial"/>
        </w:rPr>
      </w:pPr>
      <w:r w:rsidRPr="00736977">
        <w:rPr>
          <w:rFonts w:cs="Arial"/>
        </w:rPr>
        <w:t> </w:t>
      </w:r>
    </w:p>
    <w:p w14:paraId="43F425D4" w14:textId="4D271295" w:rsidR="00AB7AEA" w:rsidRPr="00736977" w:rsidRDefault="00AB7AEA" w:rsidP="00AB7AEA">
      <w:pPr>
        <w:rPr>
          <w:rFonts w:cs="Arial"/>
        </w:rPr>
      </w:pPr>
      <w:r w:rsidRPr="00736977">
        <w:rPr>
          <w:rFonts w:cs="Arial"/>
        </w:rPr>
        <w:t xml:space="preserve">Large businesses would not incur any mandatory compliance costs </w:t>
      </w:r>
      <w:r w:rsidR="0065077A">
        <w:rPr>
          <w:rFonts w:cs="Arial"/>
        </w:rPr>
        <w:t xml:space="preserve">under </w:t>
      </w:r>
      <w:r w:rsidRPr="00736977">
        <w:rPr>
          <w:rFonts w:cs="Arial"/>
        </w:rPr>
        <w:t>the proposed OCVRP or ZERO Fleet rules</w:t>
      </w:r>
      <w:r w:rsidR="00924238">
        <w:rPr>
          <w:rFonts w:cs="Arial"/>
        </w:rPr>
        <w:t>, as</w:t>
      </w:r>
      <w:r w:rsidRPr="00736977">
        <w:rPr>
          <w:rFonts w:cs="Arial"/>
        </w:rPr>
        <w:t xml:space="preserve"> the proposed rules do not impose any requirements on parties who do not wish to participate in the program. Under the program rules</w:t>
      </w:r>
      <w:r w:rsidR="00385498">
        <w:rPr>
          <w:rFonts w:cs="Arial"/>
        </w:rPr>
        <w:t>,</w:t>
      </w:r>
      <w:r w:rsidRPr="00736977">
        <w:rPr>
          <w:rFonts w:cs="Arial"/>
        </w:rPr>
        <w:t xml:space="preserve"> large businesses would be eligible to apply for rebate funding to lease and purchase new zero</w:t>
      </w:r>
      <w:r w:rsidRPr="6256579D">
        <w:rPr>
          <w:rFonts w:cs="Arial"/>
        </w:rPr>
        <w:t>-</w:t>
      </w:r>
      <w:r w:rsidRPr="00736977">
        <w:rPr>
          <w:rFonts w:cs="Arial"/>
        </w:rPr>
        <w:t>emission vehicles. Businesses that apply for rebate funding would be responsible for the costs of preparing and applying and submitting annual reports. </w:t>
      </w:r>
    </w:p>
    <w:p w14:paraId="085C13E8" w14:textId="77777777" w:rsidR="00AB7AEA" w:rsidRPr="00736977" w:rsidRDefault="00AB7AEA" w:rsidP="00AB7AEA">
      <w:pPr>
        <w:rPr>
          <w:rFonts w:cs="Arial"/>
        </w:rPr>
      </w:pPr>
      <w:r w:rsidRPr="00736977">
        <w:rPr>
          <w:rFonts w:cs="Arial"/>
        </w:rPr>
        <w:t> </w:t>
      </w:r>
    </w:p>
    <w:p w14:paraId="4F744F3F" w14:textId="6F00C3CE" w:rsidR="00AB7AEA" w:rsidRPr="00736977" w:rsidRDefault="00AB7AEA" w:rsidP="00AB7AEA">
      <w:pPr>
        <w:rPr>
          <w:rFonts w:cs="Arial"/>
        </w:rPr>
      </w:pPr>
      <w:r w:rsidRPr="00736977">
        <w:rPr>
          <w:rFonts w:cs="Arial"/>
        </w:rPr>
        <w:t>Large business automobile manufacturers and car dealerships, such as those that manufacture or sell electric vehicles eligible for the rebate programs, could be affected by increased sales or leases, result</w:t>
      </w:r>
      <w:r w:rsidR="008A6CE4">
        <w:rPr>
          <w:rFonts w:cs="Arial"/>
        </w:rPr>
        <w:t>ing</w:t>
      </w:r>
      <w:r w:rsidRPr="00736977">
        <w:rPr>
          <w:rFonts w:cs="Arial"/>
        </w:rPr>
        <w:t xml:space="preserve"> in a positive fiscal impact. Large business automobile manufacturers and car </w:t>
      </w:r>
      <w:r w:rsidRPr="00736977">
        <w:rPr>
          <w:rFonts w:cs="Arial"/>
        </w:rPr>
        <w:lastRenderedPageBreak/>
        <w:t>dealerships that manufacture or sell cars other than electric vehicles</w:t>
      </w:r>
      <w:r w:rsidR="008A6CE4">
        <w:rPr>
          <w:rFonts w:cs="Arial"/>
        </w:rPr>
        <w:t>,</w:t>
      </w:r>
      <w:r w:rsidRPr="00736977">
        <w:rPr>
          <w:rFonts w:cs="Arial"/>
        </w:rPr>
        <w:t xml:space="preserve"> eligible for a rebate</w:t>
      </w:r>
      <w:r w:rsidR="008A6CE4">
        <w:rPr>
          <w:rFonts w:cs="Arial"/>
        </w:rPr>
        <w:t>,</w:t>
      </w:r>
      <w:r w:rsidRPr="00736977">
        <w:rPr>
          <w:rFonts w:cs="Arial"/>
        </w:rPr>
        <w:t xml:space="preserve"> could be affected by decreased sales or leases of non-rebated cars, if buyers or lessees opted to purchase rebate-eligible vehicles because of the added financial incentive provided by rebates. This could result in a negative fiscal impact for these manufacturers and dealerships. </w:t>
      </w:r>
    </w:p>
    <w:p w14:paraId="3C1104EB" w14:textId="77777777" w:rsidR="00AB7AEA" w:rsidRPr="00A373FD" w:rsidRDefault="00AB7AEA" w:rsidP="00AB7AEA">
      <w:pPr>
        <w:rPr>
          <w:rFonts w:cs="Arial"/>
        </w:rPr>
      </w:pPr>
    </w:p>
    <w:p w14:paraId="73F68DD3" w14:textId="77777777" w:rsidR="00AB7AEA" w:rsidRPr="00A373FD" w:rsidRDefault="00AB7AEA" w:rsidP="00AB7AEA">
      <w:pPr>
        <w:pStyle w:val="Heading3"/>
        <w:rPr>
          <w:rFonts w:cs="Arial"/>
        </w:rPr>
      </w:pPr>
      <w:bookmarkStart w:id="49" w:name="_Toc226361746"/>
      <w:r w:rsidRPr="00A373FD">
        <w:rPr>
          <w:rFonts w:cs="Arial"/>
        </w:rPr>
        <w:t>Small businesses – businesses with 50 or fewer employees</w:t>
      </w:r>
      <w:bookmarkEnd w:id="49"/>
    </w:p>
    <w:p w14:paraId="54ABCB6A" w14:textId="7587D398" w:rsidR="00AB7AEA" w:rsidRDefault="00AB7AEA" w:rsidP="00AB7AEA">
      <w:pPr>
        <w:rPr>
          <w:rFonts w:cs="Arial"/>
        </w:rPr>
      </w:pPr>
      <w:r w:rsidRPr="0075374B">
        <w:rPr>
          <w:rFonts w:cs="Arial"/>
        </w:rPr>
        <w:t xml:space="preserve">Small businesses’ </w:t>
      </w:r>
      <w:r w:rsidR="005066D1" w:rsidRPr="0075374B">
        <w:rPr>
          <w:rFonts w:cs="Arial"/>
        </w:rPr>
        <w:t>costs</w:t>
      </w:r>
      <w:r w:rsidRPr="0075374B">
        <w:rPr>
          <w:rFonts w:cs="Arial"/>
        </w:rPr>
        <w:t xml:space="preserve"> to comply with the proposed rules </w:t>
      </w:r>
      <w:r w:rsidR="00A5591A" w:rsidRPr="0075374B">
        <w:rPr>
          <w:rFonts w:cs="Arial"/>
        </w:rPr>
        <w:t>are</w:t>
      </w:r>
      <w:r w:rsidRPr="0075374B">
        <w:rPr>
          <w:rFonts w:cs="Arial"/>
        </w:rPr>
        <w:t xml:space="preserve"> </w:t>
      </w:r>
      <w:r w:rsidR="002E61B8">
        <w:rPr>
          <w:rFonts w:cs="Arial"/>
        </w:rPr>
        <w:t>expected</w:t>
      </w:r>
      <w:r>
        <w:rPr>
          <w:rFonts w:cs="Arial"/>
        </w:rPr>
        <w:t xml:space="preserve"> to be </w:t>
      </w:r>
      <w:r w:rsidRPr="0075374B">
        <w:rPr>
          <w:rFonts w:cs="Arial"/>
        </w:rPr>
        <w:t>identical to costs described above for large businesses. </w:t>
      </w:r>
    </w:p>
    <w:p w14:paraId="5DA793C6" w14:textId="77777777" w:rsidR="00AB7AEA" w:rsidRPr="00A373FD" w:rsidRDefault="00AB7AEA" w:rsidP="00AB7AEA">
      <w:pPr>
        <w:rPr>
          <w:rFonts w:cs="Arial"/>
        </w:rPr>
      </w:pPr>
    </w:p>
    <w:p w14:paraId="00DCECD9" w14:textId="77777777" w:rsidR="00AB7AEA" w:rsidRPr="00A373FD" w:rsidRDefault="00AB7AEA" w:rsidP="00AB7AEA">
      <w:pPr>
        <w:rPr>
          <w:rFonts w:cs="Arial"/>
          <w:b/>
        </w:rPr>
      </w:pPr>
      <w:r w:rsidRPr="00A373FD">
        <w:rPr>
          <w:rFonts w:cs="Arial"/>
          <w:b/>
        </w:rPr>
        <w:t>ORS 183.336 - Cost of Compliance for Small Businesses</w:t>
      </w:r>
    </w:p>
    <w:p w14:paraId="0C594E72" w14:textId="77777777" w:rsidR="00AB7AEA" w:rsidRPr="00A373FD" w:rsidRDefault="00AB7AEA" w:rsidP="00AB7AEA">
      <w:pPr>
        <w:pStyle w:val="Heading4"/>
        <w:rPr>
          <w:rFonts w:cs="Arial"/>
        </w:rPr>
      </w:pPr>
      <w:r>
        <w:rPr>
          <w:rFonts w:cs="Arial"/>
        </w:rPr>
        <w:t>a</w:t>
      </w:r>
      <w:r w:rsidRPr="00A373FD">
        <w:rPr>
          <w:rFonts w:cs="Arial"/>
        </w:rPr>
        <w:t>. Estimated number of small businesses and types of businesses and industries with small businesses subject to proposed rule.</w:t>
      </w:r>
    </w:p>
    <w:p w14:paraId="336D821D" w14:textId="5B6C137B" w:rsidR="00AB7AEA" w:rsidRDefault="00AB7AEA" w:rsidP="00AB7AEA">
      <w:pPr>
        <w:rPr>
          <w:rStyle w:val="eop"/>
          <w:rFonts w:cs="Arial"/>
          <w:szCs w:val="22"/>
          <w:shd w:val="clear" w:color="auto" w:fill="FFFFFF"/>
        </w:rPr>
      </w:pPr>
      <w:r>
        <w:rPr>
          <w:rStyle w:val="normaltextrun"/>
          <w:rFonts w:cs="Arial"/>
          <w:szCs w:val="22"/>
          <w:shd w:val="clear" w:color="auto" w:fill="FFFFFF"/>
        </w:rPr>
        <w:t xml:space="preserve">Using recent employment data, DEQ identified up to 2,216 truck transportation businesses potentially affected by the ZERO Fleet section of this rule. Other sectors likely to benefit from available rebate funding include 368 couriers and messengers and up to 318 transit and ground passenger transportation businesses. DEQ also identified 302 new car dealers and 288 used car dealers potentially affected by the OCVRP section of this rule. All these businesses will continue to see the benefits </w:t>
      </w:r>
      <w:r w:rsidR="00844E01">
        <w:rPr>
          <w:rStyle w:val="normaltextrun"/>
          <w:rFonts w:cs="Arial"/>
          <w:szCs w:val="22"/>
          <w:shd w:val="clear" w:color="auto" w:fill="FFFFFF"/>
        </w:rPr>
        <w:t xml:space="preserve">of </w:t>
      </w:r>
      <w:r>
        <w:rPr>
          <w:rStyle w:val="normaltextrun"/>
          <w:rFonts w:cs="Arial"/>
          <w:szCs w:val="22"/>
          <w:shd w:val="clear" w:color="auto" w:fill="FFFFFF"/>
        </w:rPr>
        <w:t>the rebate programs if they choose to apply for rebate funding.</w:t>
      </w:r>
      <w:r>
        <w:rPr>
          <w:rStyle w:val="eop"/>
          <w:rFonts w:cs="Arial"/>
          <w:szCs w:val="22"/>
          <w:shd w:val="clear" w:color="auto" w:fill="FFFFFF"/>
        </w:rPr>
        <w:t> </w:t>
      </w:r>
    </w:p>
    <w:p w14:paraId="0B255F91" w14:textId="77777777" w:rsidR="00AB7AEA" w:rsidRPr="00A373FD" w:rsidRDefault="00AB7AEA" w:rsidP="00AB7AEA">
      <w:pPr>
        <w:rPr>
          <w:rFonts w:cs="Arial"/>
        </w:rPr>
      </w:pPr>
    </w:p>
    <w:p w14:paraId="33CFE6AA" w14:textId="77777777" w:rsidR="00AB7AEA" w:rsidRPr="00A373FD" w:rsidRDefault="00AB7AEA" w:rsidP="00AB7AEA">
      <w:pPr>
        <w:pStyle w:val="Heading4"/>
        <w:rPr>
          <w:rFonts w:cs="Arial"/>
        </w:rPr>
      </w:pPr>
      <w:r>
        <w:rPr>
          <w:rFonts w:cs="Arial"/>
        </w:rPr>
        <w:t>b</w:t>
      </w:r>
      <w:r w:rsidRPr="00A373FD">
        <w:rPr>
          <w:rFonts w:cs="Arial"/>
        </w:rPr>
        <w:t>. Projected reporting, recordkeeping and other administrative activities, including costs of professional services, required for small businesses to comply with the proposed rule.</w:t>
      </w:r>
    </w:p>
    <w:p w14:paraId="69B9C6CD" w14:textId="5C343477" w:rsidR="00AB7AEA" w:rsidRPr="00514135" w:rsidRDefault="00AB7AEA" w:rsidP="00AB7AEA">
      <w:pPr>
        <w:pStyle w:val="Heading4"/>
        <w:rPr>
          <w:rFonts w:eastAsiaTheme="minorEastAsia" w:cs="Arial"/>
          <w:b w:val="0"/>
          <w:color w:val="auto"/>
          <w:sz w:val="22"/>
          <w:szCs w:val="22"/>
        </w:rPr>
      </w:pPr>
      <w:r w:rsidRPr="00514135">
        <w:rPr>
          <w:rFonts w:eastAsiaTheme="minorEastAsia" w:cs="Arial"/>
          <w:b w:val="0"/>
          <w:color w:val="auto"/>
          <w:sz w:val="22"/>
          <w:szCs w:val="22"/>
        </w:rPr>
        <w:t xml:space="preserve">Businesses that apply for ZERO Fleet Rebate funding would continue to be responsible for the costs of preparing and applying and submitting annual reports. DEQ estimates these costs would be minimal, a total of less than two hours of staff </w:t>
      </w:r>
      <w:r w:rsidR="005066D1" w:rsidRPr="00514135">
        <w:rPr>
          <w:rFonts w:eastAsiaTheme="minorEastAsia" w:cs="Arial"/>
          <w:b w:val="0"/>
          <w:color w:val="auto"/>
          <w:sz w:val="22"/>
          <w:szCs w:val="22"/>
        </w:rPr>
        <w:t>time, and</w:t>
      </w:r>
      <w:r w:rsidRPr="00514135">
        <w:rPr>
          <w:rFonts w:eastAsiaTheme="minorEastAsia" w:cs="Arial"/>
          <w:b w:val="0"/>
          <w:color w:val="auto"/>
          <w:sz w:val="22"/>
          <w:szCs w:val="22"/>
        </w:rPr>
        <w:t xml:space="preserve"> would occur for those businesses that choose to purchase or lease new medium- and heavy-duty zero-emissions vehicles and apply for a ZERO Fleet Rebate for their fleets. Those costs may be offset in whole or in part by any rebates received. No additional activities are required to comply with the proposed Oregon Clean Vehicle Rebate Program rules. </w:t>
      </w:r>
    </w:p>
    <w:p w14:paraId="170C8CFA" w14:textId="77777777" w:rsidR="00AB7AEA" w:rsidRDefault="00AB7AEA" w:rsidP="00AB7AEA">
      <w:pPr>
        <w:pStyle w:val="Heading4"/>
        <w:rPr>
          <w:rFonts w:eastAsiaTheme="minorHAnsi" w:cs="Arial"/>
          <w:b w:val="0"/>
          <w:bCs/>
          <w:iCs w:val="0"/>
          <w:color w:val="BF4E14" w:themeColor="accent2" w:themeShade="BF"/>
          <w:szCs w:val="32"/>
        </w:rPr>
      </w:pPr>
    </w:p>
    <w:p w14:paraId="578918E1" w14:textId="77777777" w:rsidR="00AB7AEA" w:rsidRPr="00A373FD" w:rsidRDefault="00AB7AEA" w:rsidP="00AB7AEA">
      <w:pPr>
        <w:pStyle w:val="Heading4"/>
        <w:rPr>
          <w:rFonts w:cs="Arial"/>
        </w:rPr>
      </w:pPr>
      <w:r>
        <w:rPr>
          <w:rFonts w:cs="Arial"/>
        </w:rPr>
        <w:t>c</w:t>
      </w:r>
      <w:r w:rsidRPr="00A373FD">
        <w:rPr>
          <w:rFonts w:cs="Arial"/>
        </w:rPr>
        <w:t>. Projected equipment, supplies, labor and increased administration required for small businesses to comply with the proposed rule.</w:t>
      </w:r>
    </w:p>
    <w:p w14:paraId="3CFB2F6E" w14:textId="77777777" w:rsidR="00AB7AEA" w:rsidRPr="00EF4EC0" w:rsidRDefault="00AB7AEA" w:rsidP="00AB7AEA">
      <w:pPr>
        <w:rPr>
          <w:rFonts w:cs="Arial"/>
          <w:bCs/>
          <w:szCs w:val="32"/>
        </w:rPr>
      </w:pPr>
      <w:r w:rsidRPr="00EF4EC0">
        <w:rPr>
          <w:rFonts w:cs="Arial"/>
          <w:bCs/>
          <w:szCs w:val="32"/>
        </w:rPr>
        <w:t xml:space="preserve">The proposed OCVRP and ZERO Fleet rules </w:t>
      </w:r>
      <w:r>
        <w:rPr>
          <w:rFonts w:cs="Arial"/>
          <w:bCs/>
          <w:szCs w:val="32"/>
        </w:rPr>
        <w:t>would</w:t>
      </w:r>
      <w:r w:rsidRPr="00EF4EC0">
        <w:rPr>
          <w:rFonts w:cs="Arial"/>
          <w:bCs/>
          <w:szCs w:val="32"/>
        </w:rPr>
        <w:t xml:space="preserve"> not require any additional resources for small businesses to comply. </w:t>
      </w:r>
    </w:p>
    <w:p w14:paraId="0B576D60" w14:textId="77777777" w:rsidR="00AB7AEA" w:rsidRPr="00A373FD" w:rsidRDefault="00AB7AEA" w:rsidP="00AB7AEA">
      <w:pPr>
        <w:rPr>
          <w:rFonts w:cs="Arial"/>
        </w:rPr>
      </w:pPr>
    </w:p>
    <w:p w14:paraId="340BAA42" w14:textId="77777777" w:rsidR="00AB7AEA" w:rsidRPr="00A373FD" w:rsidRDefault="00AB7AEA" w:rsidP="00AB7AEA">
      <w:pPr>
        <w:pStyle w:val="Heading4"/>
        <w:rPr>
          <w:rFonts w:cs="Arial"/>
        </w:rPr>
      </w:pPr>
      <w:r>
        <w:rPr>
          <w:rFonts w:cs="Arial"/>
        </w:rPr>
        <w:lastRenderedPageBreak/>
        <w:t>d</w:t>
      </w:r>
      <w:r w:rsidRPr="00A373FD">
        <w:rPr>
          <w:rFonts w:cs="Arial"/>
        </w:rPr>
        <w:t>. Describe how DEQ involved small businesses in developing this proposed rule.</w:t>
      </w:r>
    </w:p>
    <w:p w14:paraId="1EE88BFA" w14:textId="340D9DFF" w:rsidR="00AB7AEA" w:rsidRDefault="00AB7AEA" w:rsidP="00AB7AEA">
      <w:pPr>
        <w:rPr>
          <w:rStyle w:val="eop"/>
          <w:rFonts w:cs="Arial"/>
          <w:szCs w:val="22"/>
          <w:shd w:val="clear" w:color="auto" w:fill="FFFFFF"/>
        </w:rPr>
      </w:pPr>
      <w:r>
        <w:rPr>
          <w:rStyle w:val="normaltextrun"/>
          <w:rFonts w:cs="Arial"/>
          <w:szCs w:val="22"/>
          <w:shd w:val="clear" w:color="auto" w:fill="FFFFFF"/>
        </w:rPr>
        <w:t xml:space="preserve">DEQ included small business representatives on the Rule Advisory Committee that made recommendations to DEQ on the cost of compliance for small businesses, and this statement incorporates those recommendations. DEQ also provided rulemaking notice through the Oregon Trucking Association, </w:t>
      </w:r>
      <w:r w:rsidR="003D3A2B">
        <w:rPr>
          <w:rStyle w:val="normaltextrun"/>
          <w:rFonts w:cs="Arial"/>
          <w:szCs w:val="22"/>
          <w:shd w:val="clear" w:color="auto" w:fill="FFFFFF"/>
        </w:rPr>
        <w:t xml:space="preserve">the </w:t>
      </w:r>
      <w:r>
        <w:rPr>
          <w:rStyle w:val="normaltextrun"/>
          <w:rFonts w:cs="Arial"/>
          <w:szCs w:val="22"/>
          <w:shd w:val="clear" w:color="auto" w:fill="FFFFFF"/>
        </w:rPr>
        <w:t xml:space="preserve">Professional Business Development Group, </w:t>
      </w:r>
      <w:r w:rsidR="003D3A2B">
        <w:rPr>
          <w:rStyle w:val="normaltextrun"/>
          <w:rFonts w:cs="Arial"/>
          <w:szCs w:val="22"/>
          <w:shd w:val="clear" w:color="auto" w:fill="FFFFFF"/>
        </w:rPr>
        <w:t xml:space="preserve">the </w:t>
      </w:r>
      <w:r>
        <w:rPr>
          <w:rStyle w:val="normaltextrun"/>
          <w:rFonts w:cs="Arial"/>
          <w:szCs w:val="22"/>
          <w:shd w:val="clear" w:color="auto" w:fill="FFFFFF"/>
        </w:rPr>
        <w:t xml:space="preserve">Columbia Willamette Clean Cities Coalition, and </w:t>
      </w:r>
      <w:r w:rsidR="003D3A2B">
        <w:rPr>
          <w:rStyle w:val="normaltextrun"/>
          <w:rFonts w:cs="Arial"/>
          <w:szCs w:val="22"/>
          <w:shd w:val="clear" w:color="auto" w:fill="FFFFFF"/>
        </w:rPr>
        <w:t xml:space="preserve">the </w:t>
      </w:r>
      <w:r>
        <w:rPr>
          <w:rStyle w:val="normaltextrun"/>
          <w:rFonts w:cs="Arial"/>
          <w:szCs w:val="22"/>
          <w:shd w:val="clear" w:color="auto" w:fill="FFFFFF"/>
        </w:rPr>
        <w:t>Breaking Barriers Collaborative. These associations include small businesses as part of their membership. </w:t>
      </w:r>
      <w:r>
        <w:rPr>
          <w:rStyle w:val="eop"/>
          <w:rFonts w:cs="Arial"/>
          <w:szCs w:val="22"/>
          <w:shd w:val="clear" w:color="auto" w:fill="FFFFFF"/>
        </w:rPr>
        <w:t> </w:t>
      </w:r>
    </w:p>
    <w:p w14:paraId="1B3FA136" w14:textId="77777777" w:rsidR="00C600EC" w:rsidRPr="00A373FD" w:rsidRDefault="00C600EC" w:rsidP="00AB7AEA">
      <w:pPr>
        <w:rPr>
          <w:rFonts w:cs="Arial"/>
        </w:rPr>
      </w:pPr>
    </w:p>
    <w:p w14:paraId="5A4EAA92" w14:textId="77777777" w:rsidR="00AB7AEA" w:rsidRPr="00A373FD" w:rsidRDefault="00AB7AEA" w:rsidP="00AB7AEA">
      <w:pPr>
        <w:pStyle w:val="Heading2"/>
        <w:rPr>
          <w:rFonts w:cs="Arial"/>
        </w:rPr>
      </w:pPr>
      <w:bookmarkStart w:id="50" w:name="_Toc226361747"/>
      <w:r w:rsidRPr="00A373FD">
        <w:rPr>
          <w:rFonts w:cs="Arial"/>
        </w:rPr>
        <w:t>Documents relied on for fiscal and economic impact</w:t>
      </w:r>
      <w:bookmarkEnd w:id="50"/>
    </w:p>
    <w:tbl>
      <w:tblPr>
        <w:tblStyle w:val="TableGrid"/>
        <w:tblW w:w="9427"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4747"/>
        <w:gridCol w:w="4680"/>
      </w:tblGrid>
      <w:tr w:rsidR="00AB7AEA" w:rsidRPr="00A373FD" w14:paraId="60D86717" w14:textId="77777777">
        <w:tc>
          <w:tcPr>
            <w:tcW w:w="4747" w:type="dxa"/>
            <w:shd w:val="clear" w:color="auto" w:fill="D9F2D0" w:themeFill="accent6" w:themeFillTint="33"/>
          </w:tcPr>
          <w:p w14:paraId="6EF59DAF" w14:textId="77777777" w:rsidR="00AB7AEA" w:rsidRPr="005C13BE" w:rsidRDefault="00AB7AEA">
            <w:pPr>
              <w:jc w:val="center"/>
              <w:rPr>
                <w:rFonts w:cs="Arial"/>
                <w:b/>
                <w:sz w:val="24"/>
              </w:rPr>
            </w:pPr>
            <w:r w:rsidRPr="005C13BE">
              <w:rPr>
                <w:rFonts w:cs="Arial"/>
                <w:b/>
                <w:sz w:val="24"/>
              </w:rPr>
              <w:t>Document title</w:t>
            </w:r>
          </w:p>
        </w:tc>
        <w:tc>
          <w:tcPr>
            <w:tcW w:w="4680" w:type="dxa"/>
            <w:shd w:val="clear" w:color="auto" w:fill="D9F2D0" w:themeFill="accent6" w:themeFillTint="33"/>
          </w:tcPr>
          <w:p w14:paraId="5FAF3D88" w14:textId="77777777" w:rsidR="00AB7AEA" w:rsidRPr="005C13BE" w:rsidRDefault="00AB7AEA">
            <w:pPr>
              <w:jc w:val="center"/>
              <w:rPr>
                <w:rFonts w:cs="Arial"/>
                <w:b/>
                <w:sz w:val="24"/>
              </w:rPr>
            </w:pPr>
            <w:r w:rsidRPr="005C13BE">
              <w:rPr>
                <w:rFonts w:cs="Arial"/>
                <w:b/>
                <w:sz w:val="24"/>
              </w:rPr>
              <w:t>Document location</w:t>
            </w:r>
          </w:p>
        </w:tc>
      </w:tr>
      <w:tr w:rsidR="00AB7AEA" w:rsidRPr="00A373FD" w14:paraId="504EF5C6" w14:textId="77777777">
        <w:trPr>
          <w:trHeight w:val="735"/>
        </w:trPr>
        <w:tc>
          <w:tcPr>
            <w:tcW w:w="4747" w:type="dxa"/>
            <w:vAlign w:val="center"/>
          </w:tcPr>
          <w:p w14:paraId="5677F189" w14:textId="77777777" w:rsidR="00C600EC" w:rsidRPr="00C600EC" w:rsidRDefault="00C600EC" w:rsidP="00C600EC">
            <w:pPr>
              <w:spacing w:after="0"/>
              <w:outlineLvl w:val="0"/>
              <w:rPr>
                <w:rFonts w:eastAsia="Calibri" w:cs="Arial"/>
                <w:color w:val="000000"/>
                <w:kern w:val="0"/>
                <w14:ligatures w14:val="none"/>
              </w:rPr>
            </w:pPr>
            <w:r w:rsidRPr="00C600EC">
              <w:rPr>
                <w:rFonts w:eastAsia="Calibri" w:cs="Arial"/>
                <w:color w:val="000000"/>
                <w:kern w:val="0"/>
                <w14:ligatures w14:val="none"/>
              </w:rPr>
              <w:t>Covered Employment and Wages (QCEW) </w:t>
            </w:r>
          </w:p>
          <w:p w14:paraId="5279E82B" w14:textId="77777777" w:rsidR="00C600EC" w:rsidRPr="00C600EC" w:rsidRDefault="00C600EC" w:rsidP="00C600EC">
            <w:pPr>
              <w:spacing w:after="0"/>
              <w:outlineLvl w:val="0"/>
              <w:rPr>
                <w:rFonts w:eastAsia="Calibri" w:cs="Arial"/>
                <w:color w:val="000000"/>
                <w:kern w:val="0"/>
                <w14:ligatures w14:val="none"/>
              </w:rPr>
            </w:pPr>
            <w:r w:rsidRPr="00C600EC">
              <w:rPr>
                <w:rFonts w:eastAsia="Calibri" w:cs="Arial"/>
                <w:color w:val="000000"/>
                <w:kern w:val="0"/>
                <w14:ligatures w14:val="none"/>
              </w:rPr>
              <w:t>Oregon, 2024 Annual </w:t>
            </w:r>
          </w:p>
          <w:p w14:paraId="59F95089" w14:textId="77777777" w:rsidR="00AB7AEA" w:rsidRPr="00A373FD" w:rsidRDefault="00AB7AEA">
            <w:pPr>
              <w:rPr>
                <w:rFonts w:cs="Arial"/>
              </w:rPr>
            </w:pPr>
          </w:p>
        </w:tc>
        <w:tc>
          <w:tcPr>
            <w:tcW w:w="4680" w:type="dxa"/>
            <w:vAlign w:val="center"/>
          </w:tcPr>
          <w:p w14:paraId="4C937727" w14:textId="77777777" w:rsidR="00AB7AEA" w:rsidRPr="00A373FD" w:rsidRDefault="00AB7AEA">
            <w:pPr>
              <w:rPr>
                <w:rFonts w:cs="Arial"/>
              </w:rPr>
            </w:pPr>
            <w:hyperlink r:id="rId44" w:tgtFrame="_blank" w:history="1">
              <w:r w:rsidRPr="00F1126F">
                <w:rPr>
                  <w:rStyle w:val="Hyperlink"/>
                  <w:rFonts w:cs="Arial"/>
                </w:rPr>
                <w:t>Link to the 2024 report</w:t>
              </w:r>
            </w:hyperlink>
            <w:r w:rsidRPr="00F1126F">
              <w:rPr>
                <w:rFonts w:cs="Arial"/>
              </w:rPr>
              <w:t> </w:t>
            </w:r>
          </w:p>
        </w:tc>
      </w:tr>
    </w:tbl>
    <w:p w14:paraId="00378846" w14:textId="77777777" w:rsidR="00AB7AEA" w:rsidRPr="00A373FD" w:rsidRDefault="00AB7AEA" w:rsidP="00AB7AEA">
      <w:pPr>
        <w:rPr>
          <w:rFonts w:cs="Arial"/>
        </w:rPr>
      </w:pPr>
      <w:r w:rsidRPr="00A373FD">
        <w:rPr>
          <w:rFonts w:cs="Arial"/>
        </w:rPr>
        <w:t xml:space="preserve"> </w:t>
      </w:r>
    </w:p>
    <w:p w14:paraId="6D7382A6" w14:textId="77777777" w:rsidR="00AB7AEA" w:rsidRPr="00A373FD" w:rsidRDefault="00AB7AEA" w:rsidP="00AB7AEA">
      <w:pPr>
        <w:rPr>
          <w:rFonts w:cs="Arial"/>
        </w:rPr>
      </w:pPr>
    </w:p>
    <w:p w14:paraId="0368145E" w14:textId="77777777" w:rsidR="00AB7AEA" w:rsidRPr="00A373FD" w:rsidRDefault="00AB7AEA" w:rsidP="00AB7AEA">
      <w:pPr>
        <w:pStyle w:val="Heading2"/>
        <w:rPr>
          <w:rFonts w:cs="Arial"/>
        </w:rPr>
      </w:pPr>
      <w:bookmarkStart w:id="51" w:name="_Toc226361748"/>
      <w:r w:rsidRPr="606BE53E">
        <w:rPr>
          <w:rFonts w:cs="Arial"/>
        </w:rPr>
        <w:t>Advisory committee fiscal review</w:t>
      </w:r>
      <w:bookmarkEnd w:id="51"/>
    </w:p>
    <w:p w14:paraId="4AE217F7" w14:textId="77777777" w:rsidR="00AB7AEA" w:rsidRDefault="00AB7AEA" w:rsidP="00AB7AEA">
      <w:pPr>
        <w:pStyle w:val="paragraph"/>
        <w:spacing w:before="0" w:beforeAutospacing="0" w:after="0" w:afterAutospacing="0"/>
        <w:textAlignment w:val="baseline"/>
        <w:rPr>
          <w:rFonts w:ascii="Arial" w:hAnsi="Arial" w:cs="Arial"/>
          <w:color w:val="000000"/>
          <w:sz w:val="22"/>
          <w:szCs w:val="22"/>
        </w:rPr>
      </w:pPr>
      <w:r>
        <w:rPr>
          <w:rStyle w:val="normaltextrun"/>
          <w:rFonts w:ascii="Arial" w:eastAsiaTheme="minorEastAsia" w:hAnsi="Arial" w:cs="Arial"/>
          <w:color w:val="000000"/>
          <w:sz w:val="22"/>
          <w:szCs w:val="22"/>
        </w:rPr>
        <w:t>DEQ appointed an advisory committee. </w:t>
      </w:r>
      <w:r>
        <w:rPr>
          <w:rStyle w:val="eop"/>
          <w:rFonts w:ascii="Arial" w:hAnsi="Arial" w:cs="Arial"/>
          <w:color w:val="000000"/>
          <w:sz w:val="22"/>
          <w:szCs w:val="22"/>
        </w:rPr>
        <w:t> </w:t>
      </w:r>
    </w:p>
    <w:p w14:paraId="5EBE32F3" w14:textId="77777777" w:rsidR="00AB7AEA" w:rsidRDefault="00AB7AEA" w:rsidP="00AB7AEA">
      <w:pPr>
        <w:pStyle w:val="paragraph"/>
        <w:spacing w:before="0" w:beforeAutospacing="0" w:after="0" w:afterAutospacing="0"/>
        <w:textAlignment w:val="baseline"/>
        <w:rPr>
          <w:rFonts w:ascii="Arial" w:hAnsi="Arial" w:cs="Arial"/>
          <w:color w:val="000000"/>
          <w:sz w:val="22"/>
          <w:szCs w:val="22"/>
        </w:rPr>
      </w:pPr>
      <w:r>
        <w:rPr>
          <w:rStyle w:val="eop"/>
          <w:rFonts w:ascii="Arial" w:hAnsi="Arial" w:cs="Arial"/>
          <w:color w:val="000000"/>
          <w:sz w:val="22"/>
          <w:szCs w:val="22"/>
        </w:rPr>
        <w:t> </w:t>
      </w:r>
    </w:p>
    <w:p w14:paraId="41B57469" w14:textId="77777777" w:rsidR="00AB7AEA" w:rsidRDefault="00AB7AEA" w:rsidP="00AB7AEA">
      <w:pPr>
        <w:pStyle w:val="paragraph"/>
        <w:spacing w:before="0" w:beforeAutospacing="0" w:after="0" w:afterAutospacing="0"/>
        <w:textAlignment w:val="baseline"/>
        <w:rPr>
          <w:rFonts w:ascii="Arial" w:hAnsi="Arial" w:cs="Arial"/>
          <w:color w:val="000000"/>
          <w:sz w:val="22"/>
          <w:szCs w:val="22"/>
        </w:rPr>
      </w:pPr>
      <w:r>
        <w:rPr>
          <w:rStyle w:val="normaltextrun"/>
          <w:rFonts w:ascii="Arial" w:eastAsiaTheme="minorEastAsia" w:hAnsi="Arial" w:cs="Arial"/>
          <w:color w:val="000000"/>
          <w:sz w:val="22"/>
          <w:szCs w:val="22"/>
        </w:rPr>
        <w:t>As ORS 183.333 requires, DEQ asked for the committee’s recommendations on:</w:t>
      </w:r>
      <w:r>
        <w:rPr>
          <w:rStyle w:val="eop"/>
          <w:rFonts w:ascii="Arial" w:hAnsi="Arial" w:cs="Arial"/>
          <w:color w:val="000000"/>
          <w:sz w:val="22"/>
          <w:szCs w:val="22"/>
        </w:rPr>
        <w:t> </w:t>
      </w:r>
    </w:p>
    <w:p w14:paraId="693FBBB4" w14:textId="59CDB0D1" w:rsidR="00AB7AEA" w:rsidRDefault="00AB7AEA" w:rsidP="00AB7AEA">
      <w:pPr>
        <w:pStyle w:val="paragraph"/>
        <w:numPr>
          <w:ilvl w:val="0"/>
          <w:numId w:val="20"/>
        </w:numPr>
        <w:spacing w:before="0" w:beforeAutospacing="0" w:after="0" w:afterAutospacing="0"/>
        <w:textAlignment w:val="baseline"/>
        <w:rPr>
          <w:rFonts w:ascii="Arial" w:hAnsi="Arial" w:cs="Arial"/>
          <w:color w:val="000000"/>
          <w:sz w:val="22"/>
          <w:szCs w:val="22"/>
        </w:rPr>
      </w:pPr>
      <w:r>
        <w:rPr>
          <w:rStyle w:val="normaltextrun"/>
          <w:rFonts w:ascii="Arial" w:eastAsiaTheme="minorEastAsia" w:hAnsi="Arial" w:cs="Arial"/>
          <w:color w:val="000000"/>
          <w:sz w:val="22"/>
          <w:szCs w:val="22"/>
        </w:rPr>
        <w:t>Whether the proposed rules would have a fiscal impact</w:t>
      </w:r>
      <w:r w:rsidR="003D3A2B">
        <w:rPr>
          <w:rStyle w:val="normaltextrun"/>
          <w:rFonts w:ascii="Arial" w:eastAsiaTheme="minorEastAsia" w:hAnsi="Arial" w:cs="Arial"/>
          <w:color w:val="000000"/>
          <w:sz w:val="22"/>
          <w:szCs w:val="22"/>
        </w:rPr>
        <w:t>.</w:t>
      </w:r>
      <w:r>
        <w:rPr>
          <w:rStyle w:val="normaltextrun"/>
          <w:rFonts w:ascii="Arial" w:eastAsiaTheme="minorEastAsia" w:hAnsi="Arial" w:cs="Arial"/>
          <w:color w:val="000000"/>
          <w:sz w:val="22"/>
          <w:szCs w:val="22"/>
        </w:rPr>
        <w:t> </w:t>
      </w:r>
      <w:r>
        <w:rPr>
          <w:rStyle w:val="eop"/>
          <w:rFonts w:ascii="Arial" w:hAnsi="Arial" w:cs="Arial"/>
          <w:color w:val="000000"/>
          <w:sz w:val="22"/>
          <w:szCs w:val="22"/>
        </w:rPr>
        <w:t> </w:t>
      </w:r>
    </w:p>
    <w:p w14:paraId="4D10E73E" w14:textId="3571869A" w:rsidR="00AB7AEA" w:rsidRDefault="00AB7AEA" w:rsidP="00AB7AEA">
      <w:pPr>
        <w:pStyle w:val="paragraph"/>
        <w:numPr>
          <w:ilvl w:val="0"/>
          <w:numId w:val="20"/>
        </w:numPr>
        <w:spacing w:before="0" w:beforeAutospacing="0" w:after="0" w:afterAutospacing="0"/>
        <w:textAlignment w:val="baseline"/>
        <w:rPr>
          <w:rFonts w:ascii="Arial" w:hAnsi="Arial" w:cs="Arial"/>
          <w:color w:val="000000"/>
          <w:sz w:val="22"/>
          <w:szCs w:val="22"/>
        </w:rPr>
      </w:pPr>
      <w:r w:rsidRPr="00537E2B">
        <w:rPr>
          <w:rStyle w:val="normaltextrun"/>
          <w:rFonts w:ascii="Arial" w:eastAsiaTheme="minorEastAsia" w:hAnsi="Arial" w:cs="Arial"/>
          <w:color w:val="000000"/>
          <w:sz w:val="22"/>
          <w:szCs w:val="22"/>
        </w:rPr>
        <w:t>The extent of the impact</w:t>
      </w:r>
      <w:r w:rsidR="003D3A2B">
        <w:rPr>
          <w:rStyle w:val="eop"/>
          <w:rFonts w:ascii="Arial" w:hAnsi="Arial" w:cs="Arial"/>
          <w:color w:val="000000"/>
          <w:sz w:val="22"/>
          <w:szCs w:val="22"/>
        </w:rPr>
        <w:t>.</w:t>
      </w:r>
    </w:p>
    <w:p w14:paraId="1C842339" w14:textId="5DAA862C" w:rsidR="00AB7AEA" w:rsidRPr="00537E2B" w:rsidRDefault="00AB7AEA" w:rsidP="00AB7AEA">
      <w:pPr>
        <w:pStyle w:val="paragraph"/>
        <w:numPr>
          <w:ilvl w:val="0"/>
          <w:numId w:val="20"/>
        </w:numPr>
        <w:spacing w:before="0" w:beforeAutospacing="0" w:after="0" w:afterAutospacing="0"/>
        <w:textAlignment w:val="baseline"/>
        <w:rPr>
          <w:rFonts w:ascii="Arial" w:hAnsi="Arial" w:cs="Arial"/>
          <w:color w:val="000000"/>
          <w:sz w:val="22"/>
          <w:szCs w:val="22"/>
        </w:rPr>
      </w:pPr>
      <w:r w:rsidRPr="00537E2B">
        <w:rPr>
          <w:rStyle w:val="normaltextrun"/>
          <w:rFonts w:ascii="Arial" w:eastAsiaTheme="minorEastAsia" w:hAnsi="Arial" w:cs="Arial"/>
          <w:color w:val="000000"/>
          <w:sz w:val="22"/>
          <w:szCs w:val="22"/>
        </w:rPr>
        <w:t xml:space="preserve">Whether the proposed rules would have a significant adverse impact on small businesses; if so, then how DEQ can comply with ORS 183.540 </w:t>
      </w:r>
      <w:r w:rsidR="000F2AEC">
        <w:rPr>
          <w:rStyle w:val="normaltextrun"/>
          <w:rFonts w:ascii="Arial" w:eastAsiaTheme="minorEastAsia" w:hAnsi="Arial" w:cs="Arial"/>
          <w:color w:val="000000"/>
          <w:sz w:val="22"/>
          <w:szCs w:val="22"/>
        </w:rPr>
        <w:t xml:space="preserve">to </w:t>
      </w:r>
      <w:r w:rsidRPr="00537E2B">
        <w:rPr>
          <w:rStyle w:val="normaltextrun"/>
          <w:rFonts w:ascii="Arial" w:eastAsiaTheme="minorEastAsia" w:hAnsi="Arial" w:cs="Arial"/>
          <w:color w:val="000000"/>
          <w:sz w:val="22"/>
          <w:szCs w:val="22"/>
        </w:rPr>
        <w:t>reduce that impact. </w:t>
      </w:r>
      <w:r w:rsidRPr="00537E2B">
        <w:rPr>
          <w:rStyle w:val="eop"/>
          <w:rFonts w:ascii="Arial" w:hAnsi="Arial" w:cs="Arial"/>
          <w:color w:val="000000"/>
          <w:sz w:val="22"/>
          <w:szCs w:val="22"/>
        </w:rPr>
        <w:t> </w:t>
      </w:r>
    </w:p>
    <w:p w14:paraId="1447F230" w14:textId="77777777" w:rsidR="00AB7AEA" w:rsidRDefault="00AB7AEA" w:rsidP="00AB7AEA">
      <w:pPr>
        <w:pStyle w:val="paragraph"/>
        <w:spacing w:before="0" w:beforeAutospacing="0" w:after="0" w:afterAutospacing="0"/>
        <w:textAlignment w:val="baseline"/>
        <w:rPr>
          <w:rFonts w:ascii="Arial" w:hAnsi="Arial" w:cs="Arial"/>
          <w:color w:val="000000"/>
          <w:sz w:val="22"/>
          <w:szCs w:val="22"/>
        </w:rPr>
      </w:pPr>
      <w:r>
        <w:rPr>
          <w:rStyle w:val="eop"/>
          <w:rFonts w:ascii="Arial" w:hAnsi="Arial" w:cs="Arial"/>
          <w:color w:val="000000"/>
          <w:sz w:val="22"/>
          <w:szCs w:val="22"/>
        </w:rPr>
        <w:t> </w:t>
      </w:r>
    </w:p>
    <w:p w14:paraId="2722E2EC" w14:textId="77777777" w:rsidR="00AB7AEA" w:rsidRDefault="00AB7AEA" w:rsidP="00AB7AEA">
      <w:pPr>
        <w:pStyle w:val="paragraph"/>
        <w:spacing w:before="0" w:beforeAutospacing="0" w:after="0" w:afterAutospacing="0"/>
        <w:textAlignment w:val="baseline"/>
        <w:rPr>
          <w:rFonts w:ascii="Arial" w:hAnsi="Arial" w:cs="Arial"/>
          <w:color w:val="000000"/>
          <w:sz w:val="22"/>
          <w:szCs w:val="22"/>
        </w:rPr>
      </w:pPr>
      <w:r>
        <w:rPr>
          <w:rStyle w:val="normaltextrun"/>
          <w:rFonts w:ascii="Arial" w:eastAsiaTheme="minorEastAsia" w:hAnsi="Arial" w:cs="Arial"/>
          <w:color w:val="000000"/>
          <w:sz w:val="22"/>
          <w:szCs w:val="22"/>
        </w:rPr>
        <w:t>The committee reviewed the draft fiscal and economic impact statement and its findings are stated in the approved minutes dated Dec 1, 2025.</w:t>
      </w:r>
      <w:r>
        <w:rPr>
          <w:rStyle w:val="eop"/>
          <w:rFonts w:ascii="Arial" w:hAnsi="Arial" w:cs="Arial"/>
          <w:color w:val="000000"/>
          <w:sz w:val="22"/>
          <w:szCs w:val="22"/>
        </w:rPr>
        <w:t> </w:t>
      </w:r>
    </w:p>
    <w:p w14:paraId="00683627" w14:textId="77777777" w:rsidR="00AB7AEA" w:rsidRDefault="00AB7AEA" w:rsidP="00AB7AEA">
      <w:pPr>
        <w:pStyle w:val="paragraph"/>
        <w:spacing w:before="0" w:beforeAutospacing="0" w:after="0" w:afterAutospacing="0"/>
        <w:textAlignment w:val="baseline"/>
        <w:rPr>
          <w:rFonts w:ascii="Arial" w:hAnsi="Arial" w:cs="Arial"/>
          <w:color w:val="000000"/>
          <w:sz w:val="22"/>
          <w:szCs w:val="22"/>
        </w:rPr>
      </w:pPr>
      <w:r>
        <w:rPr>
          <w:rStyle w:val="eop"/>
          <w:rFonts w:ascii="Arial" w:hAnsi="Arial" w:cs="Arial"/>
          <w:color w:val="000000"/>
          <w:sz w:val="22"/>
          <w:szCs w:val="22"/>
        </w:rPr>
        <w:t> </w:t>
      </w:r>
    </w:p>
    <w:p w14:paraId="38F23569" w14:textId="77777777" w:rsidR="00AB7AEA" w:rsidRPr="00A373FD" w:rsidRDefault="00AB7AEA" w:rsidP="00AB7AEA">
      <w:pPr>
        <w:pStyle w:val="paragraph"/>
        <w:spacing w:before="0" w:beforeAutospacing="0" w:after="0" w:afterAutospacing="0"/>
        <w:textAlignment w:val="baseline"/>
        <w:rPr>
          <w:rFonts w:cs="Arial"/>
        </w:rPr>
      </w:pPr>
      <w:r>
        <w:rPr>
          <w:rStyle w:val="normaltextrun"/>
          <w:rFonts w:ascii="Arial" w:eastAsiaTheme="minorEastAsia" w:hAnsi="Arial" w:cs="Arial"/>
          <w:color w:val="000000"/>
          <w:sz w:val="22"/>
          <w:szCs w:val="22"/>
        </w:rPr>
        <w:t xml:space="preserve">The committee </w:t>
      </w:r>
      <w:r w:rsidRPr="0005343D">
        <w:rPr>
          <w:rFonts w:ascii="Arial" w:hAnsi="Arial" w:cs="Arial"/>
          <w:sz w:val="22"/>
          <w:szCs w:val="22"/>
        </w:rPr>
        <w:t>members supported DEQ’s fiscal impact statement, finding no significant impact on small businesses or other affected stakeholders. The committee members determined the proposed rules would not have a significant adverse impact on small businesses in Oregon.</w:t>
      </w:r>
    </w:p>
    <w:p w14:paraId="7A87FE7E" w14:textId="77777777" w:rsidR="00ED47E6" w:rsidRDefault="00ED47E6" w:rsidP="00ED47E6">
      <w:r>
        <w:t xml:space="preserve"> </w:t>
      </w:r>
    </w:p>
    <w:p w14:paraId="4E3B0F19" w14:textId="77777777" w:rsidR="00ED47E6" w:rsidRDefault="00ED47E6" w:rsidP="00ED47E6"/>
    <w:p w14:paraId="4ABF1E81" w14:textId="77777777" w:rsidR="00ED47E6" w:rsidRDefault="00ED47E6" w:rsidP="00ED47E6">
      <w:r>
        <w:t> </w:t>
      </w:r>
    </w:p>
    <w:p w14:paraId="21020E56" w14:textId="77777777" w:rsidR="00ED47E6" w:rsidRDefault="00ED47E6" w:rsidP="00ED47E6">
      <w:r>
        <w:t xml:space="preserve"> </w:t>
      </w:r>
    </w:p>
    <w:p w14:paraId="6DF05AE2" w14:textId="77777777" w:rsidR="00563365" w:rsidRDefault="00563365">
      <w:pPr>
        <w:spacing w:after="160"/>
      </w:pPr>
      <w:r>
        <w:br w:type="page"/>
      </w:r>
    </w:p>
    <w:p w14:paraId="3E96B74B" w14:textId="77777777" w:rsidR="0046526A" w:rsidRPr="00A373FD" w:rsidRDefault="0046526A" w:rsidP="0046526A">
      <w:pPr>
        <w:pStyle w:val="Heading1"/>
      </w:pPr>
      <w:bookmarkStart w:id="52" w:name="_Toc218065411"/>
      <w:bookmarkStart w:id="53" w:name="_Toc226361749"/>
      <w:r w:rsidRPr="00A373FD">
        <w:lastRenderedPageBreak/>
        <w:t>Housing cost</w:t>
      </w:r>
      <w:bookmarkEnd w:id="52"/>
      <w:bookmarkEnd w:id="53"/>
      <w:r w:rsidRPr="00A373FD">
        <w:t xml:space="preserve">  </w:t>
      </w:r>
    </w:p>
    <w:p w14:paraId="37028293" w14:textId="2DE55A24" w:rsidR="0046526A" w:rsidRDefault="0046526A" w:rsidP="0046526A">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eastAsiaTheme="minorEastAsia" w:hAnsi="Arial" w:cs="Arial"/>
          <w:color w:val="000000"/>
          <w:sz w:val="22"/>
          <w:szCs w:val="22"/>
        </w:rPr>
        <w:t xml:space="preserve">As ORS 183.534 requires, DEQ evaluated whether the proposed rules would have an effect on the development cost of a 6,000-square-foot parcel and </w:t>
      </w:r>
      <w:r w:rsidR="00A54B9E">
        <w:rPr>
          <w:rStyle w:val="normaltextrun"/>
          <w:rFonts w:ascii="Arial" w:eastAsiaTheme="minorEastAsia" w:hAnsi="Arial" w:cs="Arial"/>
          <w:color w:val="000000"/>
          <w:sz w:val="22"/>
          <w:szCs w:val="22"/>
        </w:rPr>
        <w:t xml:space="preserve">the </w:t>
      </w:r>
      <w:r>
        <w:rPr>
          <w:rStyle w:val="normaltextrun"/>
          <w:rFonts w:ascii="Arial" w:eastAsiaTheme="minorEastAsia" w:hAnsi="Arial" w:cs="Arial"/>
          <w:color w:val="000000"/>
          <w:sz w:val="22"/>
          <w:szCs w:val="22"/>
        </w:rPr>
        <w:t>construction of a 1,200-square-foot detached, single-family dwelling on that parcel.</w:t>
      </w:r>
      <w:r>
        <w:rPr>
          <w:rStyle w:val="eop"/>
          <w:rFonts w:ascii="Arial" w:hAnsi="Arial" w:cs="Arial"/>
          <w:color w:val="000000"/>
          <w:sz w:val="22"/>
          <w:szCs w:val="22"/>
        </w:rPr>
        <w:t> </w:t>
      </w:r>
    </w:p>
    <w:p w14:paraId="7658226E" w14:textId="77777777" w:rsidR="0046526A" w:rsidRDefault="0046526A" w:rsidP="0046526A">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sz w:val="22"/>
          <w:szCs w:val="22"/>
        </w:rPr>
        <w:t> </w:t>
      </w:r>
    </w:p>
    <w:p w14:paraId="2E2DDEC8" w14:textId="1895570C" w:rsidR="0046526A" w:rsidRDefault="0046526A" w:rsidP="0046526A">
      <w:pPr>
        <w:pStyle w:val="paragraph"/>
        <w:spacing w:before="0" w:beforeAutospacing="0" w:after="0" w:afterAutospacing="0"/>
        <w:textAlignment w:val="baseline"/>
        <w:rPr>
          <w:rFonts w:ascii="Segoe UI" w:hAnsi="Segoe UI" w:cs="Segoe UI"/>
          <w:color w:val="000000"/>
          <w:sz w:val="18"/>
          <w:szCs w:val="18"/>
        </w:rPr>
      </w:pPr>
      <w:r w:rsidRPr="6256579D">
        <w:rPr>
          <w:rStyle w:val="normaltextrun"/>
          <w:rFonts w:ascii="Arial" w:eastAsiaTheme="minorEastAsia" w:hAnsi="Arial" w:cs="Arial"/>
          <w:color w:val="000000" w:themeColor="text1"/>
          <w:sz w:val="22"/>
          <w:szCs w:val="22"/>
        </w:rPr>
        <w:t>DEQ determined the proposed rules would have no effect on the development costs because they make amendments to rules that provide rebates to the public, and commercial and public fleets</w:t>
      </w:r>
      <w:r w:rsidR="00E43D64">
        <w:rPr>
          <w:rStyle w:val="normaltextrun"/>
          <w:rFonts w:ascii="Arial" w:eastAsiaTheme="minorEastAsia" w:hAnsi="Arial" w:cs="Arial"/>
          <w:color w:val="000000" w:themeColor="text1"/>
          <w:sz w:val="22"/>
          <w:szCs w:val="22"/>
        </w:rPr>
        <w:t>’</w:t>
      </w:r>
      <w:r w:rsidRPr="6256579D">
        <w:rPr>
          <w:rStyle w:val="normaltextrun"/>
          <w:rFonts w:ascii="Arial" w:eastAsiaTheme="minorEastAsia" w:hAnsi="Arial" w:cs="Arial"/>
          <w:color w:val="000000" w:themeColor="text1"/>
          <w:sz w:val="22"/>
          <w:szCs w:val="22"/>
        </w:rPr>
        <w:t xml:space="preserve"> zero-emission vehicles. The rebate revenue reduces the purchase price of </w:t>
      </w:r>
      <w:r w:rsidR="00A5591A" w:rsidRPr="6256579D">
        <w:rPr>
          <w:rStyle w:val="normaltextrun"/>
          <w:rFonts w:ascii="Arial" w:eastAsiaTheme="minorEastAsia" w:hAnsi="Arial" w:cs="Arial"/>
          <w:color w:val="000000" w:themeColor="text1"/>
          <w:sz w:val="22"/>
          <w:szCs w:val="22"/>
        </w:rPr>
        <w:t>vehicles,</w:t>
      </w:r>
      <w:r w:rsidRPr="6256579D">
        <w:rPr>
          <w:rStyle w:val="normaltextrun"/>
          <w:rFonts w:ascii="Arial" w:eastAsiaTheme="minorEastAsia" w:hAnsi="Arial" w:cs="Arial"/>
          <w:color w:val="000000" w:themeColor="text1"/>
          <w:sz w:val="22"/>
          <w:szCs w:val="22"/>
        </w:rPr>
        <w:t xml:space="preserve"> and the incentive amount is unlikely to </w:t>
      </w:r>
      <w:r w:rsidR="00E43D64">
        <w:rPr>
          <w:rStyle w:val="normaltextrun"/>
          <w:rFonts w:ascii="Arial" w:eastAsiaTheme="minorEastAsia" w:hAnsi="Arial" w:cs="Arial"/>
          <w:color w:val="000000" w:themeColor="text1"/>
          <w:sz w:val="22"/>
          <w:szCs w:val="22"/>
        </w:rPr>
        <w:t xml:space="preserve">affect </w:t>
      </w:r>
      <w:r w:rsidRPr="6256579D">
        <w:rPr>
          <w:rStyle w:val="normaltextrun"/>
          <w:rFonts w:ascii="Arial" w:eastAsiaTheme="minorEastAsia" w:hAnsi="Arial" w:cs="Arial"/>
          <w:color w:val="000000" w:themeColor="text1"/>
          <w:sz w:val="22"/>
          <w:szCs w:val="22"/>
        </w:rPr>
        <w:t>development costs</w:t>
      </w:r>
      <w:r w:rsidR="00E43D64">
        <w:rPr>
          <w:rStyle w:val="eop"/>
          <w:rFonts w:ascii="Arial" w:hAnsi="Arial" w:cs="Arial"/>
          <w:color w:val="000000" w:themeColor="text1"/>
          <w:sz w:val="22"/>
          <w:szCs w:val="22"/>
        </w:rPr>
        <w:t>.</w:t>
      </w:r>
    </w:p>
    <w:p w14:paraId="30C86C35" w14:textId="77777777" w:rsidR="0046526A" w:rsidRPr="00A373FD" w:rsidRDefault="0046526A" w:rsidP="0046526A">
      <w:pPr>
        <w:rPr>
          <w:rFonts w:cs="Arial"/>
        </w:rPr>
      </w:pPr>
    </w:p>
    <w:p w14:paraId="66ECBA0E" w14:textId="5A2238F8" w:rsidR="00ED47E6" w:rsidRDefault="00ED47E6" w:rsidP="00563365">
      <w:pPr>
        <w:pStyle w:val="Heading1"/>
      </w:pPr>
      <w:bookmarkStart w:id="54" w:name="_Toc226361750"/>
      <w:r>
        <w:t>Racial equity</w:t>
      </w:r>
      <w:bookmarkEnd w:id="54"/>
    </w:p>
    <w:p w14:paraId="1E82B439" w14:textId="77777777" w:rsidR="00CD7987" w:rsidRPr="0005343D" w:rsidRDefault="00CD7987" w:rsidP="00CD7987">
      <w:pPr>
        <w:pStyle w:val="paragraph"/>
        <w:spacing w:before="0" w:beforeAutospacing="0" w:after="0" w:afterAutospacing="0"/>
        <w:textAlignment w:val="baseline"/>
        <w:rPr>
          <w:rFonts w:ascii="Arial" w:hAnsi="Arial" w:cs="Arial"/>
          <w:color w:val="000000"/>
          <w:sz w:val="22"/>
          <w:szCs w:val="22"/>
        </w:rPr>
      </w:pPr>
      <w:r w:rsidRPr="0005343D">
        <w:rPr>
          <w:rStyle w:val="normaltextrun"/>
          <w:rFonts w:ascii="Arial" w:eastAsiaTheme="minorEastAsia" w:hAnsi="Arial" w:cs="Arial"/>
          <w:color w:val="000000"/>
          <w:sz w:val="22"/>
          <w:szCs w:val="22"/>
        </w:rPr>
        <w:t>ORS 183.335(2)(a)(F) requires state agencies to provide a statement identifying how adoption of this rule will affect racial equity in this state. </w:t>
      </w:r>
      <w:r w:rsidRPr="0005343D">
        <w:rPr>
          <w:rStyle w:val="eop"/>
          <w:rFonts w:ascii="Arial" w:hAnsi="Arial" w:cs="Arial"/>
          <w:color w:val="000000"/>
          <w:sz w:val="22"/>
          <w:szCs w:val="22"/>
        </w:rPr>
        <w:t> </w:t>
      </w:r>
    </w:p>
    <w:p w14:paraId="1748BF42" w14:textId="77777777" w:rsidR="00CD7987" w:rsidRPr="0005343D" w:rsidRDefault="00CD7987" w:rsidP="00CD7987">
      <w:pPr>
        <w:pStyle w:val="paragraph"/>
        <w:spacing w:before="0" w:beforeAutospacing="0" w:after="0" w:afterAutospacing="0"/>
        <w:textAlignment w:val="baseline"/>
        <w:rPr>
          <w:rFonts w:ascii="Arial" w:hAnsi="Arial" w:cs="Arial"/>
          <w:color w:val="000000"/>
          <w:sz w:val="22"/>
          <w:szCs w:val="22"/>
        </w:rPr>
      </w:pPr>
      <w:r w:rsidRPr="0005343D">
        <w:rPr>
          <w:rStyle w:val="eop"/>
          <w:rFonts w:ascii="Arial" w:hAnsi="Arial" w:cs="Arial"/>
          <w:color w:val="000000"/>
          <w:sz w:val="22"/>
          <w:szCs w:val="22"/>
        </w:rPr>
        <w:t> </w:t>
      </w:r>
    </w:p>
    <w:p w14:paraId="5CDE0491" w14:textId="75CE5A39" w:rsidR="00CD7987" w:rsidRPr="0005343D" w:rsidRDefault="00CD7987" w:rsidP="00CD7987">
      <w:pPr>
        <w:pStyle w:val="paragraph"/>
        <w:spacing w:before="0" w:beforeAutospacing="0" w:after="0" w:afterAutospacing="0"/>
        <w:textAlignment w:val="baseline"/>
        <w:rPr>
          <w:rFonts w:ascii="Arial" w:hAnsi="Arial" w:cs="Arial"/>
          <w:color w:val="000000"/>
          <w:sz w:val="22"/>
          <w:szCs w:val="22"/>
        </w:rPr>
      </w:pPr>
      <w:r w:rsidRPr="6256579D">
        <w:rPr>
          <w:rStyle w:val="normaltextrun"/>
          <w:rFonts w:ascii="Arial" w:eastAsiaTheme="minorEastAsia" w:hAnsi="Arial" w:cs="Arial"/>
          <w:color w:val="000000" w:themeColor="text1"/>
          <w:sz w:val="22"/>
          <w:szCs w:val="22"/>
        </w:rPr>
        <w:t>Staff anticipate limited to no impacts to racial equity in the state resulting from the proposed amendments. The proposed OCVRP amendments limit the number of individual rebates one can receive, adjust rebate amounts for OCVRP and update program processes that currently cite outdated sources. The ZERO Fleet amendments clarify which vehicles are eligible for the rebate and further define the meaning of “Fleet Vehicles” in the medium- and heavy-duty weight classes.</w:t>
      </w:r>
      <w:r w:rsidRPr="6256579D">
        <w:rPr>
          <w:rStyle w:val="eop"/>
          <w:rFonts w:ascii="Arial" w:hAnsi="Arial" w:cs="Arial"/>
          <w:color w:val="000000" w:themeColor="text1"/>
          <w:sz w:val="22"/>
          <w:szCs w:val="22"/>
        </w:rPr>
        <w:t> </w:t>
      </w:r>
    </w:p>
    <w:p w14:paraId="4C62145A" w14:textId="77777777" w:rsidR="00CD7987" w:rsidRPr="0005343D" w:rsidRDefault="00CD7987" w:rsidP="00CD7987">
      <w:pPr>
        <w:pStyle w:val="paragraph"/>
        <w:spacing w:before="0" w:beforeAutospacing="0" w:after="0" w:afterAutospacing="0"/>
        <w:ind w:left="720"/>
        <w:textAlignment w:val="baseline"/>
        <w:rPr>
          <w:rFonts w:ascii="Arial" w:hAnsi="Arial" w:cs="Arial"/>
          <w:color w:val="000000"/>
          <w:sz w:val="22"/>
          <w:szCs w:val="22"/>
        </w:rPr>
      </w:pPr>
      <w:r w:rsidRPr="0005343D">
        <w:rPr>
          <w:rStyle w:val="eop"/>
          <w:rFonts w:ascii="Arial" w:hAnsi="Arial" w:cs="Arial"/>
          <w:color w:val="000000"/>
          <w:sz w:val="22"/>
          <w:szCs w:val="22"/>
        </w:rPr>
        <w:t> </w:t>
      </w:r>
    </w:p>
    <w:p w14:paraId="69B3AD30" w14:textId="53F3ED34" w:rsidR="00CD7987" w:rsidRPr="0005343D" w:rsidRDefault="00CD7987" w:rsidP="00CD7987">
      <w:pPr>
        <w:pStyle w:val="paragraph"/>
        <w:spacing w:before="0" w:beforeAutospacing="0" w:after="0" w:afterAutospacing="0"/>
        <w:textAlignment w:val="baseline"/>
        <w:rPr>
          <w:rFonts w:ascii="Arial" w:hAnsi="Arial" w:cs="Arial"/>
          <w:color w:val="000000"/>
          <w:sz w:val="22"/>
          <w:szCs w:val="22"/>
        </w:rPr>
      </w:pPr>
      <w:r>
        <w:rPr>
          <w:rStyle w:val="normaltextrun"/>
          <w:rFonts w:ascii="Arial" w:eastAsiaTheme="minorEastAsia" w:hAnsi="Arial" w:cs="Arial"/>
          <w:color w:val="000000"/>
          <w:sz w:val="22"/>
          <w:szCs w:val="22"/>
        </w:rPr>
        <w:t>T</w:t>
      </w:r>
      <w:r w:rsidRPr="0005343D">
        <w:rPr>
          <w:rStyle w:val="normaltextrun"/>
          <w:rFonts w:ascii="Arial" w:eastAsiaTheme="minorEastAsia" w:hAnsi="Arial" w:cs="Arial"/>
          <w:color w:val="000000"/>
          <w:sz w:val="22"/>
          <w:szCs w:val="22"/>
        </w:rPr>
        <w:t xml:space="preserve">he potential OCVRP rebate adjustments could decrease individual rebate amounts, which could impact </w:t>
      </w:r>
      <w:r w:rsidR="00A90B15">
        <w:rPr>
          <w:rStyle w:val="normaltextrun"/>
          <w:rFonts w:ascii="Arial" w:eastAsiaTheme="minorEastAsia" w:hAnsi="Arial" w:cs="Arial"/>
          <w:color w:val="000000"/>
          <w:sz w:val="22"/>
          <w:szCs w:val="22"/>
        </w:rPr>
        <w:t>affordability;</w:t>
      </w:r>
      <w:r>
        <w:rPr>
          <w:rStyle w:val="normaltextrun"/>
          <w:rFonts w:ascii="Arial" w:eastAsiaTheme="minorEastAsia" w:hAnsi="Arial" w:cs="Arial"/>
          <w:color w:val="000000"/>
          <w:sz w:val="22"/>
          <w:szCs w:val="22"/>
        </w:rPr>
        <w:t xml:space="preserve"> however</w:t>
      </w:r>
      <w:r w:rsidRPr="0005343D">
        <w:rPr>
          <w:rStyle w:val="normaltextrun"/>
          <w:rFonts w:ascii="Arial" w:eastAsiaTheme="minorEastAsia" w:hAnsi="Arial" w:cs="Arial"/>
          <w:color w:val="000000"/>
          <w:sz w:val="22"/>
          <w:szCs w:val="22"/>
        </w:rPr>
        <w:t>, the rule aims to conserve funding, which may enable both programs to remain open longer and support more individuals participating in the program and increase EV accessibility. In Oregon, data shows that Black, Indigenous, and People of Color (BIPOC) are more likely to have low- and moderate-incomes than other groups. If the Charge Ahead Rebate Program, which is available to low- and moderate-income households, can remain open longer and issue more individual rebates, the rules could enhance racial equity. Increasing accessibility to EVs helps to ensure that BIPOC communities are not left behind in acquiring cleaner modes of transportation, potentially reducing their vulnerability to fossil fuel price increases and reducing air pollution within their communities.</w:t>
      </w:r>
      <w:r w:rsidRPr="0005343D">
        <w:rPr>
          <w:rStyle w:val="eop"/>
          <w:rFonts w:ascii="Arial" w:hAnsi="Arial" w:cs="Arial"/>
          <w:color w:val="000000"/>
          <w:sz w:val="22"/>
          <w:szCs w:val="22"/>
        </w:rPr>
        <w:t> </w:t>
      </w:r>
    </w:p>
    <w:p w14:paraId="2D080B3E" w14:textId="77777777" w:rsidR="00CD7987" w:rsidRPr="0005343D" w:rsidRDefault="00CD7987" w:rsidP="00CD7987">
      <w:pPr>
        <w:pStyle w:val="paragraph"/>
        <w:spacing w:before="0" w:beforeAutospacing="0" w:after="0" w:afterAutospacing="0"/>
        <w:ind w:left="720"/>
        <w:textAlignment w:val="baseline"/>
        <w:rPr>
          <w:rFonts w:ascii="Arial" w:hAnsi="Arial" w:cs="Arial"/>
          <w:color w:val="000000"/>
          <w:sz w:val="22"/>
          <w:szCs w:val="22"/>
        </w:rPr>
      </w:pPr>
      <w:r w:rsidRPr="0005343D">
        <w:rPr>
          <w:rStyle w:val="eop"/>
          <w:rFonts w:ascii="Arial" w:hAnsi="Arial" w:cs="Arial"/>
          <w:color w:val="000000"/>
          <w:sz w:val="22"/>
          <w:szCs w:val="22"/>
        </w:rPr>
        <w:t> </w:t>
      </w:r>
    </w:p>
    <w:p w14:paraId="0CBA0848" w14:textId="5543E132" w:rsidR="00563365" w:rsidRDefault="00CD7987" w:rsidP="005F0159">
      <w:pPr>
        <w:spacing w:after="0" w:line="240" w:lineRule="auto"/>
      </w:pPr>
      <w:r w:rsidRPr="0005343D">
        <w:rPr>
          <w:rStyle w:val="normaltextrun"/>
          <w:rFonts w:eastAsiaTheme="minorEastAsia" w:cs="Arial"/>
          <w:color w:val="000000"/>
          <w:szCs w:val="22"/>
        </w:rPr>
        <w:t xml:space="preserve">The proposed adjustments to the ZERO Fleet program are designed to ensure that funding is directed toward the fleet vehicles </w:t>
      </w:r>
      <w:r>
        <w:rPr>
          <w:rStyle w:val="normaltextrun"/>
          <w:rFonts w:eastAsiaTheme="minorEastAsia" w:cs="Arial"/>
          <w:color w:val="000000"/>
          <w:szCs w:val="22"/>
        </w:rPr>
        <w:t>the legislature</w:t>
      </w:r>
      <w:r w:rsidRPr="0005343D">
        <w:rPr>
          <w:rStyle w:val="normaltextrun"/>
          <w:rFonts w:eastAsiaTheme="minorEastAsia" w:cs="Arial"/>
          <w:color w:val="000000"/>
          <w:szCs w:val="22"/>
        </w:rPr>
        <w:t xml:space="preserve"> intended to support, </w:t>
      </w:r>
      <w:r>
        <w:rPr>
          <w:rStyle w:val="normaltextrun"/>
          <w:rFonts w:eastAsiaTheme="minorEastAsia" w:cs="Arial"/>
          <w:color w:val="000000"/>
          <w:szCs w:val="22"/>
        </w:rPr>
        <w:t>allow</w:t>
      </w:r>
      <w:r w:rsidRPr="0005343D">
        <w:rPr>
          <w:rStyle w:val="normaltextrun"/>
          <w:rFonts w:eastAsiaTheme="minorEastAsia" w:cs="Arial"/>
          <w:color w:val="000000"/>
          <w:szCs w:val="22"/>
        </w:rPr>
        <w:t xml:space="preserve"> DEQ </w:t>
      </w:r>
      <w:r>
        <w:rPr>
          <w:rStyle w:val="normaltextrun"/>
          <w:rFonts w:eastAsiaTheme="minorEastAsia" w:cs="Arial"/>
          <w:color w:val="000000"/>
          <w:szCs w:val="22"/>
        </w:rPr>
        <w:t>to</w:t>
      </w:r>
      <w:r w:rsidRPr="0005343D">
        <w:rPr>
          <w:rStyle w:val="normaltextrun"/>
          <w:rFonts w:eastAsiaTheme="minorEastAsia" w:cs="Arial"/>
          <w:color w:val="000000"/>
          <w:szCs w:val="22"/>
        </w:rPr>
        <w:t xml:space="preserve"> monitor for misuse, and help purchasers get the best price for their vehicles. The core goal is to reduce diesel emissions in Oregon by accelerating the adoption of electric medium- and heavy-duty vehicles as alternatives to traditional diesel-powered engines. These changes</w:t>
      </w:r>
      <w:r w:rsidRPr="0005343D" w:rsidDel="00A04C15">
        <w:rPr>
          <w:rStyle w:val="normaltextrun"/>
          <w:rFonts w:eastAsiaTheme="minorEastAsia" w:cs="Arial"/>
          <w:color w:val="000000"/>
          <w:szCs w:val="22"/>
        </w:rPr>
        <w:t xml:space="preserve"> </w:t>
      </w:r>
      <w:r>
        <w:rPr>
          <w:rStyle w:val="normaltextrun"/>
          <w:rFonts w:eastAsiaTheme="minorEastAsia" w:cs="Arial"/>
          <w:color w:val="000000"/>
          <w:szCs w:val="22"/>
        </w:rPr>
        <w:t>would</w:t>
      </w:r>
      <w:r w:rsidRPr="0005343D">
        <w:rPr>
          <w:rStyle w:val="normaltextrun"/>
          <w:rFonts w:eastAsiaTheme="minorEastAsia" w:cs="Arial"/>
          <w:color w:val="000000"/>
          <w:szCs w:val="22"/>
        </w:rPr>
        <w:t xml:space="preserve"> help target and preserve funding more effectively—prioritizing areas most affected by diesel pollution—and ultimately contributing to cleaner air and healthier communities across the state. By prioritizing funding for fleet vehicles, safeguarding public resources, and encouraging market competition to help drive down costs, the ZERO Fleet program is designed to maximize its impact on air quality across Oregon—particularly in communities disproportionately burdened by diesel emissions. Many of these communities are home to BIPOC residents who have historically faced higher exposure to pollution, in part due to systemic inequities in urban planning. In the past, major highways were often routed directly through established BIPOC neighborhoods, placing the environmental and health burdens of transportation infrastructure on marginalized populations. This legacy continues to shape disparities in air quality and public health today.</w:t>
      </w:r>
      <w:r w:rsidRPr="0005343D">
        <w:rPr>
          <w:rStyle w:val="eop"/>
          <w:rFonts w:cs="Arial"/>
          <w:color w:val="000000"/>
          <w:szCs w:val="22"/>
        </w:rPr>
        <w:t> </w:t>
      </w:r>
      <w:r w:rsidR="00563365">
        <w:br w:type="page"/>
      </w:r>
    </w:p>
    <w:p w14:paraId="754B01B4" w14:textId="3AD15BC3" w:rsidR="00ED47E6" w:rsidRDefault="00ED47E6" w:rsidP="00563365">
      <w:pPr>
        <w:pStyle w:val="Heading1"/>
      </w:pPr>
      <w:bookmarkStart w:id="55" w:name="_Toc226361751"/>
      <w:r>
        <w:lastRenderedPageBreak/>
        <w:t>Environmental justice considerations</w:t>
      </w:r>
      <w:bookmarkEnd w:id="55"/>
    </w:p>
    <w:p w14:paraId="7D311E4B" w14:textId="77777777" w:rsidR="00883BDF" w:rsidRPr="00883BDF" w:rsidRDefault="00883BDF" w:rsidP="00883BDF">
      <w:pPr>
        <w:pStyle w:val="instructions"/>
        <w:rPr>
          <w:b w:val="0"/>
          <w:bCs/>
        </w:rPr>
      </w:pPr>
      <w:r w:rsidRPr="00883BDF">
        <w:rPr>
          <w:rStyle w:val="normaltextrun"/>
          <w:b w:val="0"/>
          <w:bCs/>
          <w:color w:val="000000"/>
          <w:szCs w:val="22"/>
          <w:bdr w:val="none" w:sz="0" w:space="0" w:color="auto" w:frame="1"/>
        </w:rPr>
        <w:t>ORS 182.545 requires natural resource agencies to consider the effects of their actions on environmental justice issues.</w:t>
      </w:r>
    </w:p>
    <w:p w14:paraId="60641B0E" w14:textId="77777777" w:rsidR="00883BDF" w:rsidRPr="00A373FD" w:rsidRDefault="00883BDF" w:rsidP="00883BDF">
      <w:pPr>
        <w:rPr>
          <w:rFonts w:cs="Arial"/>
        </w:rPr>
      </w:pPr>
    </w:p>
    <w:p w14:paraId="7B6ED301" w14:textId="77777777" w:rsidR="00883BDF" w:rsidRPr="00A373FD" w:rsidRDefault="00883BDF" w:rsidP="00883BDF">
      <w:pPr>
        <w:pStyle w:val="Heading2"/>
      </w:pPr>
      <w:bookmarkStart w:id="56" w:name="_Toc226361752"/>
      <w:r w:rsidRPr="00A373FD">
        <w:t xml:space="preserve">Environmental </w:t>
      </w:r>
      <w:r>
        <w:t>j</w:t>
      </w:r>
      <w:r w:rsidRPr="00A373FD">
        <w:t>ustice analysis</w:t>
      </w:r>
      <w:bookmarkEnd w:id="56"/>
    </w:p>
    <w:p w14:paraId="0C80182E" w14:textId="4FDFBABB" w:rsidR="00883BDF" w:rsidRDefault="00883BDF" w:rsidP="00883BDF">
      <w:pPr>
        <w:spacing w:after="0" w:line="240" w:lineRule="auto"/>
        <w:rPr>
          <w:rFonts w:cs="Arial"/>
          <w:bCs/>
        </w:rPr>
      </w:pPr>
      <w:r w:rsidRPr="00A373FD">
        <w:rPr>
          <w:rFonts w:cs="Arial"/>
          <w:bCs/>
        </w:rPr>
        <w:t>Environmental justice is the fair treatment and meaningful involvement of all people regardless of race, color, national origin, culture, education</w:t>
      </w:r>
      <w:r w:rsidR="00C06CD2">
        <w:rPr>
          <w:rFonts w:cs="Arial"/>
          <w:bCs/>
        </w:rPr>
        <w:t>,</w:t>
      </w:r>
      <w:r w:rsidRPr="00A373FD">
        <w:rPr>
          <w:rFonts w:cs="Arial"/>
          <w:bCs/>
        </w:rPr>
        <w:t xml:space="preserve"> or income with respect to the development, implementation and enforcement of environmental laws, regulations and policies. DEQ is committed to incorporating environmental justice best practices into its programs and decision-making to ensure all people in Oregon have equitable environmental and public health protections. </w:t>
      </w:r>
    </w:p>
    <w:p w14:paraId="3E66AA43" w14:textId="77777777" w:rsidR="00883BDF" w:rsidRPr="00A373FD" w:rsidRDefault="00883BDF" w:rsidP="00883BDF">
      <w:pPr>
        <w:spacing w:after="0" w:line="240" w:lineRule="auto"/>
        <w:rPr>
          <w:rFonts w:cs="Arial"/>
          <w:bCs/>
        </w:rPr>
      </w:pPr>
    </w:p>
    <w:p w14:paraId="292C5B34" w14:textId="36180813" w:rsidR="00883BDF" w:rsidRDefault="00883BDF" w:rsidP="00883BDF">
      <w:pPr>
        <w:pStyle w:val="paragraph"/>
        <w:spacing w:before="0" w:beforeAutospacing="0" w:after="0" w:afterAutospacing="0"/>
        <w:textAlignment w:val="baseline"/>
        <w:rPr>
          <w:rFonts w:ascii="Arial" w:hAnsi="Arial" w:cs="Arial"/>
          <w:color w:val="000000"/>
          <w:sz w:val="22"/>
          <w:szCs w:val="22"/>
        </w:rPr>
      </w:pPr>
      <w:r>
        <w:rPr>
          <w:rStyle w:val="normaltextrun"/>
          <w:rFonts w:ascii="Arial" w:eastAsiaTheme="minorEastAsia" w:hAnsi="Arial" w:cs="Arial"/>
          <w:color w:val="000000"/>
          <w:sz w:val="22"/>
          <w:szCs w:val="22"/>
        </w:rPr>
        <w:t xml:space="preserve">DEQ considered these effects by </w:t>
      </w:r>
      <w:r w:rsidR="00F11B75">
        <w:rPr>
          <w:rStyle w:val="normaltextrun"/>
          <w:rFonts w:ascii="Arial" w:eastAsiaTheme="minorEastAsia" w:hAnsi="Arial" w:cs="Arial"/>
          <w:color w:val="000000"/>
          <w:sz w:val="22"/>
          <w:szCs w:val="22"/>
        </w:rPr>
        <w:t>establishing</w:t>
      </w:r>
      <w:r>
        <w:rPr>
          <w:rStyle w:val="normaltextrun"/>
          <w:rFonts w:ascii="Arial" w:eastAsiaTheme="minorEastAsia" w:hAnsi="Arial" w:cs="Arial"/>
          <w:color w:val="000000"/>
          <w:sz w:val="22"/>
          <w:szCs w:val="22"/>
        </w:rPr>
        <w:t xml:space="preserve"> a Rule Advisory Committee that represents diverse interests and groups</w:t>
      </w:r>
      <w:r w:rsidR="00F11B75">
        <w:rPr>
          <w:rStyle w:val="normaltextrun"/>
          <w:rFonts w:ascii="Arial" w:eastAsiaTheme="minorEastAsia" w:hAnsi="Arial" w:cs="Arial"/>
          <w:color w:val="000000"/>
          <w:sz w:val="22"/>
          <w:szCs w:val="22"/>
        </w:rPr>
        <w:t>,</w:t>
      </w:r>
      <w:r>
        <w:rPr>
          <w:rStyle w:val="normaltextrun"/>
          <w:rFonts w:ascii="Arial" w:eastAsiaTheme="minorEastAsia" w:hAnsi="Arial" w:cs="Arial"/>
          <w:color w:val="000000"/>
          <w:sz w:val="22"/>
          <w:szCs w:val="22"/>
        </w:rPr>
        <w:t xml:space="preserve"> and</w:t>
      </w:r>
      <w:r w:rsidR="0022017B">
        <w:rPr>
          <w:rStyle w:val="normaltextrun"/>
          <w:rFonts w:ascii="Arial" w:eastAsiaTheme="minorEastAsia" w:hAnsi="Arial" w:cs="Arial"/>
          <w:color w:val="000000"/>
          <w:sz w:val="22"/>
          <w:szCs w:val="22"/>
        </w:rPr>
        <w:t xml:space="preserve"> by</w:t>
      </w:r>
      <w:r>
        <w:rPr>
          <w:rStyle w:val="normaltextrun"/>
          <w:rFonts w:ascii="Arial" w:eastAsiaTheme="minorEastAsia" w:hAnsi="Arial" w:cs="Arial"/>
          <w:color w:val="000000"/>
          <w:sz w:val="22"/>
          <w:szCs w:val="22"/>
        </w:rPr>
        <w:t xml:space="preserve"> seeking input from those </w:t>
      </w:r>
      <w:r>
        <w:rPr>
          <w:rStyle w:val="eop"/>
          <w:rFonts w:ascii="Arial" w:hAnsi="Arial" w:cs="Arial"/>
          <w:color w:val="000000"/>
          <w:sz w:val="22"/>
          <w:szCs w:val="22"/>
        </w:rPr>
        <w:t> </w:t>
      </w:r>
      <w:r w:rsidR="0022017B">
        <w:rPr>
          <w:rStyle w:val="eop"/>
          <w:rFonts w:ascii="Arial" w:hAnsi="Arial" w:cs="Arial"/>
          <w:color w:val="000000"/>
          <w:sz w:val="22"/>
          <w:szCs w:val="22"/>
        </w:rPr>
        <w:t>affected.</w:t>
      </w:r>
    </w:p>
    <w:p w14:paraId="25B3A01A" w14:textId="77777777" w:rsidR="00883BDF" w:rsidRDefault="00883BDF" w:rsidP="00883BDF">
      <w:pPr>
        <w:pStyle w:val="paragraph"/>
        <w:spacing w:before="0" w:beforeAutospacing="0" w:after="0" w:afterAutospacing="0"/>
        <w:textAlignment w:val="baseline"/>
        <w:rPr>
          <w:rFonts w:ascii="Arial" w:hAnsi="Arial" w:cs="Arial"/>
          <w:color w:val="000000"/>
          <w:sz w:val="22"/>
          <w:szCs w:val="22"/>
        </w:rPr>
      </w:pPr>
      <w:r>
        <w:rPr>
          <w:rStyle w:val="eop"/>
          <w:rFonts w:ascii="Arial" w:hAnsi="Arial" w:cs="Arial"/>
          <w:color w:val="000000"/>
          <w:sz w:val="22"/>
          <w:szCs w:val="22"/>
        </w:rPr>
        <w:t> </w:t>
      </w:r>
    </w:p>
    <w:p w14:paraId="7711C07C" w14:textId="6F12CA9A" w:rsidR="00883BDF" w:rsidRDefault="00883BDF" w:rsidP="00883BDF">
      <w:pPr>
        <w:pStyle w:val="paragraph"/>
        <w:spacing w:before="0" w:beforeAutospacing="0" w:after="0" w:afterAutospacing="0"/>
        <w:textAlignment w:val="baseline"/>
        <w:rPr>
          <w:rFonts w:ascii="Arial" w:hAnsi="Arial" w:cs="Arial"/>
          <w:color w:val="000000"/>
          <w:sz w:val="22"/>
          <w:szCs w:val="22"/>
        </w:rPr>
      </w:pPr>
      <w:r>
        <w:rPr>
          <w:rStyle w:val="normaltextrun"/>
          <w:rFonts w:ascii="Arial" w:eastAsiaTheme="minorEastAsia" w:hAnsi="Arial" w:cs="Arial"/>
          <w:color w:val="000000"/>
          <w:sz w:val="22"/>
          <w:szCs w:val="22"/>
        </w:rPr>
        <w:t xml:space="preserve">Staff recognize that emissions from vehicles disproportionately impact some communities more than others. Those communities are typically lower income and have more people </w:t>
      </w:r>
      <w:r w:rsidR="005779F8">
        <w:rPr>
          <w:rStyle w:val="normaltextrun"/>
          <w:rFonts w:ascii="Arial" w:eastAsiaTheme="minorEastAsia" w:hAnsi="Arial" w:cs="Arial"/>
          <w:color w:val="000000"/>
          <w:sz w:val="22"/>
          <w:szCs w:val="22"/>
        </w:rPr>
        <w:t>who</w:t>
      </w:r>
      <w:r>
        <w:rPr>
          <w:rStyle w:val="normaltextrun"/>
          <w:rFonts w:ascii="Arial" w:eastAsiaTheme="minorEastAsia" w:hAnsi="Arial" w:cs="Arial"/>
          <w:color w:val="000000"/>
          <w:sz w:val="22"/>
          <w:szCs w:val="22"/>
        </w:rPr>
        <w:t xml:space="preserve"> identify as black, indigenous and people of color. </w:t>
      </w:r>
      <w:r>
        <w:rPr>
          <w:rStyle w:val="eop"/>
          <w:rFonts w:ascii="Arial" w:hAnsi="Arial" w:cs="Arial"/>
          <w:color w:val="000000"/>
          <w:sz w:val="22"/>
          <w:szCs w:val="22"/>
        </w:rPr>
        <w:t> </w:t>
      </w:r>
    </w:p>
    <w:p w14:paraId="7F125A57" w14:textId="77777777" w:rsidR="00883BDF" w:rsidRDefault="00883BDF" w:rsidP="00883BDF">
      <w:pPr>
        <w:pStyle w:val="paragraph"/>
        <w:spacing w:before="0" w:beforeAutospacing="0" w:after="0" w:afterAutospacing="0"/>
        <w:ind w:left="810"/>
        <w:textAlignment w:val="baseline"/>
        <w:rPr>
          <w:rFonts w:ascii="Arial" w:hAnsi="Arial" w:cs="Arial"/>
          <w:color w:val="000000"/>
          <w:sz w:val="22"/>
          <w:szCs w:val="22"/>
        </w:rPr>
      </w:pPr>
      <w:r>
        <w:rPr>
          <w:rStyle w:val="eop"/>
          <w:rFonts w:ascii="Arial" w:hAnsi="Arial" w:cs="Arial"/>
          <w:color w:val="000000"/>
          <w:sz w:val="22"/>
          <w:szCs w:val="22"/>
        </w:rPr>
        <w:t> </w:t>
      </w:r>
    </w:p>
    <w:p w14:paraId="7E20C133" w14:textId="77777777" w:rsidR="00883BDF" w:rsidRDefault="00883BDF" w:rsidP="00883BDF">
      <w:pPr>
        <w:pStyle w:val="paragraph"/>
        <w:spacing w:before="0" w:beforeAutospacing="0" w:after="0" w:afterAutospacing="0"/>
        <w:textAlignment w:val="baseline"/>
        <w:rPr>
          <w:rFonts w:ascii="Arial" w:hAnsi="Arial" w:cs="Arial"/>
          <w:color w:val="000000"/>
          <w:sz w:val="22"/>
          <w:szCs w:val="22"/>
        </w:rPr>
      </w:pPr>
      <w:r>
        <w:rPr>
          <w:rStyle w:val="normaltextrun"/>
          <w:rFonts w:ascii="Arial" w:eastAsiaTheme="minorEastAsia" w:hAnsi="Arial" w:cs="Arial"/>
          <w:color w:val="000000"/>
          <w:sz w:val="22"/>
          <w:szCs w:val="22"/>
        </w:rPr>
        <w:t>Zero-emission vehicles typically cost more than conventional gas-powered vehicles, creating a barrier to ownership. The Oregon Clean Vehicle Rebate Program is required to allocate at least 20% of funds to Charge Ahead Rebates for low- and moderate-income households. Some of the proposed rule changes could help this portion of the program stay open longer by conserving funds, thereby expanding access to EVs and reducing air pollution in applicants’ communities. However, lowering Charge Ahead Rebate amounts may limit who can afford an EV and participate in the program.</w:t>
      </w:r>
      <w:r>
        <w:rPr>
          <w:rStyle w:val="eop"/>
          <w:rFonts w:ascii="Arial" w:hAnsi="Arial" w:cs="Arial"/>
          <w:color w:val="000000"/>
          <w:sz w:val="22"/>
          <w:szCs w:val="22"/>
        </w:rPr>
        <w:t> </w:t>
      </w:r>
    </w:p>
    <w:p w14:paraId="49A0BCA2" w14:textId="77777777" w:rsidR="00883BDF" w:rsidRDefault="00883BDF" w:rsidP="00883BDF">
      <w:pPr>
        <w:pStyle w:val="paragraph"/>
        <w:spacing w:before="0" w:beforeAutospacing="0" w:after="0" w:afterAutospacing="0"/>
        <w:ind w:left="810"/>
        <w:textAlignment w:val="baseline"/>
        <w:rPr>
          <w:rFonts w:ascii="Arial" w:hAnsi="Arial" w:cs="Arial"/>
          <w:color w:val="000000"/>
          <w:sz w:val="22"/>
          <w:szCs w:val="22"/>
        </w:rPr>
      </w:pPr>
      <w:r>
        <w:rPr>
          <w:rStyle w:val="eop"/>
          <w:rFonts w:ascii="Arial" w:hAnsi="Arial" w:cs="Arial"/>
          <w:color w:val="000000"/>
          <w:sz w:val="22"/>
          <w:szCs w:val="22"/>
        </w:rPr>
        <w:t> </w:t>
      </w:r>
    </w:p>
    <w:p w14:paraId="36717D7A" w14:textId="77777777" w:rsidR="00883BDF" w:rsidRDefault="00883BDF" w:rsidP="00883BDF">
      <w:pPr>
        <w:pStyle w:val="paragraph"/>
        <w:spacing w:before="0" w:beforeAutospacing="0" w:after="0" w:afterAutospacing="0"/>
        <w:textAlignment w:val="baseline"/>
        <w:rPr>
          <w:rFonts w:ascii="Arial" w:hAnsi="Arial" w:cs="Arial"/>
          <w:color w:val="000000"/>
          <w:sz w:val="22"/>
          <w:szCs w:val="22"/>
        </w:rPr>
      </w:pPr>
      <w:r w:rsidRPr="6256579D">
        <w:rPr>
          <w:rStyle w:val="normaltextrun"/>
          <w:rFonts w:ascii="Arial" w:eastAsiaTheme="minorEastAsia" w:hAnsi="Arial" w:cs="Arial"/>
          <w:color w:val="000000" w:themeColor="text1"/>
          <w:sz w:val="22"/>
          <w:szCs w:val="22"/>
        </w:rPr>
        <w:t>The Zero-Emissions Rebates for Oregon Fleets program is mandated to allocate 40% of state funding for medium- and heavy-duty vehicle rebates to communities disproportionately impacted by diesel pollution. The proposed rule changes are designed to ensure that these funds are directed toward reducing diesel emissions in the vehicle classes for which they are intended. This targeted approach will help deliver meaningful air quality improvements for communities located near major transportation corridors, such as highways, where medium- and heavy-duty trucks predominantly operate.</w:t>
      </w:r>
      <w:r w:rsidRPr="6256579D">
        <w:rPr>
          <w:rStyle w:val="eop"/>
          <w:rFonts w:ascii="Arial" w:hAnsi="Arial" w:cs="Arial"/>
          <w:color w:val="000000" w:themeColor="text1"/>
          <w:sz w:val="22"/>
          <w:szCs w:val="22"/>
        </w:rPr>
        <w:t> </w:t>
      </w:r>
    </w:p>
    <w:p w14:paraId="3AE77701" w14:textId="77777777" w:rsidR="00883BDF" w:rsidRDefault="00883BDF" w:rsidP="00883BDF">
      <w:pPr>
        <w:pStyle w:val="paragraph"/>
        <w:spacing w:before="0" w:beforeAutospacing="0" w:after="0" w:afterAutospacing="0"/>
        <w:ind w:left="810"/>
        <w:textAlignment w:val="baseline"/>
        <w:rPr>
          <w:rFonts w:ascii="Arial" w:hAnsi="Arial" w:cs="Arial"/>
          <w:color w:val="000000"/>
          <w:sz w:val="22"/>
          <w:szCs w:val="22"/>
        </w:rPr>
      </w:pPr>
      <w:r>
        <w:rPr>
          <w:rStyle w:val="eop"/>
          <w:rFonts w:ascii="Arial" w:hAnsi="Arial" w:cs="Arial"/>
          <w:color w:val="000000"/>
          <w:sz w:val="22"/>
          <w:szCs w:val="22"/>
        </w:rPr>
        <w:t> </w:t>
      </w:r>
    </w:p>
    <w:p w14:paraId="5CCD385B" w14:textId="77777777" w:rsidR="00883BDF" w:rsidRDefault="00883BDF" w:rsidP="00883BDF">
      <w:pPr>
        <w:pStyle w:val="paragraph"/>
        <w:spacing w:before="0" w:beforeAutospacing="0" w:after="0" w:afterAutospacing="0"/>
        <w:textAlignment w:val="baseline"/>
        <w:rPr>
          <w:rFonts w:ascii="Arial" w:hAnsi="Arial" w:cs="Arial"/>
          <w:color w:val="000000"/>
          <w:sz w:val="22"/>
          <w:szCs w:val="22"/>
        </w:rPr>
      </w:pPr>
      <w:r>
        <w:rPr>
          <w:rStyle w:val="normaltextrun"/>
          <w:rFonts w:ascii="Arial" w:eastAsiaTheme="minorEastAsia" w:hAnsi="Arial" w:cs="Arial"/>
          <w:color w:val="000000"/>
          <w:sz w:val="22"/>
          <w:szCs w:val="22"/>
        </w:rPr>
        <w:t>Staff included representatives from those impacted by the proposed rules on the Rule Advisory Committee. Staff reached out to environmental and clean air advocacy organizations as well as advocacy organizations for communities of color during the rulemaking process to:</w:t>
      </w:r>
      <w:r>
        <w:rPr>
          <w:rStyle w:val="eop"/>
          <w:rFonts w:ascii="Arial" w:hAnsi="Arial" w:cs="Arial"/>
          <w:color w:val="000000"/>
          <w:sz w:val="22"/>
          <w:szCs w:val="22"/>
        </w:rPr>
        <w:t> </w:t>
      </w:r>
    </w:p>
    <w:p w14:paraId="47F7D07A" w14:textId="35271FA9" w:rsidR="00883BDF" w:rsidRDefault="00883BDF" w:rsidP="00883BDF">
      <w:pPr>
        <w:pStyle w:val="paragraph"/>
        <w:numPr>
          <w:ilvl w:val="0"/>
          <w:numId w:val="21"/>
        </w:numPr>
        <w:spacing w:before="0" w:beforeAutospacing="0" w:after="0" w:afterAutospacing="0"/>
        <w:ind w:left="1080" w:firstLine="0"/>
        <w:textAlignment w:val="baseline"/>
        <w:rPr>
          <w:rFonts w:ascii="Arial" w:hAnsi="Arial" w:cs="Arial"/>
          <w:color w:val="000000"/>
          <w:sz w:val="22"/>
          <w:szCs w:val="22"/>
        </w:rPr>
      </w:pPr>
      <w:r>
        <w:rPr>
          <w:rStyle w:val="normaltextrun"/>
          <w:rFonts w:ascii="Arial" w:eastAsiaTheme="minorEastAsia" w:hAnsi="Arial" w:cs="Arial"/>
          <w:color w:val="000000"/>
          <w:sz w:val="22"/>
          <w:szCs w:val="22"/>
        </w:rPr>
        <w:t>Provide background information</w:t>
      </w:r>
      <w:r w:rsidR="00AE3ED9">
        <w:rPr>
          <w:rStyle w:val="normaltextrun"/>
          <w:rFonts w:ascii="Arial" w:eastAsiaTheme="minorEastAsia" w:hAnsi="Arial" w:cs="Arial"/>
          <w:color w:val="000000"/>
          <w:sz w:val="22"/>
          <w:szCs w:val="22"/>
        </w:rPr>
        <w:t>.</w:t>
      </w:r>
      <w:r>
        <w:rPr>
          <w:rStyle w:val="normaltextrun"/>
          <w:rFonts w:ascii="Arial" w:eastAsiaTheme="minorEastAsia" w:hAnsi="Arial" w:cs="Arial"/>
          <w:color w:val="000000"/>
          <w:sz w:val="22"/>
          <w:szCs w:val="22"/>
        </w:rPr>
        <w:t> </w:t>
      </w:r>
      <w:r>
        <w:rPr>
          <w:rStyle w:val="eop"/>
          <w:rFonts w:ascii="Arial" w:hAnsi="Arial" w:cs="Arial"/>
          <w:color w:val="000000"/>
          <w:sz w:val="22"/>
          <w:szCs w:val="22"/>
        </w:rPr>
        <w:t> </w:t>
      </w:r>
    </w:p>
    <w:p w14:paraId="0905B4DC" w14:textId="1A8CBB2E" w:rsidR="00883BDF" w:rsidRDefault="00883BDF" w:rsidP="00883BDF">
      <w:pPr>
        <w:pStyle w:val="paragraph"/>
        <w:numPr>
          <w:ilvl w:val="0"/>
          <w:numId w:val="22"/>
        </w:numPr>
        <w:spacing w:before="0" w:beforeAutospacing="0" w:after="0" w:afterAutospacing="0"/>
        <w:ind w:left="1080" w:firstLine="0"/>
        <w:textAlignment w:val="baseline"/>
        <w:rPr>
          <w:rFonts w:ascii="Arial" w:hAnsi="Arial" w:cs="Arial"/>
          <w:color w:val="000000"/>
          <w:sz w:val="22"/>
          <w:szCs w:val="22"/>
        </w:rPr>
      </w:pPr>
      <w:r>
        <w:rPr>
          <w:rStyle w:val="normaltextrun"/>
          <w:rFonts w:ascii="Arial" w:eastAsiaTheme="minorEastAsia" w:hAnsi="Arial" w:cs="Arial"/>
          <w:color w:val="000000"/>
          <w:sz w:val="22"/>
          <w:szCs w:val="22"/>
        </w:rPr>
        <w:t>Describe rule concepts</w:t>
      </w:r>
      <w:r w:rsidR="00AE3ED9">
        <w:rPr>
          <w:rStyle w:val="normaltextrun"/>
          <w:rFonts w:ascii="Arial" w:eastAsiaTheme="minorEastAsia" w:hAnsi="Arial" w:cs="Arial"/>
          <w:color w:val="000000"/>
          <w:sz w:val="22"/>
          <w:szCs w:val="22"/>
        </w:rPr>
        <w:t>.</w:t>
      </w:r>
      <w:r>
        <w:rPr>
          <w:rStyle w:val="normaltextrun"/>
          <w:rFonts w:ascii="Arial" w:eastAsiaTheme="minorEastAsia" w:hAnsi="Arial" w:cs="Arial"/>
          <w:color w:val="000000"/>
          <w:sz w:val="22"/>
          <w:szCs w:val="22"/>
        </w:rPr>
        <w:t> </w:t>
      </w:r>
      <w:r>
        <w:rPr>
          <w:rStyle w:val="eop"/>
          <w:rFonts w:ascii="Arial" w:hAnsi="Arial" w:cs="Arial"/>
          <w:color w:val="000000"/>
          <w:sz w:val="22"/>
          <w:szCs w:val="22"/>
        </w:rPr>
        <w:t> </w:t>
      </w:r>
    </w:p>
    <w:p w14:paraId="3AF81BE9" w14:textId="31614A43" w:rsidR="00883BDF" w:rsidRDefault="00883BDF" w:rsidP="00883BDF">
      <w:pPr>
        <w:pStyle w:val="paragraph"/>
        <w:numPr>
          <w:ilvl w:val="0"/>
          <w:numId w:val="23"/>
        </w:numPr>
        <w:spacing w:before="0" w:beforeAutospacing="0" w:after="0" w:afterAutospacing="0"/>
        <w:ind w:left="1080" w:firstLine="0"/>
        <w:textAlignment w:val="baseline"/>
        <w:rPr>
          <w:rFonts w:ascii="Arial" w:hAnsi="Arial" w:cs="Arial"/>
          <w:color w:val="000000"/>
          <w:sz w:val="22"/>
          <w:szCs w:val="22"/>
        </w:rPr>
      </w:pPr>
      <w:r>
        <w:rPr>
          <w:rStyle w:val="normaltextrun"/>
          <w:rFonts w:ascii="Arial" w:eastAsiaTheme="minorEastAsia" w:hAnsi="Arial" w:cs="Arial"/>
          <w:color w:val="000000"/>
          <w:sz w:val="22"/>
          <w:szCs w:val="22"/>
        </w:rPr>
        <w:t>Request, listen and incorporate their feedback</w:t>
      </w:r>
      <w:r w:rsidR="00AE3ED9">
        <w:rPr>
          <w:rStyle w:val="normaltextrun"/>
          <w:rFonts w:ascii="Arial" w:eastAsiaTheme="minorEastAsia" w:hAnsi="Arial" w:cs="Arial"/>
          <w:color w:val="000000"/>
          <w:sz w:val="22"/>
          <w:szCs w:val="22"/>
        </w:rPr>
        <w:t>.</w:t>
      </w:r>
      <w:r>
        <w:rPr>
          <w:rStyle w:val="eop"/>
          <w:rFonts w:ascii="Arial" w:hAnsi="Arial" w:cs="Arial"/>
          <w:color w:val="000000"/>
          <w:sz w:val="22"/>
          <w:szCs w:val="22"/>
        </w:rPr>
        <w:t> </w:t>
      </w:r>
    </w:p>
    <w:p w14:paraId="5B539821" w14:textId="77777777" w:rsidR="00883BDF" w:rsidRDefault="00883BDF" w:rsidP="00883BDF">
      <w:pPr>
        <w:pStyle w:val="paragraph"/>
        <w:numPr>
          <w:ilvl w:val="0"/>
          <w:numId w:val="24"/>
        </w:numPr>
        <w:spacing w:before="0" w:beforeAutospacing="0" w:after="0" w:afterAutospacing="0"/>
        <w:ind w:left="1080" w:firstLine="0"/>
        <w:textAlignment w:val="baseline"/>
        <w:rPr>
          <w:rFonts w:ascii="Arial" w:hAnsi="Arial" w:cs="Arial"/>
          <w:color w:val="000000"/>
          <w:sz w:val="22"/>
          <w:szCs w:val="22"/>
        </w:rPr>
      </w:pPr>
      <w:r>
        <w:rPr>
          <w:rStyle w:val="normaltextrun"/>
          <w:rFonts w:ascii="Arial" w:eastAsiaTheme="minorEastAsia" w:hAnsi="Arial" w:cs="Arial"/>
          <w:color w:val="000000"/>
          <w:sz w:val="22"/>
          <w:szCs w:val="22"/>
        </w:rPr>
        <w:t>Respond to questions.</w:t>
      </w:r>
      <w:r>
        <w:rPr>
          <w:rStyle w:val="eop"/>
          <w:rFonts w:ascii="Arial" w:hAnsi="Arial" w:cs="Arial"/>
          <w:color w:val="000000"/>
          <w:sz w:val="22"/>
          <w:szCs w:val="22"/>
        </w:rPr>
        <w:t> </w:t>
      </w:r>
    </w:p>
    <w:p w14:paraId="7030A5AD" w14:textId="7B6B736C" w:rsidR="00563365" w:rsidRDefault="00563365" w:rsidP="00ED47E6"/>
    <w:p w14:paraId="1F2E6C4F" w14:textId="77777777" w:rsidR="00ED47E6" w:rsidRDefault="00ED47E6" w:rsidP="00ED47E6"/>
    <w:p w14:paraId="22C8813B" w14:textId="25ABFF25" w:rsidR="00563365" w:rsidRDefault="00ED47E6" w:rsidP="00883BDF">
      <w:r>
        <w:t xml:space="preserve"> </w:t>
      </w:r>
      <w:r w:rsidR="00563365">
        <w:br w:type="page"/>
      </w:r>
    </w:p>
    <w:p w14:paraId="0A861FB3" w14:textId="360CC403" w:rsidR="00ED47E6" w:rsidRDefault="00ED47E6" w:rsidP="00563365">
      <w:pPr>
        <w:pStyle w:val="Heading1"/>
      </w:pPr>
      <w:bookmarkStart w:id="57" w:name="_Toc226361753"/>
      <w:r>
        <w:lastRenderedPageBreak/>
        <w:t>Land use</w:t>
      </w:r>
      <w:bookmarkEnd w:id="57"/>
    </w:p>
    <w:p w14:paraId="5356A4C7" w14:textId="77777777" w:rsidR="001E4589" w:rsidRPr="00A373FD" w:rsidRDefault="001E4589" w:rsidP="001E4589">
      <w:pPr>
        <w:pStyle w:val="Heading2"/>
        <w:rPr>
          <w:rFonts w:cs="Arial"/>
        </w:rPr>
      </w:pPr>
      <w:bookmarkStart w:id="58" w:name="_Toc226361754"/>
      <w:r w:rsidRPr="00A373FD">
        <w:rPr>
          <w:rFonts w:cs="Arial"/>
        </w:rPr>
        <w:t>Land-use considerations</w:t>
      </w:r>
      <w:bookmarkEnd w:id="58"/>
    </w:p>
    <w:p w14:paraId="0FF8F841" w14:textId="3EF37ADE" w:rsidR="001E4589" w:rsidRPr="00A373FD" w:rsidRDefault="001E4589" w:rsidP="001E4589">
      <w:pPr>
        <w:rPr>
          <w:rFonts w:cs="Arial"/>
        </w:rPr>
      </w:pPr>
      <w:r w:rsidRPr="00A373FD">
        <w:rPr>
          <w:rFonts w:cs="Arial"/>
        </w:rPr>
        <w:t>In adopting new or amended rules, ORS 197.180 and OAR 340-018-0070 require DEQ to determine whether the proposed rules significantly affect land use. If so, DEQ must explain how the proposed rules comply with statewide land-use planning goals and local acknowledged comprehensive plans.</w:t>
      </w:r>
    </w:p>
    <w:p w14:paraId="5D588198" w14:textId="77777777" w:rsidR="001E4589" w:rsidRPr="00A373FD" w:rsidRDefault="001E4589" w:rsidP="001E4589">
      <w:pPr>
        <w:rPr>
          <w:rFonts w:cs="Arial"/>
        </w:rPr>
      </w:pPr>
      <w:r w:rsidRPr="00A373FD">
        <w:rPr>
          <w:rFonts w:cs="Arial"/>
        </w:rPr>
        <w:t>Under OAR 660-030-0005 and OAR 340 Division 18, DEQ considers that rules affect land use if:</w:t>
      </w:r>
    </w:p>
    <w:p w14:paraId="277095F6" w14:textId="77777777" w:rsidR="001E4589" w:rsidRPr="00A373FD" w:rsidRDefault="001E4589" w:rsidP="001E4589">
      <w:pPr>
        <w:pStyle w:val="ListParagraph"/>
        <w:numPr>
          <w:ilvl w:val="0"/>
          <w:numId w:val="25"/>
        </w:numPr>
        <w:spacing w:after="0" w:line="240" w:lineRule="auto"/>
        <w:outlineLvl w:val="0"/>
        <w:rPr>
          <w:rFonts w:cs="Arial"/>
        </w:rPr>
      </w:pPr>
      <w:r w:rsidRPr="00A373FD">
        <w:rPr>
          <w:rFonts w:cs="Arial"/>
        </w:rPr>
        <w:t>The statewide land use planning goals specifically refer to the rule or program, or</w:t>
      </w:r>
    </w:p>
    <w:p w14:paraId="2535CDDE" w14:textId="77777777" w:rsidR="001E4589" w:rsidRPr="00A373FD" w:rsidRDefault="001E4589" w:rsidP="001E4589">
      <w:pPr>
        <w:pStyle w:val="ListParagraph"/>
        <w:numPr>
          <w:ilvl w:val="0"/>
          <w:numId w:val="25"/>
        </w:numPr>
        <w:spacing w:after="0" w:line="240" w:lineRule="auto"/>
        <w:outlineLvl w:val="0"/>
        <w:rPr>
          <w:rFonts w:cs="Arial"/>
        </w:rPr>
      </w:pPr>
      <w:r w:rsidRPr="00A373FD">
        <w:rPr>
          <w:rFonts w:cs="Arial"/>
        </w:rPr>
        <w:t>The rule or program is reasonably expected to have significant effects on:</w:t>
      </w:r>
    </w:p>
    <w:p w14:paraId="1C278CC6" w14:textId="77777777" w:rsidR="001E4589" w:rsidRPr="00A373FD" w:rsidRDefault="001E4589" w:rsidP="001E4589">
      <w:pPr>
        <w:pStyle w:val="ListParagraph"/>
        <w:numPr>
          <w:ilvl w:val="0"/>
          <w:numId w:val="25"/>
        </w:numPr>
        <w:spacing w:after="0" w:line="240" w:lineRule="auto"/>
        <w:outlineLvl w:val="0"/>
        <w:rPr>
          <w:rFonts w:cs="Arial"/>
        </w:rPr>
      </w:pPr>
      <w:r w:rsidRPr="00A373FD">
        <w:rPr>
          <w:rFonts w:cs="Arial"/>
        </w:rPr>
        <w:t xml:space="preserve">Resources, objects, or areas identified in the statewide planning goals, or </w:t>
      </w:r>
    </w:p>
    <w:p w14:paraId="34505A94" w14:textId="1650C95B" w:rsidR="001E4589" w:rsidRPr="00A373FD" w:rsidRDefault="001E4589" w:rsidP="001E4589">
      <w:pPr>
        <w:pStyle w:val="ListParagraph"/>
        <w:numPr>
          <w:ilvl w:val="0"/>
          <w:numId w:val="25"/>
        </w:numPr>
        <w:spacing w:after="0" w:line="240" w:lineRule="auto"/>
        <w:outlineLvl w:val="0"/>
        <w:rPr>
          <w:rFonts w:cs="Arial"/>
        </w:rPr>
      </w:pPr>
      <w:r w:rsidRPr="00A373FD">
        <w:rPr>
          <w:rFonts w:cs="Arial"/>
        </w:rPr>
        <w:t>Present or future land uses identified in acknowledge</w:t>
      </w:r>
      <w:r w:rsidR="00CA7F1E">
        <w:rPr>
          <w:rFonts w:cs="Arial"/>
        </w:rPr>
        <w:t>d</w:t>
      </w:r>
      <w:r w:rsidRPr="00A373FD">
        <w:rPr>
          <w:rFonts w:cs="Arial"/>
        </w:rPr>
        <w:t xml:space="preserve"> comprehensive plans</w:t>
      </w:r>
      <w:r w:rsidR="00CA7F1E">
        <w:rPr>
          <w:rFonts w:cs="Arial"/>
        </w:rPr>
        <w:t>.</w:t>
      </w:r>
    </w:p>
    <w:p w14:paraId="09AFA0A8" w14:textId="77777777" w:rsidR="001E4589" w:rsidRPr="00A373FD" w:rsidRDefault="001E4589" w:rsidP="001E4589">
      <w:pPr>
        <w:rPr>
          <w:rFonts w:cs="Arial"/>
        </w:rPr>
      </w:pPr>
    </w:p>
    <w:p w14:paraId="3CE1F8FC" w14:textId="0296D165" w:rsidR="001E4589" w:rsidRPr="00A373FD" w:rsidRDefault="001E4589" w:rsidP="001E4589">
      <w:pPr>
        <w:rPr>
          <w:rFonts w:cs="Arial"/>
        </w:rPr>
      </w:pPr>
      <w:r w:rsidRPr="00A373FD">
        <w:rPr>
          <w:rFonts w:cs="Arial"/>
        </w:rPr>
        <w:t>DEQ determined whether the proposed rules involve programs or actions that affect land use by reviewing its Statewide Agency Coordination plan. The plan describes the programs that DEQ determined significantly affect land use. DEQ considers that its programs specifically relate to the following statewide goals:</w:t>
      </w:r>
    </w:p>
    <w:p w14:paraId="4419A01B" w14:textId="77777777" w:rsidR="001E4589" w:rsidRPr="00A373FD" w:rsidRDefault="001E4589" w:rsidP="001E4589">
      <w:pPr>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1E4589" w:rsidRPr="00A373FD" w14:paraId="3C5324F3" w14:textId="77777777">
        <w:tc>
          <w:tcPr>
            <w:tcW w:w="1255" w:type="dxa"/>
            <w:vAlign w:val="center"/>
          </w:tcPr>
          <w:p w14:paraId="26200D5E" w14:textId="77777777" w:rsidR="001E4589" w:rsidRPr="00A373FD" w:rsidRDefault="001E4589">
            <w:pPr>
              <w:jc w:val="center"/>
              <w:rPr>
                <w:rFonts w:cs="Arial"/>
                <w:b/>
              </w:rPr>
            </w:pPr>
            <w:r w:rsidRPr="00A373FD">
              <w:rPr>
                <w:rFonts w:cs="Arial"/>
                <w:b/>
              </w:rPr>
              <w:t>Goal</w:t>
            </w:r>
          </w:p>
        </w:tc>
        <w:tc>
          <w:tcPr>
            <w:tcW w:w="7663" w:type="dxa"/>
          </w:tcPr>
          <w:p w14:paraId="36AD95A8" w14:textId="77777777" w:rsidR="001E4589" w:rsidRPr="00A373FD" w:rsidRDefault="001E4589">
            <w:pPr>
              <w:rPr>
                <w:rFonts w:cs="Arial"/>
                <w:b/>
              </w:rPr>
            </w:pPr>
            <w:r w:rsidRPr="00A373FD">
              <w:rPr>
                <w:rFonts w:cs="Arial"/>
                <w:b/>
              </w:rPr>
              <w:t>Title</w:t>
            </w:r>
          </w:p>
        </w:tc>
      </w:tr>
      <w:tr w:rsidR="001E4589" w:rsidRPr="00A373FD" w14:paraId="4B20030C" w14:textId="77777777">
        <w:tc>
          <w:tcPr>
            <w:tcW w:w="1255" w:type="dxa"/>
            <w:vAlign w:val="center"/>
          </w:tcPr>
          <w:p w14:paraId="5CBD4CBA" w14:textId="77777777" w:rsidR="001E4589" w:rsidRPr="00A373FD" w:rsidRDefault="001E4589">
            <w:pPr>
              <w:jc w:val="center"/>
              <w:rPr>
                <w:rFonts w:cs="Arial"/>
              </w:rPr>
            </w:pPr>
            <w:r w:rsidRPr="00A373FD">
              <w:rPr>
                <w:rFonts w:cs="Arial"/>
              </w:rPr>
              <w:t>5</w:t>
            </w:r>
          </w:p>
        </w:tc>
        <w:tc>
          <w:tcPr>
            <w:tcW w:w="7663" w:type="dxa"/>
          </w:tcPr>
          <w:p w14:paraId="65355C3A" w14:textId="77777777" w:rsidR="001E4589" w:rsidRPr="00A373FD" w:rsidRDefault="001E4589">
            <w:pPr>
              <w:rPr>
                <w:rFonts w:cs="Arial"/>
              </w:rPr>
            </w:pPr>
            <w:r w:rsidRPr="00A373FD">
              <w:rPr>
                <w:rFonts w:cs="Arial"/>
              </w:rPr>
              <w:t>Natural Resources, Scenic and Historic Areas, and Open Spaces</w:t>
            </w:r>
          </w:p>
        </w:tc>
      </w:tr>
      <w:tr w:rsidR="001E4589" w:rsidRPr="00A373FD" w14:paraId="4B08D700" w14:textId="77777777">
        <w:tc>
          <w:tcPr>
            <w:tcW w:w="1255" w:type="dxa"/>
            <w:vAlign w:val="center"/>
          </w:tcPr>
          <w:p w14:paraId="2621C55E" w14:textId="77777777" w:rsidR="001E4589" w:rsidRPr="00A373FD" w:rsidRDefault="001E4589">
            <w:pPr>
              <w:jc w:val="center"/>
              <w:rPr>
                <w:rFonts w:cs="Arial"/>
              </w:rPr>
            </w:pPr>
            <w:r w:rsidRPr="00A373FD">
              <w:rPr>
                <w:rFonts w:cs="Arial"/>
              </w:rPr>
              <w:t>6</w:t>
            </w:r>
          </w:p>
        </w:tc>
        <w:tc>
          <w:tcPr>
            <w:tcW w:w="7663" w:type="dxa"/>
          </w:tcPr>
          <w:p w14:paraId="789D7119" w14:textId="77777777" w:rsidR="001E4589" w:rsidRPr="00A373FD" w:rsidRDefault="001E4589">
            <w:pPr>
              <w:rPr>
                <w:rFonts w:cs="Arial"/>
              </w:rPr>
            </w:pPr>
            <w:r w:rsidRPr="00A373FD">
              <w:rPr>
                <w:rFonts w:cs="Arial"/>
              </w:rPr>
              <w:t>Air, Water and Land Resources Quality</w:t>
            </w:r>
          </w:p>
        </w:tc>
      </w:tr>
      <w:tr w:rsidR="001E4589" w:rsidRPr="00A373FD" w14:paraId="2D4AE1CE" w14:textId="77777777">
        <w:tc>
          <w:tcPr>
            <w:tcW w:w="1255" w:type="dxa"/>
            <w:vAlign w:val="center"/>
          </w:tcPr>
          <w:p w14:paraId="2D2CEBD9" w14:textId="77777777" w:rsidR="001E4589" w:rsidRPr="00A373FD" w:rsidRDefault="001E4589">
            <w:pPr>
              <w:jc w:val="center"/>
              <w:rPr>
                <w:rFonts w:cs="Arial"/>
              </w:rPr>
            </w:pPr>
            <w:r w:rsidRPr="00A373FD">
              <w:rPr>
                <w:rFonts w:cs="Arial"/>
              </w:rPr>
              <w:t>11</w:t>
            </w:r>
          </w:p>
        </w:tc>
        <w:tc>
          <w:tcPr>
            <w:tcW w:w="7663" w:type="dxa"/>
          </w:tcPr>
          <w:p w14:paraId="2F60BD4C" w14:textId="77777777" w:rsidR="001E4589" w:rsidRPr="00A373FD" w:rsidRDefault="001E4589">
            <w:pPr>
              <w:rPr>
                <w:rFonts w:cs="Arial"/>
              </w:rPr>
            </w:pPr>
            <w:r w:rsidRPr="00A373FD">
              <w:rPr>
                <w:rFonts w:cs="Arial"/>
              </w:rPr>
              <w:t>Public Facilities and Services</w:t>
            </w:r>
          </w:p>
        </w:tc>
      </w:tr>
      <w:tr w:rsidR="001E4589" w:rsidRPr="00A373FD" w14:paraId="44FB2746" w14:textId="77777777">
        <w:tc>
          <w:tcPr>
            <w:tcW w:w="1255" w:type="dxa"/>
            <w:vAlign w:val="center"/>
          </w:tcPr>
          <w:p w14:paraId="2CC56378" w14:textId="77777777" w:rsidR="001E4589" w:rsidRPr="00A373FD" w:rsidRDefault="001E4589">
            <w:pPr>
              <w:jc w:val="center"/>
              <w:rPr>
                <w:rFonts w:cs="Arial"/>
              </w:rPr>
            </w:pPr>
            <w:r w:rsidRPr="00A373FD">
              <w:rPr>
                <w:rFonts w:cs="Arial"/>
              </w:rPr>
              <w:t>16</w:t>
            </w:r>
          </w:p>
        </w:tc>
        <w:tc>
          <w:tcPr>
            <w:tcW w:w="7663" w:type="dxa"/>
          </w:tcPr>
          <w:p w14:paraId="2B85BEF2" w14:textId="77777777" w:rsidR="001E4589" w:rsidRPr="00A373FD" w:rsidRDefault="001E4589">
            <w:pPr>
              <w:rPr>
                <w:rFonts w:cs="Arial"/>
              </w:rPr>
            </w:pPr>
            <w:r w:rsidRPr="00A373FD">
              <w:rPr>
                <w:rFonts w:cs="Arial"/>
              </w:rPr>
              <w:t>Estuarine Resources</w:t>
            </w:r>
          </w:p>
        </w:tc>
      </w:tr>
      <w:tr w:rsidR="001E4589" w:rsidRPr="00A373FD" w14:paraId="02196FE7" w14:textId="77777777">
        <w:tc>
          <w:tcPr>
            <w:tcW w:w="1255" w:type="dxa"/>
            <w:vAlign w:val="center"/>
          </w:tcPr>
          <w:p w14:paraId="721E8EB4" w14:textId="77777777" w:rsidR="001E4589" w:rsidRPr="00A373FD" w:rsidRDefault="001E4589">
            <w:pPr>
              <w:jc w:val="center"/>
              <w:rPr>
                <w:rFonts w:cs="Arial"/>
              </w:rPr>
            </w:pPr>
            <w:r w:rsidRPr="00A373FD">
              <w:rPr>
                <w:rFonts w:cs="Arial"/>
              </w:rPr>
              <w:t>19</w:t>
            </w:r>
          </w:p>
        </w:tc>
        <w:tc>
          <w:tcPr>
            <w:tcW w:w="7663" w:type="dxa"/>
          </w:tcPr>
          <w:p w14:paraId="19558D46" w14:textId="77777777" w:rsidR="001E4589" w:rsidRPr="00A373FD" w:rsidRDefault="001E4589">
            <w:pPr>
              <w:rPr>
                <w:rFonts w:cs="Arial"/>
              </w:rPr>
            </w:pPr>
            <w:r w:rsidRPr="00A373FD">
              <w:rPr>
                <w:rFonts w:cs="Arial"/>
              </w:rPr>
              <w:t>Ocean Resources</w:t>
            </w:r>
          </w:p>
        </w:tc>
      </w:tr>
    </w:tbl>
    <w:p w14:paraId="24E6B09C" w14:textId="77777777" w:rsidR="001E4589" w:rsidRPr="00A373FD" w:rsidRDefault="001E4589" w:rsidP="001E4589">
      <w:pPr>
        <w:rPr>
          <w:rFonts w:cs="Arial"/>
        </w:rPr>
      </w:pPr>
    </w:p>
    <w:p w14:paraId="6D7AB45A" w14:textId="44E00D5B" w:rsidR="001E4589" w:rsidRPr="00A373FD" w:rsidRDefault="001E4589" w:rsidP="001E4589">
      <w:pPr>
        <w:rPr>
          <w:rFonts w:cs="Arial"/>
        </w:rPr>
      </w:pPr>
      <w:r w:rsidRPr="00A373FD">
        <w:rPr>
          <w:rFonts w:cs="Arial"/>
        </w:rPr>
        <w:t>Statewide goals also specifically reference the following DEQ programs:</w:t>
      </w:r>
    </w:p>
    <w:p w14:paraId="1765E2EC" w14:textId="77777777" w:rsidR="001E4589" w:rsidRPr="00A373FD" w:rsidRDefault="001E4589" w:rsidP="001E4589">
      <w:pPr>
        <w:pStyle w:val="ListParagraph"/>
        <w:numPr>
          <w:ilvl w:val="0"/>
          <w:numId w:val="26"/>
        </w:numPr>
        <w:spacing w:after="0" w:line="240" w:lineRule="auto"/>
        <w:outlineLvl w:val="0"/>
        <w:rPr>
          <w:rFonts w:cs="Arial"/>
        </w:rPr>
      </w:pPr>
      <w:r w:rsidRPr="00A373FD">
        <w:rPr>
          <w:rFonts w:cs="Arial"/>
        </w:rPr>
        <w:t>Nonpoint source discharge water quality program – Goal 16</w:t>
      </w:r>
    </w:p>
    <w:p w14:paraId="3ABF45E3" w14:textId="77777777" w:rsidR="001E4589" w:rsidRPr="00A373FD" w:rsidRDefault="001E4589" w:rsidP="001E4589">
      <w:pPr>
        <w:pStyle w:val="ListParagraph"/>
        <w:numPr>
          <w:ilvl w:val="0"/>
          <w:numId w:val="26"/>
        </w:numPr>
        <w:spacing w:after="0" w:line="240" w:lineRule="auto"/>
        <w:outlineLvl w:val="0"/>
        <w:rPr>
          <w:rFonts w:cs="Arial"/>
        </w:rPr>
      </w:pPr>
      <w:r w:rsidRPr="00A373FD">
        <w:rPr>
          <w:rFonts w:cs="Arial"/>
        </w:rPr>
        <w:t>Water quality and sewage disposal systems – Goal 16</w:t>
      </w:r>
    </w:p>
    <w:p w14:paraId="56E8DA3F" w14:textId="77777777" w:rsidR="001E4589" w:rsidRPr="00A373FD" w:rsidRDefault="001E4589" w:rsidP="001E4589">
      <w:pPr>
        <w:pStyle w:val="ListParagraph"/>
        <w:numPr>
          <w:ilvl w:val="0"/>
          <w:numId w:val="26"/>
        </w:numPr>
        <w:spacing w:after="0" w:line="240" w:lineRule="auto"/>
        <w:outlineLvl w:val="0"/>
        <w:rPr>
          <w:rFonts w:cs="Arial"/>
        </w:rPr>
      </w:pPr>
      <w:r w:rsidRPr="00A373FD">
        <w:rPr>
          <w:rFonts w:cs="Arial"/>
        </w:rPr>
        <w:t>Water quality permits and oil spill regulations – Goal 19</w:t>
      </w:r>
    </w:p>
    <w:p w14:paraId="3E099959" w14:textId="77777777" w:rsidR="001E4589" w:rsidRPr="00A373FD" w:rsidRDefault="001E4589" w:rsidP="001E4589">
      <w:pPr>
        <w:rPr>
          <w:rFonts w:cs="Arial"/>
        </w:rPr>
      </w:pPr>
    </w:p>
    <w:p w14:paraId="114CCBD8" w14:textId="77777777" w:rsidR="001E4589" w:rsidRPr="00A373FD" w:rsidRDefault="001E4589" w:rsidP="001E4589">
      <w:pPr>
        <w:pStyle w:val="Heading2"/>
        <w:rPr>
          <w:rFonts w:cs="Arial"/>
        </w:rPr>
      </w:pPr>
      <w:bookmarkStart w:id="59" w:name="_Toc226361755"/>
      <w:r w:rsidRPr="00A373FD">
        <w:rPr>
          <w:rFonts w:cs="Arial"/>
        </w:rPr>
        <w:t>Determination</w:t>
      </w:r>
      <w:bookmarkEnd w:id="59"/>
    </w:p>
    <w:p w14:paraId="4A34CF25" w14:textId="77777777" w:rsidR="001E4589" w:rsidRPr="00A373FD" w:rsidRDefault="001E4589" w:rsidP="001E4589">
      <w:pPr>
        <w:rPr>
          <w:rFonts w:cs="Arial"/>
        </w:rPr>
      </w:pPr>
      <w:r w:rsidRPr="00A373FD">
        <w:rPr>
          <w:rFonts w:cs="Arial"/>
        </w:rPr>
        <w:t>DEQ determined that these proposed rules do not affect land use under OAR 340-018-0030 or DEQ’s State Agency Coordination Program.</w:t>
      </w:r>
    </w:p>
    <w:p w14:paraId="407FC0CD" w14:textId="7E0F6823" w:rsidR="00ED47E6" w:rsidRDefault="00ED47E6" w:rsidP="00ED47E6"/>
    <w:p w14:paraId="241D5DDB" w14:textId="052BDA4E" w:rsidR="00563365" w:rsidRDefault="00ED47E6" w:rsidP="001E4589">
      <w:r>
        <w:t xml:space="preserve"> </w:t>
      </w:r>
      <w:r w:rsidR="00563365">
        <w:br w:type="page"/>
      </w:r>
    </w:p>
    <w:p w14:paraId="48D8FC4D" w14:textId="09F8AD4F" w:rsidR="00ED47E6" w:rsidRDefault="00ED47E6" w:rsidP="00252011">
      <w:pPr>
        <w:pStyle w:val="Heading1"/>
      </w:pPr>
      <w:bookmarkStart w:id="60" w:name="_Toc226361756"/>
      <w:r>
        <w:lastRenderedPageBreak/>
        <w:t>EQC prior involvement</w:t>
      </w:r>
      <w:bookmarkEnd w:id="60"/>
    </w:p>
    <w:p w14:paraId="57DE3569" w14:textId="0B4875F9" w:rsidR="00F933FD" w:rsidRPr="00A373FD" w:rsidRDefault="00F933FD" w:rsidP="00F933FD">
      <w:pPr>
        <w:rPr>
          <w:rFonts w:cs="Arial"/>
        </w:rPr>
      </w:pPr>
      <w:r w:rsidRPr="00D25164">
        <w:t>DEQ has regularly provided updates to the EQC on overall program implementation and status</w:t>
      </w:r>
      <w:r w:rsidR="00B06A07">
        <w:t>. DEQ also</w:t>
      </w:r>
      <w:r w:rsidRPr="00D25164">
        <w:t xml:space="preserve"> </w:t>
      </w:r>
      <w:r w:rsidR="002F13B7">
        <w:t xml:space="preserve">presented an </w:t>
      </w:r>
      <w:r w:rsidR="002F13B7" w:rsidRPr="00D25164">
        <w:t>overview of the program</w:t>
      </w:r>
      <w:r w:rsidR="002F13B7">
        <w:t>s</w:t>
      </w:r>
      <w:r w:rsidR="002F13B7" w:rsidRPr="00D25164">
        <w:t xml:space="preserve"> and the proposed rule changes </w:t>
      </w:r>
      <w:r w:rsidR="002F13B7">
        <w:t>as I</w:t>
      </w:r>
      <w:r w:rsidRPr="00D25164">
        <w:t xml:space="preserve">nformational </w:t>
      </w:r>
      <w:r w:rsidR="002F13B7">
        <w:t>I</w:t>
      </w:r>
      <w:r w:rsidRPr="00D25164">
        <w:t xml:space="preserve">tem </w:t>
      </w:r>
      <w:r w:rsidR="002F13B7">
        <w:t>C at the M</w:t>
      </w:r>
      <w:r w:rsidRPr="00D25164">
        <w:t xml:space="preserve">arch 2026 EQC meeting. </w:t>
      </w:r>
    </w:p>
    <w:p w14:paraId="58267EE0" w14:textId="77777777" w:rsidR="00F933FD" w:rsidRDefault="00F933FD" w:rsidP="00ED47E6"/>
    <w:p w14:paraId="7BD5DCB4" w14:textId="4D08BBFB" w:rsidR="00ED47E6" w:rsidRDefault="00ED47E6" w:rsidP="00ED47E6"/>
    <w:p w14:paraId="5680DCAD" w14:textId="77777777" w:rsidR="00ED47E6" w:rsidRDefault="00ED47E6" w:rsidP="00ED47E6">
      <w:r>
        <w:t xml:space="preserve"> </w:t>
      </w:r>
    </w:p>
    <w:p w14:paraId="289EB948" w14:textId="77777777" w:rsidR="00ED47E6" w:rsidRDefault="00ED47E6" w:rsidP="00ED47E6"/>
    <w:p w14:paraId="6C36D03A" w14:textId="77777777" w:rsidR="00ED47E6" w:rsidRDefault="00ED47E6" w:rsidP="00ED47E6"/>
    <w:p w14:paraId="0DDF2F71" w14:textId="77777777" w:rsidR="00ED47E6" w:rsidRDefault="00ED47E6" w:rsidP="00ED47E6">
      <w:r>
        <w:t> </w:t>
      </w:r>
    </w:p>
    <w:p w14:paraId="2D2B45F8" w14:textId="77777777" w:rsidR="00563365" w:rsidRDefault="00563365">
      <w:pPr>
        <w:spacing w:after="160"/>
      </w:pPr>
      <w:r>
        <w:br w:type="page"/>
      </w:r>
    </w:p>
    <w:p w14:paraId="462BCAF5" w14:textId="15A67034" w:rsidR="00ED47E6" w:rsidRDefault="00ED47E6" w:rsidP="00252011">
      <w:pPr>
        <w:pStyle w:val="Heading1"/>
      </w:pPr>
      <w:bookmarkStart w:id="61" w:name="_Toc226361757"/>
      <w:r>
        <w:lastRenderedPageBreak/>
        <w:t>Advisory committee</w:t>
      </w:r>
      <w:bookmarkEnd w:id="61"/>
    </w:p>
    <w:p w14:paraId="6E5825EE" w14:textId="77777777" w:rsidR="00F810FD" w:rsidRPr="00A373FD" w:rsidRDefault="00F810FD" w:rsidP="00F810FD">
      <w:pPr>
        <w:pStyle w:val="Heading2"/>
        <w:rPr>
          <w:rFonts w:cs="Arial"/>
        </w:rPr>
      </w:pPr>
      <w:bookmarkStart w:id="62" w:name="_Toc226361758"/>
      <w:r w:rsidRPr="00A373FD">
        <w:rPr>
          <w:rFonts w:cs="Arial"/>
        </w:rPr>
        <w:t>Background</w:t>
      </w:r>
      <w:bookmarkEnd w:id="62"/>
    </w:p>
    <w:p w14:paraId="0490B1CA" w14:textId="6E225CB7" w:rsidR="00F810FD" w:rsidRPr="00F810FD" w:rsidRDefault="00F810FD" w:rsidP="00F810FD">
      <w:pPr>
        <w:pStyle w:val="instructions"/>
        <w:rPr>
          <w:b w:val="0"/>
          <w:bCs/>
          <w:color w:val="auto"/>
        </w:rPr>
      </w:pPr>
      <w:r w:rsidRPr="00F810FD">
        <w:rPr>
          <w:b w:val="0"/>
          <w:bCs/>
          <w:color w:val="auto"/>
        </w:rPr>
        <w:t xml:space="preserve">DEQ convened the </w:t>
      </w:r>
      <w:r w:rsidRPr="00F810FD">
        <w:rPr>
          <w:rStyle w:val="instructionsChar"/>
          <w:color w:val="auto"/>
        </w:rPr>
        <w:t>EV Rebates 2026</w:t>
      </w:r>
      <w:r w:rsidRPr="00F810FD">
        <w:rPr>
          <w:b w:val="0"/>
          <w:bCs/>
          <w:color w:val="auto"/>
        </w:rPr>
        <w:t xml:space="preserve"> advisory committee. The Rule Advisory Committee included representatives of affected communities, including vehicle manufacturers, dealers and industry groups, purchasers of new and used eligible vehicles, vehicle fleets, environmental and community-based organizations, EV associations, a rural conservation and development council, the City of Portland and the public. The committee met twice, once in November 2025 and once in December 2025, and considered the policy, fiscal and economic impact of the proposed rules on the business or organization they represent. The committee’s web page is located at:</w:t>
      </w:r>
      <w:r w:rsidRPr="00CD0FAA">
        <w:rPr>
          <w:b w:val="0"/>
          <w:bCs/>
          <w:color w:val="auto"/>
        </w:rPr>
        <w:t xml:space="preserve"> </w:t>
      </w:r>
      <w:hyperlink r:id="rId45" w:history="1">
        <w:r w:rsidR="00CD0FAA" w:rsidRPr="00CD0FAA">
          <w:rPr>
            <w:rStyle w:val="Hyperlink"/>
            <w:b w:val="0"/>
            <w:bCs/>
          </w:rPr>
          <w:t>Department of Environmental Quality : EV Rebates 2026 : Rulemaking at DEQ : State of Oregon</w:t>
        </w:r>
      </w:hyperlink>
    </w:p>
    <w:p w14:paraId="304E0D83" w14:textId="79012B2D" w:rsidR="0053417D" w:rsidRPr="00A373FD" w:rsidRDefault="0053417D" w:rsidP="0053417D">
      <w:pPr>
        <w:rPr>
          <w:rFonts w:cs="Arial"/>
        </w:rPr>
      </w:pPr>
      <w:r w:rsidRPr="00A373FD">
        <w:rPr>
          <w:rFonts w:cs="Arial"/>
        </w:rPr>
        <w:t>The committee members were:</w:t>
      </w:r>
    </w:p>
    <w:tbl>
      <w:tblPr>
        <w:tblStyle w:val="TableGrid"/>
        <w:tblW w:w="9157"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4" w:space="0" w:color="000000" w:themeColor="text1"/>
        </w:tblBorders>
        <w:tblCellMar>
          <w:top w:w="14" w:type="dxa"/>
          <w:left w:w="14" w:type="dxa"/>
          <w:bottom w:w="14" w:type="dxa"/>
          <w:right w:w="14" w:type="dxa"/>
        </w:tblCellMar>
        <w:tblLook w:val="04A0" w:firstRow="1" w:lastRow="0" w:firstColumn="1" w:lastColumn="0" w:noHBand="0" w:noVBand="1"/>
      </w:tblPr>
      <w:tblGrid>
        <w:gridCol w:w="4297"/>
        <w:gridCol w:w="4860"/>
      </w:tblGrid>
      <w:tr w:rsidR="0053417D" w:rsidRPr="00A373FD" w14:paraId="2C6FC92A" w14:textId="77777777">
        <w:trPr>
          <w:trHeight w:val="388"/>
        </w:trPr>
        <w:tc>
          <w:tcPr>
            <w:tcW w:w="4297" w:type="dxa"/>
            <w:tcBorders>
              <w:top w:val="single" w:sz="12" w:space="0" w:color="000000" w:themeColor="text1"/>
              <w:bottom w:val="single" w:sz="12" w:space="0" w:color="000000" w:themeColor="text1"/>
              <w:right w:val="single" w:sz="12" w:space="0" w:color="000000" w:themeColor="text1"/>
            </w:tcBorders>
            <w:shd w:val="clear" w:color="auto" w:fill="D9F2D0" w:themeFill="accent6" w:themeFillTint="33"/>
            <w:vAlign w:val="center"/>
          </w:tcPr>
          <w:p w14:paraId="3D6935DA" w14:textId="77777777" w:rsidR="0053417D" w:rsidRPr="00A373FD" w:rsidRDefault="0053417D">
            <w:pPr>
              <w:jc w:val="center"/>
              <w:rPr>
                <w:rFonts w:cs="Arial"/>
                <w:b/>
              </w:rPr>
            </w:pPr>
            <w:r w:rsidRPr="00A373FD">
              <w:rPr>
                <w:rFonts w:cs="Arial"/>
                <w:b/>
              </w:rPr>
              <w:t>Name</w:t>
            </w:r>
          </w:p>
        </w:tc>
        <w:tc>
          <w:tcPr>
            <w:tcW w:w="4860" w:type="dxa"/>
            <w:tcBorders>
              <w:top w:val="single" w:sz="12" w:space="0" w:color="000000" w:themeColor="text1"/>
              <w:left w:val="single" w:sz="12" w:space="0" w:color="000000" w:themeColor="text1"/>
              <w:bottom w:val="single" w:sz="12" w:space="0" w:color="000000" w:themeColor="text1"/>
            </w:tcBorders>
            <w:shd w:val="clear" w:color="auto" w:fill="D9F2D0" w:themeFill="accent6" w:themeFillTint="33"/>
            <w:vAlign w:val="center"/>
          </w:tcPr>
          <w:p w14:paraId="0843CF2E" w14:textId="77777777" w:rsidR="0053417D" w:rsidRPr="00A373FD" w:rsidRDefault="0053417D">
            <w:pPr>
              <w:ind w:right="2322"/>
              <w:jc w:val="center"/>
              <w:rPr>
                <w:rFonts w:cs="Arial"/>
                <w:b/>
              </w:rPr>
            </w:pPr>
            <w:r w:rsidRPr="00A373FD">
              <w:rPr>
                <w:rFonts w:cs="Arial"/>
                <w:b/>
              </w:rPr>
              <w:t>Representing</w:t>
            </w:r>
          </w:p>
        </w:tc>
      </w:tr>
      <w:tr w:rsidR="0053417D" w:rsidRPr="00A373FD" w14:paraId="6A9D3E10" w14:textId="77777777">
        <w:tc>
          <w:tcPr>
            <w:tcW w:w="4297" w:type="dxa"/>
            <w:tcBorders>
              <w:top w:val="single" w:sz="12" w:space="0" w:color="000000" w:themeColor="text1"/>
              <w:bottom w:val="single" w:sz="12" w:space="0" w:color="000000" w:themeColor="text1"/>
              <w:right w:val="single" w:sz="12" w:space="0" w:color="000000" w:themeColor="text1"/>
            </w:tcBorders>
          </w:tcPr>
          <w:p w14:paraId="5785259A" w14:textId="77777777" w:rsidR="0053417D" w:rsidRPr="00A373FD" w:rsidRDefault="0053417D" w:rsidP="00B2368D">
            <w:pPr>
              <w:spacing w:after="60"/>
              <w:rPr>
                <w:rFonts w:cs="Arial"/>
              </w:rPr>
            </w:pPr>
            <w:r>
              <w:rPr>
                <w:rStyle w:val="normaltextrun"/>
                <w:rFonts w:cs="Arial"/>
                <w:color w:val="000000"/>
                <w:szCs w:val="22"/>
              </w:rPr>
              <w:t>Steve Douglas</w:t>
            </w:r>
            <w:r>
              <w:rPr>
                <w:rStyle w:val="eop"/>
                <w:rFonts w:cs="Arial"/>
                <w:color w:val="000000"/>
                <w:szCs w:val="22"/>
              </w:rPr>
              <w:t> </w:t>
            </w:r>
          </w:p>
        </w:tc>
        <w:tc>
          <w:tcPr>
            <w:tcW w:w="4860" w:type="dxa"/>
            <w:tcBorders>
              <w:top w:val="single" w:sz="12" w:space="0" w:color="000000" w:themeColor="text1"/>
              <w:left w:val="single" w:sz="12" w:space="0" w:color="000000" w:themeColor="text1"/>
              <w:bottom w:val="single" w:sz="12" w:space="0" w:color="000000" w:themeColor="text1"/>
            </w:tcBorders>
          </w:tcPr>
          <w:p w14:paraId="2A005A84" w14:textId="77777777" w:rsidR="0053417D" w:rsidRPr="00A373FD" w:rsidRDefault="0053417D" w:rsidP="00B2368D">
            <w:pPr>
              <w:spacing w:after="60"/>
              <w:rPr>
                <w:rFonts w:cs="Arial"/>
              </w:rPr>
            </w:pPr>
            <w:r>
              <w:rPr>
                <w:rStyle w:val="normaltextrun"/>
                <w:rFonts w:cs="Arial"/>
                <w:color w:val="000000"/>
                <w:szCs w:val="22"/>
              </w:rPr>
              <w:t>Alliance of Automotive Innovation</w:t>
            </w:r>
            <w:r>
              <w:rPr>
                <w:rStyle w:val="eop"/>
                <w:rFonts w:cs="Arial"/>
                <w:color w:val="000000"/>
                <w:szCs w:val="22"/>
              </w:rPr>
              <w:t> </w:t>
            </w:r>
          </w:p>
        </w:tc>
      </w:tr>
      <w:tr w:rsidR="0053417D" w:rsidRPr="00A373FD" w14:paraId="2C949BC4" w14:textId="77777777">
        <w:tc>
          <w:tcPr>
            <w:tcW w:w="4297" w:type="dxa"/>
            <w:tcBorders>
              <w:top w:val="single" w:sz="12" w:space="0" w:color="000000" w:themeColor="text1"/>
              <w:bottom w:val="single" w:sz="12" w:space="0" w:color="000000" w:themeColor="text1"/>
              <w:right w:val="single" w:sz="12" w:space="0" w:color="000000" w:themeColor="text1"/>
            </w:tcBorders>
          </w:tcPr>
          <w:p w14:paraId="2D62C9ED" w14:textId="77777777" w:rsidR="0053417D" w:rsidRPr="00A373FD" w:rsidRDefault="0053417D" w:rsidP="00B2368D">
            <w:pPr>
              <w:spacing w:after="60"/>
              <w:rPr>
                <w:rFonts w:cs="Arial"/>
              </w:rPr>
            </w:pPr>
            <w:r>
              <w:rPr>
                <w:rStyle w:val="normaltextrun"/>
                <w:rFonts w:cs="Arial"/>
                <w:color w:val="000000"/>
                <w:szCs w:val="22"/>
              </w:rPr>
              <w:t>Ingrid Fish </w:t>
            </w:r>
            <w:r>
              <w:rPr>
                <w:rStyle w:val="eop"/>
                <w:rFonts w:cs="Arial"/>
                <w:color w:val="000000"/>
                <w:szCs w:val="22"/>
              </w:rPr>
              <w:t> </w:t>
            </w:r>
          </w:p>
        </w:tc>
        <w:tc>
          <w:tcPr>
            <w:tcW w:w="4860" w:type="dxa"/>
            <w:tcBorders>
              <w:top w:val="single" w:sz="12" w:space="0" w:color="000000" w:themeColor="text1"/>
              <w:left w:val="single" w:sz="12" w:space="0" w:color="000000" w:themeColor="text1"/>
              <w:bottom w:val="single" w:sz="12" w:space="0" w:color="000000" w:themeColor="text1"/>
            </w:tcBorders>
          </w:tcPr>
          <w:p w14:paraId="41E941F8" w14:textId="77777777" w:rsidR="0053417D" w:rsidRPr="00A373FD" w:rsidRDefault="0053417D" w:rsidP="00B2368D">
            <w:pPr>
              <w:spacing w:after="60"/>
              <w:rPr>
                <w:rFonts w:cs="Arial"/>
              </w:rPr>
            </w:pPr>
            <w:r>
              <w:rPr>
                <w:rStyle w:val="normaltextrun"/>
                <w:rFonts w:cs="Arial"/>
                <w:color w:val="000000"/>
                <w:szCs w:val="22"/>
              </w:rPr>
              <w:t>City of Portland, BPS </w:t>
            </w:r>
            <w:r>
              <w:rPr>
                <w:rStyle w:val="eop"/>
                <w:rFonts w:cs="Arial"/>
                <w:color w:val="000000"/>
                <w:szCs w:val="22"/>
              </w:rPr>
              <w:t> </w:t>
            </w:r>
          </w:p>
        </w:tc>
      </w:tr>
      <w:tr w:rsidR="0053417D" w:rsidRPr="00A373FD" w14:paraId="483A7A47" w14:textId="77777777">
        <w:tc>
          <w:tcPr>
            <w:tcW w:w="4297" w:type="dxa"/>
            <w:tcBorders>
              <w:top w:val="single" w:sz="12" w:space="0" w:color="000000" w:themeColor="text1"/>
              <w:bottom w:val="single" w:sz="12" w:space="0" w:color="000000" w:themeColor="text1"/>
              <w:right w:val="single" w:sz="12" w:space="0" w:color="000000" w:themeColor="text1"/>
            </w:tcBorders>
          </w:tcPr>
          <w:p w14:paraId="5C286B6B" w14:textId="77777777" w:rsidR="0053417D" w:rsidRPr="00A373FD" w:rsidRDefault="0053417D" w:rsidP="00B2368D">
            <w:pPr>
              <w:spacing w:after="60"/>
              <w:rPr>
                <w:rFonts w:cs="Arial"/>
              </w:rPr>
            </w:pPr>
            <w:r>
              <w:rPr>
                <w:rStyle w:val="normaltextrun"/>
                <w:rFonts w:cs="Arial"/>
                <w:color w:val="000000"/>
                <w:szCs w:val="22"/>
              </w:rPr>
              <w:t>Brett Morgan</w:t>
            </w:r>
            <w:r>
              <w:rPr>
                <w:rStyle w:val="eop"/>
                <w:rFonts w:cs="Arial"/>
                <w:color w:val="000000"/>
                <w:szCs w:val="22"/>
              </w:rPr>
              <w:t> </w:t>
            </w:r>
          </w:p>
        </w:tc>
        <w:tc>
          <w:tcPr>
            <w:tcW w:w="4860" w:type="dxa"/>
            <w:tcBorders>
              <w:top w:val="single" w:sz="12" w:space="0" w:color="000000" w:themeColor="text1"/>
              <w:left w:val="single" w:sz="12" w:space="0" w:color="000000" w:themeColor="text1"/>
              <w:bottom w:val="single" w:sz="12" w:space="0" w:color="000000" w:themeColor="text1"/>
            </w:tcBorders>
          </w:tcPr>
          <w:p w14:paraId="15ADD113" w14:textId="77777777" w:rsidR="0053417D" w:rsidRPr="00A373FD" w:rsidRDefault="0053417D" w:rsidP="00B2368D">
            <w:pPr>
              <w:spacing w:after="60"/>
              <w:rPr>
                <w:rFonts w:cs="Arial"/>
              </w:rPr>
            </w:pPr>
            <w:r>
              <w:rPr>
                <w:rStyle w:val="normaltextrun"/>
                <w:rFonts w:cs="Arial"/>
                <w:color w:val="000000"/>
                <w:szCs w:val="22"/>
              </w:rPr>
              <w:t>Climate Solutions </w:t>
            </w:r>
            <w:r>
              <w:rPr>
                <w:rStyle w:val="eop"/>
                <w:rFonts w:cs="Arial"/>
                <w:color w:val="000000"/>
                <w:szCs w:val="22"/>
              </w:rPr>
              <w:t> </w:t>
            </w:r>
          </w:p>
        </w:tc>
      </w:tr>
      <w:tr w:rsidR="0053417D" w:rsidRPr="00A373FD" w14:paraId="2CAC24EE" w14:textId="77777777">
        <w:tc>
          <w:tcPr>
            <w:tcW w:w="4297" w:type="dxa"/>
            <w:tcBorders>
              <w:top w:val="single" w:sz="12" w:space="0" w:color="000000" w:themeColor="text1"/>
              <w:bottom w:val="single" w:sz="12" w:space="0" w:color="000000" w:themeColor="text1"/>
              <w:right w:val="single" w:sz="12" w:space="0" w:color="000000" w:themeColor="text1"/>
            </w:tcBorders>
          </w:tcPr>
          <w:p w14:paraId="0671CE5D" w14:textId="77777777" w:rsidR="0053417D" w:rsidRPr="00A373FD" w:rsidRDefault="0053417D" w:rsidP="00B2368D">
            <w:pPr>
              <w:spacing w:after="60"/>
              <w:rPr>
                <w:rFonts w:cs="Arial"/>
              </w:rPr>
            </w:pPr>
            <w:r>
              <w:rPr>
                <w:rStyle w:val="normaltextrun"/>
                <w:rFonts w:cs="Arial"/>
                <w:color w:val="000000"/>
                <w:szCs w:val="22"/>
              </w:rPr>
              <w:t>Chris Chandler</w:t>
            </w:r>
            <w:r>
              <w:rPr>
                <w:rStyle w:val="eop"/>
                <w:rFonts w:cs="Arial"/>
                <w:color w:val="000000"/>
                <w:szCs w:val="22"/>
              </w:rPr>
              <w:t> </w:t>
            </w:r>
          </w:p>
        </w:tc>
        <w:tc>
          <w:tcPr>
            <w:tcW w:w="4860" w:type="dxa"/>
            <w:tcBorders>
              <w:top w:val="single" w:sz="12" w:space="0" w:color="000000" w:themeColor="text1"/>
              <w:left w:val="single" w:sz="12" w:space="0" w:color="000000" w:themeColor="text1"/>
              <w:bottom w:val="single" w:sz="12" w:space="0" w:color="000000" w:themeColor="text1"/>
            </w:tcBorders>
          </w:tcPr>
          <w:p w14:paraId="57066DB9" w14:textId="77777777" w:rsidR="0053417D" w:rsidRPr="00A373FD" w:rsidRDefault="0053417D" w:rsidP="00B2368D">
            <w:pPr>
              <w:spacing w:after="60"/>
              <w:rPr>
                <w:rFonts w:cs="Arial"/>
              </w:rPr>
            </w:pPr>
            <w:r>
              <w:rPr>
                <w:rStyle w:val="normaltextrun"/>
                <w:rFonts w:cs="Arial"/>
                <w:color w:val="000000"/>
                <w:szCs w:val="22"/>
              </w:rPr>
              <w:t>Emerald Valley Electric Vehicle Association </w:t>
            </w:r>
            <w:r>
              <w:rPr>
                <w:rStyle w:val="eop"/>
                <w:rFonts w:cs="Arial"/>
                <w:color w:val="000000"/>
                <w:szCs w:val="22"/>
              </w:rPr>
              <w:t> </w:t>
            </w:r>
          </w:p>
        </w:tc>
      </w:tr>
      <w:tr w:rsidR="0053417D" w:rsidRPr="00A373FD" w14:paraId="5C85B492" w14:textId="77777777">
        <w:tc>
          <w:tcPr>
            <w:tcW w:w="4297" w:type="dxa"/>
            <w:tcBorders>
              <w:top w:val="single" w:sz="12" w:space="0" w:color="000000" w:themeColor="text1"/>
              <w:bottom w:val="single" w:sz="12" w:space="0" w:color="000000" w:themeColor="text1"/>
              <w:right w:val="single" w:sz="12" w:space="0" w:color="000000" w:themeColor="text1"/>
            </w:tcBorders>
          </w:tcPr>
          <w:p w14:paraId="63118651" w14:textId="77777777" w:rsidR="0053417D" w:rsidRPr="00A373FD" w:rsidRDefault="0053417D" w:rsidP="00B2368D">
            <w:pPr>
              <w:spacing w:after="60"/>
              <w:rPr>
                <w:rFonts w:cs="Arial"/>
              </w:rPr>
            </w:pPr>
            <w:r>
              <w:rPr>
                <w:rStyle w:val="normaltextrun"/>
                <w:rFonts w:cs="Arial"/>
                <w:color w:val="000000"/>
                <w:szCs w:val="22"/>
              </w:rPr>
              <w:t>Don Emerson  </w:t>
            </w:r>
            <w:r>
              <w:rPr>
                <w:rStyle w:val="eop"/>
                <w:rFonts w:cs="Arial"/>
                <w:color w:val="000000"/>
                <w:szCs w:val="22"/>
              </w:rPr>
              <w:t> </w:t>
            </w:r>
          </w:p>
        </w:tc>
        <w:tc>
          <w:tcPr>
            <w:tcW w:w="4860" w:type="dxa"/>
            <w:tcBorders>
              <w:top w:val="single" w:sz="12" w:space="0" w:color="000000" w:themeColor="text1"/>
              <w:left w:val="single" w:sz="12" w:space="0" w:color="000000" w:themeColor="text1"/>
              <w:bottom w:val="single" w:sz="12" w:space="0" w:color="000000" w:themeColor="text1"/>
            </w:tcBorders>
          </w:tcPr>
          <w:p w14:paraId="325AB2AF" w14:textId="77777777" w:rsidR="0053417D" w:rsidRPr="00A373FD" w:rsidRDefault="0053417D" w:rsidP="00B2368D">
            <w:pPr>
              <w:spacing w:after="60"/>
              <w:rPr>
                <w:rFonts w:cs="Arial"/>
              </w:rPr>
            </w:pPr>
            <w:r>
              <w:rPr>
                <w:rStyle w:val="normaltextrun"/>
                <w:rFonts w:cs="Arial"/>
                <w:color w:val="000000"/>
                <w:szCs w:val="22"/>
              </w:rPr>
              <w:t>FMI Trucks  </w:t>
            </w:r>
            <w:r>
              <w:rPr>
                <w:rStyle w:val="eop"/>
                <w:rFonts w:cs="Arial"/>
                <w:color w:val="000000"/>
                <w:szCs w:val="22"/>
              </w:rPr>
              <w:t> </w:t>
            </w:r>
          </w:p>
        </w:tc>
      </w:tr>
      <w:tr w:rsidR="0053417D" w:rsidRPr="00A373FD" w14:paraId="31F5C6BF" w14:textId="77777777">
        <w:tc>
          <w:tcPr>
            <w:tcW w:w="4297" w:type="dxa"/>
            <w:tcBorders>
              <w:top w:val="single" w:sz="12" w:space="0" w:color="000000" w:themeColor="text1"/>
              <w:bottom w:val="single" w:sz="12" w:space="0" w:color="000000" w:themeColor="text1"/>
              <w:right w:val="single" w:sz="12" w:space="0" w:color="000000" w:themeColor="text1"/>
            </w:tcBorders>
          </w:tcPr>
          <w:p w14:paraId="106D2C71" w14:textId="77777777" w:rsidR="0053417D" w:rsidRPr="00A373FD" w:rsidRDefault="0053417D" w:rsidP="00B2368D">
            <w:pPr>
              <w:spacing w:after="60"/>
              <w:rPr>
                <w:rFonts w:cs="Arial"/>
              </w:rPr>
            </w:pPr>
            <w:r>
              <w:rPr>
                <w:rStyle w:val="normaltextrun"/>
                <w:rFonts w:cs="Arial"/>
                <w:color w:val="000000"/>
                <w:szCs w:val="22"/>
              </w:rPr>
              <w:t>Stu Green  </w:t>
            </w:r>
            <w:r>
              <w:rPr>
                <w:rStyle w:val="eop"/>
                <w:rFonts w:cs="Arial"/>
                <w:color w:val="000000"/>
                <w:szCs w:val="22"/>
              </w:rPr>
              <w:t> </w:t>
            </w:r>
          </w:p>
        </w:tc>
        <w:tc>
          <w:tcPr>
            <w:tcW w:w="4860" w:type="dxa"/>
            <w:tcBorders>
              <w:top w:val="single" w:sz="12" w:space="0" w:color="000000" w:themeColor="text1"/>
              <w:left w:val="single" w:sz="12" w:space="0" w:color="000000" w:themeColor="text1"/>
              <w:bottom w:val="single" w:sz="12" w:space="0" w:color="000000" w:themeColor="text1"/>
            </w:tcBorders>
          </w:tcPr>
          <w:p w14:paraId="474EB801" w14:textId="77777777" w:rsidR="0053417D" w:rsidRPr="00A373FD" w:rsidRDefault="0053417D" w:rsidP="00B2368D">
            <w:pPr>
              <w:spacing w:after="60"/>
              <w:rPr>
                <w:rFonts w:cs="Arial"/>
              </w:rPr>
            </w:pPr>
            <w:r>
              <w:rPr>
                <w:rStyle w:val="normaltextrun"/>
                <w:rFonts w:cs="Arial"/>
                <w:color w:val="000000"/>
                <w:szCs w:val="22"/>
              </w:rPr>
              <w:t>Forth </w:t>
            </w:r>
            <w:r>
              <w:rPr>
                <w:rStyle w:val="eop"/>
                <w:rFonts w:cs="Arial"/>
                <w:color w:val="000000"/>
                <w:szCs w:val="22"/>
              </w:rPr>
              <w:t> </w:t>
            </w:r>
          </w:p>
        </w:tc>
      </w:tr>
      <w:tr w:rsidR="0053417D" w:rsidRPr="00A373FD" w14:paraId="034A1560" w14:textId="77777777">
        <w:tc>
          <w:tcPr>
            <w:tcW w:w="4297" w:type="dxa"/>
            <w:tcBorders>
              <w:top w:val="single" w:sz="12" w:space="0" w:color="000000" w:themeColor="text1"/>
              <w:bottom w:val="single" w:sz="12" w:space="0" w:color="000000" w:themeColor="text1"/>
              <w:right w:val="single" w:sz="12" w:space="0" w:color="000000" w:themeColor="text1"/>
            </w:tcBorders>
          </w:tcPr>
          <w:p w14:paraId="3CD652B2" w14:textId="77777777" w:rsidR="0053417D" w:rsidRPr="00A373FD" w:rsidRDefault="0053417D" w:rsidP="00B2368D">
            <w:pPr>
              <w:spacing w:after="60"/>
              <w:rPr>
                <w:rFonts w:cs="Arial"/>
              </w:rPr>
            </w:pPr>
            <w:r>
              <w:rPr>
                <w:rStyle w:val="normaltextrun"/>
                <w:rFonts w:cs="Arial"/>
                <w:color w:val="000000"/>
                <w:szCs w:val="22"/>
              </w:rPr>
              <w:t>Michael Scheloske</w:t>
            </w:r>
            <w:r>
              <w:rPr>
                <w:rStyle w:val="eop"/>
                <w:rFonts w:cs="Arial"/>
                <w:color w:val="000000"/>
                <w:szCs w:val="22"/>
              </w:rPr>
              <w:t> </w:t>
            </w:r>
          </w:p>
        </w:tc>
        <w:tc>
          <w:tcPr>
            <w:tcW w:w="4860" w:type="dxa"/>
            <w:tcBorders>
              <w:top w:val="single" w:sz="12" w:space="0" w:color="000000" w:themeColor="text1"/>
              <w:left w:val="single" w:sz="12" w:space="0" w:color="000000" w:themeColor="text1"/>
              <w:bottom w:val="single" w:sz="12" w:space="0" w:color="000000" w:themeColor="text1"/>
            </w:tcBorders>
          </w:tcPr>
          <w:p w14:paraId="052F512E" w14:textId="77777777" w:rsidR="0053417D" w:rsidRPr="00A373FD" w:rsidRDefault="0053417D" w:rsidP="00B2368D">
            <w:pPr>
              <w:spacing w:after="60"/>
              <w:rPr>
                <w:rFonts w:cs="Arial"/>
              </w:rPr>
            </w:pPr>
            <w:r>
              <w:rPr>
                <w:rStyle w:val="normaltextrun"/>
                <w:rFonts w:cs="Arial"/>
                <w:color w:val="000000"/>
                <w:szCs w:val="22"/>
              </w:rPr>
              <w:t>GM  </w:t>
            </w:r>
            <w:r>
              <w:rPr>
                <w:rStyle w:val="eop"/>
                <w:rFonts w:cs="Arial"/>
                <w:color w:val="000000"/>
                <w:szCs w:val="22"/>
              </w:rPr>
              <w:t> </w:t>
            </w:r>
          </w:p>
        </w:tc>
      </w:tr>
      <w:tr w:rsidR="0053417D" w:rsidRPr="00A373FD" w14:paraId="09A09858" w14:textId="77777777">
        <w:tc>
          <w:tcPr>
            <w:tcW w:w="4297" w:type="dxa"/>
            <w:tcBorders>
              <w:top w:val="single" w:sz="12" w:space="0" w:color="000000" w:themeColor="text1"/>
              <w:bottom w:val="single" w:sz="12" w:space="0" w:color="000000" w:themeColor="text1"/>
              <w:right w:val="single" w:sz="12" w:space="0" w:color="000000" w:themeColor="text1"/>
            </w:tcBorders>
          </w:tcPr>
          <w:p w14:paraId="4C22B82D" w14:textId="77777777" w:rsidR="0053417D" w:rsidRPr="00A373FD" w:rsidRDefault="0053417D" w:rsidP="00B2368D">
            <w:pPr>
              <w:spacing w:after="60"/>
              <w:rPr>
                <w:rFonts w:cs="Arial"/>
              </w:rPr>
            </w:pPr>
            <w:r>
              <w:rPr>
                <w:rStyle w:val="normaltextrun"/>
                <w:rFonts w:cs="Arial"/>
                <w:color w:val="000000"/>
                <w:szCs w:val="22"/>
              </w:rPr>
              <w:t>Sandra Jones</w:t>
            </w:r>
            <w:r>
              <w:rPr>
                <w:rStyle w:val="eop"/>
                <w:rFonts w:cs="Arial"/>
                <w:color w:val="000000"/>
                <w:szCs w:val="22"/>
              </w:rPr>
              <w:t> </w:t>
            </w:r>
          </w:p>
        </w:tc>
        <w:tc>
          <w:tcPr>
            <w:tcW w:w="4860" w:type="dxa"/>
            <w:tcBorders>
              <w:top w:val="single" w:sz="12" w:space="0" w:color="000000" w:themeColor="text1"/>
              <w:left w:val="single" w:sz="12" w:space="0" w:color="000000" w:themeColor="text1"/>
              <w:bottom w:val="single" w:sz="12" w:space="0" w:color="000000" w:themeColor="text1"/>
            </w:tcBorders>
          </w:tcPr>
          <w:p w14:paraId="6B0067F2" w14:textId="77777777" w:rsidR="0053417D" w:rsidRPr="00A373FD" w:rsidRDefault="0053417D" w:rsidP="00B2368D">
            <w:pPr>
              <w:spacing w:after="60"/>
              <w:rPr>
                <w:rFonts w:cs="Arial"/>
              </w:rPr>
            </w:pPr>
            <w:r>
              <w:rPr>
                <w:rStyle w:val="normaltextrun"/>
                <w:rFonts w:cs="Arial"/>
                <w:color w:val="000000"/>
                <w:szCs w:val="22"/>
              </w:rPr>
              <w:t>Metropolitan Family Services </w:t>
            </w:r>
            <w:r>
              <w:rPr>
                <w:rStyle w:val="eop"/>
                <w:rFonts w:cs="Arial"/>
                <w:color w:val="000000"/>
                <w:szCs w:val="22"/>
              </w:rPr>
              <w:t> </w:t>
            </w:r>
          </w:p>
        </w:tc>
      </w:tr>
      <w:tr w:rsidR="0053417D" w:rsidRPr="00A373FD" w14:paraId="50814396" w14:textId="77777777">
        <w:tc>
          <w:tcPr>
            <w:tcW w:w="4297" w:type="dxa"/>
            <w:tcBorders>
              <w:top w:val="single" w:sz="12" w:space="0" w:color="000000" w:themeColor="text1"/>
              <w:bottom w:val="single" w:sz="12" w:space="0" w:color="000000" w:themeColor="text1"/>
              <w:right w:val="single" w:sz="12" w:space="0" w:color="000000" w:themeColor="text1"/>
            </w:tcBorders>
          </w:tcPr>
          <w:p w14:paraId="71010AF5" w14:textId="77777777" w:rsidR="0053417D" w:rsidRPr="00A373FD" w:rsidRDefault="0053417D" w:rsidP="00B2368D">
            <w:pPr>
              <w:spacing w:after="60"/>
              <w:rPr>
                <w:rFonts w:cs="Arial"/>
              </w:rPr>
            </w:pPr>
            <w:r>
              <w:rPr>
                <w:rStyle w:val="normaltextrun"/>
                <w:rFonts w:cs="Arial"/>
                <w:color w:val="000000"/>
                <w:szCs w:val="22"/>
              </w:rPr>
              <w:t>Greg Remensperger </w:t>
            </w:r>
            <w:r>
              <w:rPr>
                <w:rStyle w:val="eop"/>
                <w:rFonts w:cs="Arial"/>
                <w:color w:val="000000"/>
                <w:szCs w:val="22"/>
              </w:rPr>
              <w:t> </w:t>
            </w:r>
          </w:p>
        </w:tc>
        <w:tc>
          <w:tcPr>
            <w:tcW w:w="4860" w:type="dxa"/>
            <w:tcBorders>
              <w:top w:val="single" w:sz="12" w:space="0" w:color="000000" w:themeColor="text1"/>
              <w:left w:val="single" w:sz="12" w:space="0" w:color="000000" w:themeColor="text1"/>
              <w:bottom w:val="single" w:sz="12" w:space="0" w:color="000000" w:themeColor="text1"/>
            </w:tcBorders>
          </w:tcPr>
          <w:p w14:paraId="500E5289" w14:textId="77777777" w:rsidR="0053417D" w:rsidRPr="00A373FD" w:rsidRDefault="0053417D" w:rsidP="00B2368D">
            <w:pPr>
              <w:spacing w:after="60"/>
              <w:rPr>
                <w:rFonts w:cs="Arial"/>
              </w:rPr>
            </w:pPr>
            <w:r>
              <w:rPr>
                <w:rStyle w:val="normaltextrun"/>
                <w:rFonts w:cs="Arial"/>
                <w:color w:val="000000"/>
                <w:szCs w:val="22"/>
              </w:rPr>
              <w:t>Oregon Auto Dealers Association  </w:t>
            </w:r>
            <w:r>
              <w:rPr>
                <w:rStyle w:val="eop"/>
                <w:rFonts w:cs="Arial"/>
                <w:color w:val="000000"/>
                <w:szCs w:val="22"/>
              </w:rPr>
              <w:t> </w:t>
            </w:r>
          </w:p>
        </w:tc>
      </w:tr>
      <w:tr w:rsidR="0053417D" w:rsidRPr="00A373FD" w14:paraId="33BD3689" w14:textId="77777777">
        <w:tc>
          <w:tcPr>
            <w:tcW w:w="4297" w:type="dxa"/>
            <w:tcBorders>
              <w:top w:val="single" w:sz="12" w:space="0" w:color="000000" w:themeColor="text1"/>
              <w:bottom w:val="single" w:sz="12" w:space="0" w:color="000000" w:themeColor="text1"/>
              <w:right w:val="single" w:sz="12" w:space="0" w:color="000000" w:themeColor="text1"/>
            </w:tcBorders>
          </w:tcPr>
          <w:p w14:paraId="0A0AA7F7" w14:textId="77777777" w:rsidR="0053417D" w:rsidRPr="00A373FD" w:rsidRDefault="0053417D" w:rsidP="00B2368D">
            <w:pPr>
              <w:spacing w:after="60"/>
              <w:rPr>
                <w:rFonts w:cs="Arial"/>
              </w:rPr>
            </w:pPr>
            <w:r>
              <w:rPr>
                <w:rStyle w:val="normaltextrun"/>
                <w:rFonts w:cs="Arial"/>
                <w:color w:val="000000"/>
                <w:szCs w:val="22"/>
              </w:rPr>
              <w:t>Kristopher Fortin </w:t>
            </w:r>
            <w:r>
              <w:rPr>
                <w:rStyle w:val="eop"/>
                <w:rFonts w:cs="Arial"/>
                <w:color w:val="000000"/>
                <w:szCs w:val="22"/>
              </w:rPr>
              <w:t> </w:t>
            </w:r>
          </w:p>
        </w:tc>
        <w:tc>
          <w:tcPr>
            <w:tcW w:w="4860" w:type="dxa"/>
            <w:tcBorders>
              <w:top w:val="single" w:sz="12" w:space="0" w:color="000000" w:themeColor="text1"/>
              <w:left w:val="single" w:sz="12" w:space="0" w:color="000000" w:themeColor="text1"/>
              <w:bottom w:val="single" w:sz="12" w:space="0" w:color="000000" w:themeColor="text1"/>
            </w:tcBorders>
          </w:tcPr>
          <w:p w14:paraId="55DA535F" w14:textId="77777777" w:rsidR="0053417D" w:rsidRPr="00A373FD" w:rsidRDefault="0053417D" w:rsidP="00B2368D">
            <w:pPr>
              <w:spacing w:after="60"/>
              <w:rPr>
                <w:rFonts w:cs="Arial"/>
              </w:rPr>
            </w:pPr>
            <w:r>
              <w:rPr>
                <w:rStyle w:val="normaltextrun"/>
                <w:rFonts w:cs="Arial"/>
                <w:color w:val="000000"/>
                <w:szCs w:val="22"/>
              </w:rPr>
              <w:t>Oregon Environmental Council </w:t>
            </w:r>
            <w:r>
              <w:rPr>
                <w:rStyle w:val="eop"/>
                <w:rFonts w:cs="Arial"/>
                <w:color w:val="000000"/>
                <w:szCs w:val="22"/>
              </w:rPr>
              <w:t> </w:t>
            </w:r>
          </w:p>
        </w:tc>
      </w:tr>
      <w:tr w:rsidR="0053417D" w:rsidRPr="00A373FD" w14:paraId="4DDB3C0E" w14:textId="77777777">
        <w:tc>
          <w:tcPr>
            <w:tcW w:w="4297" w:type="dxa"/>
            <w:tcBorders>
              <w:top w:val="single" w:sz="12" w:space="0" w:color="000000" w:themeColor="text1"/>
              <w:bottom w:val="single" w:sz="12" w:space="0" w:color="000000" w:themeColor="text1"/>
              <w:right w:val="single" w:sz="12" w:space="0" w:color="000000" w:themeColor="text1"/>
            </w:tcBorders>
          </w:tcPr>
          <w:p w14:paraId="7CE1E322" w14:textId="77777777" w:rsidR="0053417D" w:rsidRPr="00A373FD" w:rsidRDefault="0053417D" w:rsidP="00B2368D">
            <w:pPr>
              <w:spacing w:after="60"/>
              <w:rPr>
                <w:rFonts w:cs="Arial"/>
              </w:rPr>
            </w:pPr>
            <w:r>
              <w:rPr>
                <w:rStyle w:val="normaltextrun"/>
                <w:rFonts w:cs="Arial"/>
                <w:color w:val="000000"/>
                <w:szCs w:val="22"/>
              </w:rPr>
              <w:t>Ken Hoffman</w:t>
            </w:r>
            <w:r>
              <w:rPr>
                <w:rStyle w:val="eop"/>
                <w:rFonts w:cs="Arial"/>
                <w:color w:val="000000"/>
                <w:szCs w:val="22"/>
              </w:rPr>
              <w:t> </w:t>
            </w:r>
          </w:p>
        </w:tc>
        <w:tc>
          <w:tcPr>
            <w:tcW w:w="4860" w:type="dxa"/>
            <w:tcBorders>
              <w:top w:val="single" w:sz="12" w:space="0" w:color="000000" w:themeColor="text1"/>
              <w:left w:val="single" w:sz="12" w:space="0" w:color="000000" w:themeColor="text1"/>
              <w:bottom w:val="single" w:sz="12" w:space="0" w:color="000000" w:themeColor="text1"/>
            </w:tcBorders>
          </w:tcPr>
          <w:p w14:paraId="00D3867E" w14:textId="77777777" w:rsidR="0053417D" w:rsidRPr="00A373FD" w:rsidRDefault="0053417D" w:rsidP="00B2368D">
            <w:pPr>
              <w:spacing w:after="60"/>
              <w:rPr>
                <w:rFonts w:cs="Arial"/>
              </w:rPr>
            </w:pPr>
            <w:r>
              <w:rPr>
                <w:rStyle w:val="normaltextrun"/>
                <w:rFonts w:cs="Arial"/>
                <w:color w:val="000000"/>
                <w:szCs w:val="22"/>
              </w:rPr>
              <w:t>Oregon EV Association </w:t>
            </w:r>
            <w:r>
              <w:rPr>
                <w:rStyle w:val="eop"/>
                <w:rFonts w:cs="Arial"/>
                <w:color w:val="000000"/>
                <w:szCs w:val="22"/>
              </w:rPr>
              <w:t> </w:t>
            </w:r>
          </w:p>
        </w:tc>
      </w:tr>
      <w:tr w:rsidR="0053417D" w:rsidRPr="00A373FD" w14:paraId="5AD944BF" w14:textId="77777777">
        <w:tc>
          <w:tcPr>
            <w:tcW w:w="4297" w:type="dxa"/>
            <w:tcBorders>
              <w:top w:val="single" w:sz="12" w:space="0" w:color="000000" w:themeColor="text1"/>
              <w:bottom w:val="single" w:sz="12" w:space="0" w:color="000000" w:themeColor="text1"/>
              <w:right w:val="single" w:sz="12" w:space="0" w:color="000000" w:themeColor="text1"/>
            </w:tcBorders>
          </w:tcPr>
          <w:p w14:paraId="6E9BCC56" w14:textId="77777777" w:rsidR="0053417D" w:rsidRPr="00A373FD" w:rsidRDefault="0053417D" w:rsidP="00B2368D">
            <w:pPr>
              <w:spacing w:after="60"/>
              <w:rPr>
                <w:rFonts w:cs="Arial"/>
              </w:rPr>
            </w:pPr>
            <w:r>
              <w:rPr>
                <w:rStyle w:val="normaltextrun"/>
                <w:rFonts w:cs="Arial"/>
                <w:color w:val="000000"/>
                <w:szCs w:val="22"/>
              </w:rPr>
              <w:t>Diane Sparks </w:t>
            </w:r>
            <w:r>
              <w:rPr>
                <w:rStyle w:val="eop"/>
                <w:rFonts w:cs="Arial"/>
                <w:color w:val="000000"/>
                <w:szCs w:val="22"/>
              </w:rPr>
              <w:t> </w:t>
            </w:r>
          </w:p>
        </w:tc>
        <w:tc>
          <w:tcPr>
            <w:tcW w:w="4860" w:type="dxa"/>
            <w:tcBorders>
              <w:top w:val="single" w:sz="12" w:space="0" w:color="000000" w:themeColor="text1"/>
              <w:left w:val="single" w:sz="12" w:space="0" w:color="000000" w:themeColor="text1"/>
              <w:bottom w:val="single" w:sz="12" w:space="0" w:color="000000" w:themeColor="text1"/>
            </w:tcBorders>
          </w:tcPr>
          <w:p w14:paraId="69FAF015" w14:textId="77777777" w:rsidR="0053417D" w:rsidRPr="00A373FD" w:rsidRDefault="0053417D" w:rsidP="00B2368D">
            <w:pPr>
              <w:spacing w:after="60"/>
              <w:rPr>
                <w:rFonts w:cs="Arial"/>
              </w:rPr>
            </w:pPr>
            <w:r>
              <w:rPr>
                <w:rStyle w:val="normaltextrun"/>
                <w:rFonts w:cs="Arial"/>
                <w:color w:val="000000"/>
                <w:szCs w:val="22"/>
              </w:rPr>
              <w:t>Oregon Independent Auto Dealers Association </w:t>
            </w:r>
            <w:r>
              <w:rPr>
                <w:rStyle w:val="eop"/>
                <w:rFonts w:cs="Arial"/>
                <w:color w:val="000000"/>
                <w:szCs w:val="22"/>
              </w:rPr>
              <w:t> </w:t>
            </w:r>
          </w:p>
        </w:tc>
      </w:tr>
      <w:tr w:rsidR="0053417D" w:rsidRPr="00A373FD" w14:paraId="3211E288" w14:textId="77777777">
        <w:tc>
          <w:tcPr>
            <w:tcW w:w="4297" w:type="dxa"/>
            <w:tcBorders>
              <w:top w:val="single" w:sz="12" w:space="0" w:color="000000" w:themeColor="text1"/>
              <w:bottom w:val="single" w:sz="12" w:space="0" w:color="000000" w:themeColor="text1"/>
              <w:right w:val="single" w:sz="12" w:space="0" w:color="000000" w:themeColor="text1"/>
            </w:tcBorders>
          </w:tcPr>
          <w:p w14:paraId="5C2F3B89" w14:textId="77777777" w:rsidR="0053417D" w:rsidRPr="00A373FD" w:rsidRDefault="0053417D" w:rsidP="00B2368D">
            <w:pPr>
              <w:spacing w:after="60"/>
              <w:rPr>
                <w:rFonts w:cs="Arial"/>
              </w:rPr>
            </w:pPr>
            <w:r>
              <w:rPr>
                <w:rStyle w:val="normaltextrun"/>
                <w:rFonts w:cs="Arial"/>
                <w:color w:val="000000"/>
                <w:szCs w:val="22"/>
              </w:rPr>
              <w:t>Mark Gibson  </w:t>
            </w:r>
            <w:r>
              <w:rPr>
                <w:rStyle w:val="eop"/>
                <w:rFonts w:cs="Arial"/>
                <w:color w:val="000000"/>
                <w:szCs w:val="22"/>
              </w:rPr>
              <w:t> </w:t>
            </w:r>
          </w:p>
        </w:tc>
        <w:tc>
          <w:tcPr>
            <w:tcW w:w="4860" w:type="dxa"/>
            <w:tcBorders>
              <w:top w:val="single" w:sz="12" w:space="0" w:color="000000" w:themeColor="text1"/>
              <w:left w:val="single" w:sz="12" w:space="0" w:color="000000" w:themeColor="text1"/>
              <w:bottom w:val="single" w:sz="12" w:space="0" w:color="000000" w:themeColor="text1"/>
            </w:tcBorders>
          </w:tcPr>
          <w:p w14:paraId="1B0BE30B" w14:textId="77777777" w:rsidR="0053417D" w:rsidRPr="00A373FD" w:rsidRDefault="0053417D" w:rsidP="00B2368D">
            <w:pPr>
              <w:spacing w:after="60"/>
              <w:rPr>
                <w:rFonts w:cs="Arial"/>
              </w:rPr>
            </w:pPr>
            <w:r>
              <w:rPr>
                <w:rStyle w:val="normaltextrun"/>
                <w:rFonts w:cs="Arial"/>
                <w:color w:val="000000"/>
                <w:szCs w:val="22"/>
              </w:rPr>
              <w:t>Oregon Trucking Association  </w:t>
            </w:r>
            <w:r>
              <w:rPr>
                <w:rStyle w:val="eop"/>
                <w:rFonts w:cs="Arial"/>
                <w:color w:val="000000"/>
                <w:szCs w:val="22"/>
              </w:rPr>
              <w:t> </w:t>
            </w:r>
          </w:p>
        </w:tc>
      </w:tr>
      <w:tr w:rsidR="0053417D" w:rsidRPr="00A373FD" w14:paraId="55F756FB" w14:textId="77777777">
        <w:tc>
          <w:tcPr>
            <w:tcW w:w="4297" w:type="dxa"/>
            <w:tcBorders>
              <w:top w:val="single" w:sz="12" w:space="0" w:color="000000" w:themeColor="text1"/>
              <w:bottom w:val="single" w:sz="12" w:space="0" w:color="000000" w:themeColor="text1"/>
              <w:right w:val="single" w:sz="12" w:space="0" w:color="000000" w:themeColor="text1"/>
            </w:tcBorders>
          </w:tcPr>
          <w:p w14:paraId="732C4475" w14:textId="77777777" w:rsidR="0053417D" w:rsidRPr="00A373FD" w:rsidRDefault="0053417D" w:rsidP="00B2368D">
            <w:pPr>
              <w:spacing w:after="60"/>
              <w:rPr>
                <w:rFonts w:cs="Arial"/>
              </w:rPr>
            </w:pPr>
            <w:r>
              <w:rPr>
                <w:rStyle w:val="normaltextrun"/>
                <w:rFonts w:cs="Arial"/>
                <w:color w:val="000000"/>
                <w:szCs w:val="22"/>
              </w:rPr>
              <w:t>Eric Anderson  </w:t>
            </w:r>
            <w:r>
              <w:rPr>
                <w:rStyle w:val="eop"/>
                <w:rFonts w:cs="Arial"/>
                <w:color w:val="000000"/>
                <w:szCs w:val="22"/>
              </w:rPr>
              <w:t> </w:t>
            </w:r>
          </w:p>
        </w:tc>
        <w:tc>
          <w:tcPr>
            <w:tcW w:w="4860" w:type="dxa"/>
            <w:tcBorders>
              <w:top w:val="single" w:sz="12" w:space="0" w:color="000000" w:themeColor="text1"/>
              <w:left w:val="single" w:sz="12" w:space="0" w:color="000000" w:themeColor="text1"/>
              <w:bottom w:val="single" w:sz="12" w:space="0" w:color="000000" w:themeColor="text1"/>
            </w:tcBorders>
          </w:tcPr>
          <w:p w14:paraId="044B4088" w14:textId="77777777" w:rsidR="0053417D" w:rsidRPr="00A373FD" w:rsidRDefault="0053417D" w:rsidP="00B2368D">
            <w:pPr>
              <w:spacing w:after="60"/>
              <w:rPr>
                <w:rFonts w:cs="Arial"/>
              </w:rPr>
            </w:pPr>
            <w:r>
              <w:rPr>
                <w:rStyle w:val="normaltextrun"/>
                <w:rFonts w:cs="Arial"/>
                <w:color w:val="000000"/>
                <w:szCs w:val="22"/>
              </w:rPr>
              <w:t>Pride Disposal </w:t>
            </w:r>
            <w:r>
              <w:rPr>
                <w:rStyle w:val="eop"/>
                <w:rFonts w:cs="Arial"/>
                <w:color w:val="000000"/>
                <w:szCs w:val="22"/>
              </w:rPr>
              <w:t> </w:t>
            </w:r>
          </w:p>
        </w:tc>
      </w:tr>
      <w:tr w:rsidR="0053417D" w:rsidRPr="00A373FD" w14:paraId="28F139B2" w14:textId="77777777">
        <w:tc>
          <w:tcPr>
            <w:tcW w:w="4297" w:type="dxa"/>
            <w:tcBorders>
              <w:top w:val="single" w:sz="12" w:space="0" w:color="000000" w:themeColor="text1"/>
              <w:bottom w:val="single" w:sz="12" w:space="0" w:color="000000" w:themeColor="text1"/>
              <w:right w:val="single" w:sz="12" w:space="0" w:color="000000" w:themeColor="text1"/>
            </w:tcBorders>
          </w:tcPr>
          <w:p w14:paraId="0CD0B028" w14:textId="77777777" w:rsidR="0053417D" w:rsidRPr="00A373FD" w:rsidRDefault="0053417D" w:rsidP="00B2368D">
            <w:pPr>
              <w:spacing w:after="60"/>
              <w:rPr>
                <w:rFonts w:cs="Arial"/>
              </w:rPr>
            </w:pPr>
            <w:r>
              <w:rPr>
                <w:rStyle w:val="normaltextrun"/>
                <w:rFonts w:cs="Arial"/>
                <w:color w:val="000000"/>
                <w:szCs w:val="22"/>
              </w:rPr>
              <w:t>Edgar Sánchez</w:t>
            </w:r>
            <w:r>
              <w:rPr>
                <w:rStyle w:val="eop"/>
                <w:rFonts w:cs="Arial"/>
                <w:color w:val="000000"/>
                <w:szCs w:val="22"/>
              </w:rPr>
              <w:t> </w:t>
            </w:r>
          </w:p>
        </w:tc>
        <w:tc>
          <w:tcPr>
            <w:tcW w:w="4860" w:type="dxa"/>
            <w:tcBorders>
              <w:top w:val="single" w:sz="12" w:space="0" w:color="000000" w:themeColor="text1"/>
              <w:left w:val="single" w:sz="12" w:space="0" w:color="000000" w:themeColor="text1"/>
              <w:bottom w:val="single" w:sz="12" w:space="0" w:color="000000" w:themeColor="text1"/>
            </w:tcBorders>
          </w:tcPr>
          <w:p w14:paraId="3D02A142" w14:textId="77777777" w:rsidR="0053417D" w:rsidRPr="00A373FD" w:rsidRDefault="0053417D" w:rsidP="00B2368D">
            <w:pPr>
              <w:spacing w:after="60"/>
              <w:rPr>
                <w:rFonts w:cs="Arial"/>
              </w:rPr>
            </w:pPr>
            <w:r>
              <w:rPr>
                <w:rStyle w:val="normaltextrun"/>
                <w:rFonts w:cs="Arial"/>
                <w:color w:val="000000"/>
                <w:szCs w:val="22"/>
              </w:rPr>
              <w:t>Private Citizen</w:t>
            </w:r>
            <w:r>
              <w:rPr>
                <w:rStyle w:val="eop"/>
                <w:rFonts w:cs="Arial"/>
                <w:color w:val="000000"/>
                <w:szCs w:val="22"/>
              </w:rPr>
              <w:t> </w:t>
            </w:r>
          </w:p>
        </w:tc>
      </w:tr>
      <w:tr w:rsidR="0053417D" w:rsidRPr="00A373FD" w14:paraId="2DA0F6A4" w14:textId="77777777">
        <w:tc>
          <w:tcPr>
            <w:tcW w:w="4297" w:type="dxa"/>
            <w:tcBorders>
              <w:top w:val="single" w:sz="12" w:space="0" w:color="000000" w:themeColor="text1"/>
              <w:bottom w:val="single" w:sz="12" w:space="0" w:color="000000" w:themeColor="text1"/>
              <w:right w:val="single" w:sz="12" w:space="0" w:color="000000" w:themeColor="text1"/>
            </w:tcBorders>
          </w:tcPr>
          <w:p w14:paraId="493F178A" w14:textId="77777777" w:rsidR="0053417D" w:rsidRPr="00A373FD" w:rsidRDefault="0053417D" w:rsidP="00B2368D">
            <w:pPr>
              <w:spacing w:after="60"/>
              <w:rPr>
                <w:rFonts w:cs="Arial"/>
              </w:rPr>
            </w:pPr>
            <w:r>
              <w:rPr>
                <w:rStyle w:val="normaltextrun"/>
                <w:rFonts w:cs="Arial"/>
                <w:color w:val="000000"/>
                <w:szCs w:val="22"/>
              </w:rPr>
              <w:t>Michael Graham  </w:t>
            </w:r>
            <w:r>
              <w:rPr>
                <w:rStyle w:val="eop"/>
                <w:rFonts w:cs="Arial"/>
                <w:color w:val="000000"/>
                <w:szCs w:val="22"/>
              </w:rPr>
              <w:t> </w:t>
            </w:r>
          </w:p>
        </w:tc>
        <w:tc>
          <w:tcPr>
            <w:tcW w:w="4860" w:type="dxa"/>
            <w:tcBorders>
              <w:top w:val="single" w:sz="12" w:space="0" w:color="000000" w:themeColor="text1"/>
              <w:left w:val="single" w:sz="12" w:space="0" w:color="000000" w:themeColor="text1"/>
              <w:bottom w:val="single" w:sz="12" w:space="0" w:color="000000" w:themeColor="text1"/>
            </w:tcBorders>
          </w:tcPr>
          <w:p w14:paraId="1476D39D" w14:textId="77777777" w:rsidR="0053417D" w:rsidRPr="00A373FD" w:rsidRDefault="0053417D" w:rsidP="00B2368D">
            <w:pPr>
              <w:spacing w:after="60"/>
              <w:rPr>
                <w:rFonts w:cs="Arial"/>
              </w:rPr>
            </w:pPr>
            <w:r>
              <w:rPr>
                <w:rStyle w:val="normaltextrun"/>
                <w:rFonts w:cs="Arial"/>
                <w:color w:val="000000"/>
                <w:szCs w:val="22"/>
              </w:rPr>
              <w:t>Sapien  </w:t>
            </w:r>
            <w:r>
              <w:rPr>
                <w:rStyle w:val="eop"/>
                <w:rFonts w:cs="Arial"/>
                <w:color w:val="000000"/>
                <w:szCs w:val="22"/>
              </w:rPr>
              <w:t> </w:t>
            </w:r>
          </w:p>
        </w:tc>
      </w:tr>
      <w:tr w:rsidR="0053417D" w:rsidRPr="00A373FD" w14:paraId="0F895458" w14:textId="77777777">
        <w:tc>
          <w:tcPr>
            <w:tcW w:w="4297" w:type="dxa"/>
            <w:tcBorders>
              <w:top w:val="single" w:sz="12" w:space="0" w:color="000000" w:themeColor="text1"/>
              <w:bottom w:val="single" w:sz="12" w:space="0" w:color="000000" w:themeColor="text1"/>
              <w:right w:val="single" w:sz="12" w:space="0" w:color="000000" w:themeColor="text1"/>
            </w:tcBorders>
          </w:tcPr>
          <w:p w14:paraId="1322CBCB" w14:textId="77777777" w:rsidR="0053417D" w:rsidRDefault="0053417D" w:rsidP="00B2368D">
            <w:pPr>
              <w:spacing w:after="60"/>
              <w:rPr>
                <w:rStyle w:val="normaltextrun"/>
                <w:rFonts w:cs="Arial"/>
                <w:color w:val="000000"/>
                <w:szCs w:val="22"/>
              </w:rPr>
            </w:pPr>
            <w:r>
              <w:rPr>
                <w:rStyle w:val="normaltextrun"/>
                <w:rFonts w:cs="Arial"/>
                <w:color w:val="000000"/>
                <w:szCs w:val="22"/>
              </w:rPr>
              <w:t>Wayne Hammond</w:t>
            </w:r>
            <w:r>
              <w:rPr>
                <w:rStyle w:val="eop"/>
                <w:rFonts w:cs="Arial"/>
                <w:color w:val="000000"/>
                <w:szCs w:val="22"/>
              </w:rPr>
              <w:t> </w:t>
            </w:r>
          </w:p>
        </w:tc>
        <w:tc>
          <w:tcPr>
            <w:tcW w:w="4860" w:type="dxa"/>
            <w:tcBorders>
              <w:top w:val="single" w:sz="12" w:space="0" w:color="000000" w:themeColor="text1"/>
              <w:left w:val="single" w:sz="12" w:space="0" w:color="000000" w:themeColor="text1"/>
              <w:bottom w:val="single" w:sz="12" w:space="0" w:color="000000" w:themeColor="text1"/>
            </w:tcBorders>
          </w:tcPr>
          <w:p w14:paraId="38F0F8E6" w14:textId="77777777" w:rsidR="0053417D" w:rsidRPr="00A373FD" w:rsidRDefault="0053417D" w:rsidP="00B2368D">
            <w:pPr>
              <w:spacing w:after="60"/>
              <w:rPr>
                <w:rFonts w:cs="Arial"/>
              </w:rPr>
            </w:pPr>
            <w:r>
              <w:rPr>
                <w:rStyle w:val="normaltextrun"/>
                <w:rFonts w:cs="Arial"/>
                <w:color w:val="000000"/>
                <w:szCs w:val="22"/>
              </w:rPr>
              <w:t>TEC  </w:t>
            </w:r>
            <w:r>
              <w:rPr>
                <w:rStyle w:val="eop"/>
                <w:rFonts w:cs="Arial"/>
                <w:color w:val="000000"/>
                <w:szCs w:val="22"/>
              </w:rPr>
              <w:t> </w:t>
            </w:r>
          </w:p>
        </w:tc>
      </w:tr>
      <w:tr w:rsidR="0053417D" w:rsidRPr="00A373FD" w14:paraId="79AE2998" w14:textId="77777777">
        <w:tc>
          <w:tcPr>
            <w:tcW w:w="4297" w:type="dxa"/>
            <w:tcBorders>
              <w:top w:val="single" w:sz="12" w:space="0" w:color="000000" w:themeColor="text1"/>
              <w:bottom w:val="single" w:sz="12" w:space="0" w:color="000000" w:themeColor="text1"/>
              <w:right w:val="single" w:sz="12" w:space="0" w:color="000000" w:themeColor="text1"/>
            </w:tcBorders>
          </w:tcPr>
          <w:p w14:paraId="22755DB5" w14:textId="77777777" w:rsidR="0053417D" w:rsidRDefault="0053417D" w:rsidP="00B2368D">
            <w:pPr>
              <w:spacing w:after="60"/>
              <w:rPr>
                <w:rStyle w:val="normaltextrun"/>
                <w:rFonts w:cs="Arial"/>
                <w:color w:val="000000"/>
                <w:szCs w:val="22"/>
              </w:rPr>
            </w:pPr>
            <w:r>
              <w:rPr>
                <w:rStyle w:val="normaltextrun"/>
                <w:rFonts w:cs="Arial"/>
                <w:color w:val="000000"/>
                <w:szCs w:val="22"/>
              </w:rPr>
              <w:t>Neil Baunsgard </w:t>
            </w:r>
            <w:r>
              <w:rPr>
                <w:rStyle w:val="eop"/>
                <w:rFonts w:cs="Arial"/>
                <w:color w:val="000000"/>
                <w:szCs w:val="22"/>
              </w:rPr>
              <w:t> </w:t>
            </w:r>
          </w:p>
        </w:tc>
        <w:tc>
          <w:tcPr>
            <w:tcW w:w="4860" w:type="dxa"/>
            <w:tcBorders>
              <w:top w:val="single" w:sz="12" w:space="0" w:color="000000" w:themeColor="text1"/>
              <w:left w:val="single" w:sz="12" w:space="0" w:color="000000" w:themeColor="text1"/>
              <w:bottom w:val="single" w:sz="12" w:space="0" w:color="000000" w:themeColor="text1"/>
            </w:tcBorders>
          </w:tcPr>
          <w:p w14:paraId="0B98A2E7" w14:textId="77777777" w:rsidR="0053417D" w:rsidRPr="00A373FD" w:rsidRDefault="0053417D" w:rsidP="00B2368D">
            <w:pPr>
              <w:spacing w:after="60"/>
              <w:rPr>
                <w:rFonts w:cs="Arial"/>
              </w:rPr>
            </w:pPr>
            <w:r>
              <w:rPr>
                <w:rStyle w:val="normaltextrun"/>
                <w:rFonts w:cs="Arial"/>
                <w:color w:val="000000"/>
                <w:szCs w:val="22"/>
              </w:rPr>
              <w:t>The Environmental Center </w:t>
            </w:r>
            <w:r>
              <w:rPr>
                <w:rStyle w:val="eop"/>
                <w:rFonts w:cs="Arial"/>
                <w:color w:val="000000"/>
                <w:szCs w:val="22"/>
              </w:rPr>
              <w:t> </w:t>
            </w:r>
          </w:p>
        </w:tc>
      </w:tr>
      <w:tr w:rsidR="0053417D" w:rsidRPr="00A373FD" w14:paraId="79983772" w14:textId="77777777">
        <w:tc>
          <w:tcPr>
            <w:tcW w:w="4297" w:type="dxa"/>
            <w:tcBorders>
              <w:top w:val="single" w:sz="12" w:space="0" w:color="000000" w:themeColor="text1"/>
              <w:bottom w:val="single" w:sz="18" w:space="0" w:color="000000" w:themeColor="text1"/>
              <w:right w:val="single" w:sz="12" w:space="0" w:color="000000" w:themeColor="text1"/>
            </w:tcBorders>
          </w:tcPr>
          <w:p w14:paraId="297E9678" w14:textId="77777777" w:rsidR="0053417D" w:rsidRDefault="0053417D" w:rsidP="00B2368D">
            <w:pPr>
              <w:spacing w:after="60"/>
              <w:rPr>
                <w:rStyle w:val="normaltextrun"/>
                <w:rFonts w:cs="Arial"/>
                <w:color w:val="000000"/>
                <w:szCs w:val="22"/>
              </w:rPr>
            </w:pPr>
            <w:r>
              <w:rPr>
                <w:rStyle w:val="normaltextrun"/>
                <w:rFonts w:cs="Arial"/>
                <w:color w:val="000000"/>
                <w:szCs w:val="22"/>
              </w:rPr>
              <w:t>R</w:t>
            </w:r>
            <w:r>
              <w:rPr>
                <w:rStyle w:val="normaltextrun"/>
                <w:color w:val="000000"/>
                <w:szCs w:val="22"/>
              </w:rPr>
              <w:t>obert Wallace</w:t>
            </w:r>
          </w:p>
        </w:tc>
        <w:tc>
          <w:tcPr>
            <w:tcW w:w="4860" w:type="dxa"/>
            <w:tcBorders>
              <w:top w:val="single" w:sz="12" w:space="0" w:color="000000" w:themeColor="text1"/>
              <w:left w:val="single" w:sz="12" w:space="0" w:color="000000" w:themeColor="text1"/>
              <w:bottom w:val="single" w:sz="18" w:space="0" w:color="000000" w:themeColor="text1"/>
            </w:tcBorders>
          </w:tcPr>
          <w:p w14:paraId="785F42F2" w14:textId="77777777" w:rsidR="0053417D" w:rsidRDefault="0053417D" w:rsidP="00B2368D">
            <w:pPr>
              <w:spacing w:after="60"/>
              <w:rPr>
                <w:rStyle w:val="normaltextrun"/>
                <w:rFonts w:cs="Arial"/>
                <w:color w:val="000000"/>
                <w:szCs w:val="22"/>
              </w:rPr>
            </w:pPr>
            <w:r w:rsidRPr="004E37CA">
              <w:rPr>
                <w:rFonts w:cs="Arial"/>
                <w:color w:val="000000"/>
                <w:szCs w:val="22"/>
              </w:rPr>
              <w:t>Wy’east Resource Conservation and Development Council</w:t>
            </w:r>
          </w:p>
        </w:tc>
      </w:tr>
    </w:tbl>
    <w:p w14:paraId="5F94023B" w14:textId="77777777" w:rsidR="0053417D" w:rsidRPr="00A373FD" w:rsidRDefault="0053417D" w:rsidP="0053417D">
      <w:pPr>
        <w:rPr>
          <w:rFonts w:cs="Arial"/>
        </w:rPr>
      </w:pPr>
    </w:p>
    <w:p w14:paraId="788E0B99" w14:textId="03C7DEBE" w:rsidR="00ED47E6" w:rsidRDefault="00ED47E6" w:rsidP="00ED47E6"/>
    <w:p w14:paraId="7C5FD93A" w14:textId="77777777" w:rsidR="00ED47E6" w:rsidRDefault="00ED47E6" w:rsidP="00ED47E6">
      <w:r>
        <w:t xml:space="preserve"> </w:t>
      </w:r>
    </w:p>
    <w:p w14:paraId="56B38277" w14:textId="77777777" w:rsidR="00AC1474" w:rsidRPr="00A373FD" w:rsidRDefault="00AC1474" w:rsidP="00AC1474">
      <w:pPr>
        <w:pStyle w:val="Heading2"/>
        <w:rPr>
          <w:rFonts w:cs="Arial"/>
        </w:rPr>
      </w:pPr>
      <w:bookmarkStart w:id="63" w:name="_Toc226361759"/>
      <w:r w:rsidRPr="00A373FD">
        <w:rPr>
          <w:rFonts w:cs="Arial"/>
        </w:rPr>
        <w:lastRenderedPageBreak/>
        <w:t>Meeting notifications</w:t>
      </w:r>
      <w:bookmarkEnd w:id="63"/>
    </w:p>
    <w:p w14:paraId="3FA0E732" w14:textId="77777777" w:rsidR="00AC1474" w:rsidRPr="00A373FD" w:rsidRDefault="00AC1474" w:rsidP="00AC1474">
      <w:pPr>
        <w:rPr>
          <w:rFonts w:cs="Arial"/>
        </w:rPr>
      </w:pPr>
      <w:r w:rsidRPr="00A373FD">
        <w:rPr>
          <w:rFonts w:cs="Arial"/>
        </w:rPr>
        <w:t>To notify people about the advisory committee’s activities, DEQ:</w:t>
      </w:r>
    </w:p>
    <w:p w14:paraId="1AD24C72" w14:textId="77777777" w:rsidR="00AC1474" w:rsidRPr="00A373FD" w:rsidRDefault="00AC1474" w:rsidP="00AC1474">
      <w:pPr>
        <w:pStyle w:val="ListParagraph"/>
        <w:spacing w:after="0" w:line="240" w:lineRule="auto"/>
        <w:ind w:left="0"/>
        <w:outlineLvl w:val="0"/>
        <w:rPr>
          <w:rFonts w:cs="Arial"/>
        </w:rPr>
      </w:pPr>
      <w:r w:rsidRPr="00A373FD">
        <w:rPr>
          <w:rFonts w:cs="Arial"/>
        </w:rPr>
        <w:t>Sent GovDelivery bulletins, a free e-mail subscription service, to the following lists:</w:t>
      </w:r>
    </w:p>
    <w:p w14:paraId="10CB7EBE" w14:textId="77777777" w:rsidR="00AC1474" w:rsidRPr="00A373FD" w:rsidRDefault="00AC1474" w:rsidP="00AC1474">
      <w:pPr>
        <w:pStyle w:val="ListParagraph"/>
        <w:numPr>
          <w:ilvl w:val="1"/>
          <w:numId w:val="29"/>
        </w:numPr>
        <w:spacing w:after="0" w:line="240" w:lineRule="auto"/>
        <w:outlineLvl w:val="0"/>
        <w:rPr>
          <w:rFonts w:cs="Arial"/>
        </w:rPr>
      </w:pPr>
      <w:r w:rsidRPr="00A373FD">
        <w:rPr>
          <w:rFonts w:cs="Arial"/>
        </w:rPr>
        <w:t>Rulemaking</w:t>
      </w:r>
    </w:p>
    <w:p w14:paraId="69CA03E1" w14:textId="77777777" w:rsidR="00AC1474" w:rsidRDefault="00AC1474" w:rsidP="00AC1474">
      <w:pPr>
        <w:pStyle w:val="ListParagraph"/>
        <w:numPr>
          <w:ilvl w:val="1"/>
          <w:numId w:val="29"/>
        </w:numPr>
        <w:spacing w:after="0" w:line="240" w:lineRule="auto"/>
        <w:outlineLvl w:val="0"/>
        <w:rPr>
          <w:rFonts w:cs="Arial"/>
        </w:rPr>
      </w:pPr>
      <w:r>
        <w:rPr>
          <w:rFonts w:cs="Arial"/>
        </w:rPr>
        <w:t>DEQ Public Notices</w:t>
      </w:r>
    </w:p>
    <w:p w14:paraId="0603CC2C" w14:textId="77777777" w:rsidR="00AC1474" w:rsidRDefault="00AC1474" w:rsidP="00AC1474">
      <w:pPr>
        <w:pStyle w:val="ListParagraph"/>
        <w:numPr>
          <w:ilvl w:val="1"/>
          <w:numId w:val="29"/>
        </w:numPr>
        <w:spacing w:after="0" w:line="240" w:lineRule="auto"/>
        <w:outlineLvl w:val="0"/>
        <w:rPr>
          <w:rFonts w:cs="Arial"/>
        </w:rPr>
      </w:pPr>
      <w:r w:rsidRPr="6256579D">
        <w:rPr>
          <w:rFonts w:cs="Arial"/>
        </w:rPr>
        <w:t>Low-Emission/Zero-Emission Vehicle Program</w:t>
      </w:r>
    </w:p>
    <w:p w14:paraId="5ABC6A02" w14:textId="77777777" w:rsidR="00AC1474" w:rsidRPr="00A373FD" w:rsidRDefault="00AC1474" w:rsidP="00AC1474">
      <w:pPr>
        <w:pStyle w:val="ListParagraph"/>
        <w:numPr>
          <w:ilvl w:val="1"/>
          <w:numId w:val="29"/>
        </w:numPr>
        <w:spacing w:after="0" w:line="240" w:lineRule="auto"/>
        <w:outlineLvl w:val="0"/>
        <w:rPr>
          <w:rFonts w:cs="Arial"/>
        </w:rPr>
      </w:pPr>
      <w:r>
        <w:rPr>
          <w:rFonts w:cs="Arial"/>
        </w:rPr>
        <w:t>Oregon Clean Vehicle Rebate Program</w:t>
      </w:r>
    </w:p>
    <w:p w14:paraId="093BA725" w14:textId="77777777" w:rsidR="00AC1474" w:rsidRDefault="00AC1474" w:rsidP="00AC1474">
      <w:pPr>
        <w:pStyle w:val="ListParagraph"/>
        <w:numPr>
          <w:ilvl w:val="0"/>
          <w:numId w:val="28"/>
        </w:numPr>
        <w:spacing w:after="0" w:line="240" w:lineRule="auto"/>
        <w:outlineLvl w:val="0"/>
        <w:rPr>
          <w:rFonts w:cs="Arial"/>
        </w:rPr>
      </w:pPr>
      <w:r w:rsidRPr="004B335B">
        <w:rPr>
          <w:rFonts w:cs="Arial"/>
        </w:rPr>
        <w:t>Posted meeting information and materials on the rulemaking web page</w:t>
      </w:r>
    </w:p>
    <w:p w14:paraId="5087F6CE" w14:textId="77777777" w:rsidR="00AC1474" w:rsidRPr="00A373FD" w:rsidRDefault="00AC1474" w:rsidP="00AC1474">
      <w:pPr>
        <w:pStyle w:val="ListParagraph"/>
        <w:numPr>
          <w:ilvl w:val="0"/>
          <w:numId w:val="28"/>
        </w:numPr>
        <w:spacing w:after="0" w:line="240" w:lineRule="auto"/>
        <w:outlineLvl w:val="0"/>
        <w:rPr>
          <w:rFonts w:cs="Arial"/>
        </w:rPr>
      </w:pPr>
      <w:r w:rsidRPr="00A373FD">
        <w:rPr>
          <w:rFonts w:cs="Arial"/>
        </w:rPr>
        <w:t xml:space="preserve">Added advisory committee announcements to DEQ’s calendar of public meetings at </w:t>
      </w:r>
      <w:hyperlink r:id="rId46" w:history="1">
        <w:r w:rsidRPr="00A373FD">
          <w:rPr>
            <w:rStyle w:val="Hyperlink"/>
            <w:rFonts w:cs="Arial"/>
          </w:rPr>
          <w:t>DEQ Calendar</w:t>
        </w:r>
      </w:hyperlink>
      <w:r w:rsidRPr="00A373FD">
        <w:rPr>
          <w:rFonts w:cs="Arial"/>
        </w:rPr>
        <w:t>.</w:t>
      </w:r>
    </w:p>
    <w:p w14:paraId="0B1417CD" w14:textId="77777777" w:rsidR="00AC1474" w:rsidRPr="00A373FD" w:rsidRDefault="00AC1474" w:rsidP="00AC1474">
      <w:pPr>
        <w:rPr>
          <w:rFonts w:cs="Arial"/>
        </w:rPr>
      </w:pPr>
    </w:p>
    <w:p w14:paraId="1CE1DA95" w14:textId="77777777" w:rsidR="00AC1474" w:rsidRPr="00A373FD" w:rsidRDefault="00AC1474" w:rsidP="00AC1474">
      <w:pPr>
        <w:pStyle w:val="Heading2"/>
        <w:rPr>
          <w:rFonts w:cs="Arial"/>
        </w:rPr>
      </w:pPr>
      <w:bookmarkStart w:id="64" w:name="_Toc226361760"/>
      <w:r w:rsidRPr="00A373FD">
        <w:rPr>
          <w:rFonts w:cs="Arial"/>
        </w:rPr>
        <w:t>Committee discussions</w:t>
      </w:r>
      <w:bookmarkEnd w:id="64"/>
    </w:p>
    <w:p w14:paraId="1F8B4811" w14:textId="77777777" w:rsidR="00AC1474" w:rsidRPr="00AC1474" w:rsidRDefault="00AC1474" w:rsidP="00AC1474">
      <w:pPr>
        <w:rPr>
          <w:rStyle w:val="instructionsChar"/>
          <w:color w:val="auto"/>
        </w:rPr>
      </w:pPr>
      <w:r w:rsidRPr="00AC1474">
        <w:rPr>
          <w:rFonts w:cs="Arial"/>
        </w:rPr>
        <w:t>In addition to the recommendations described under the Statement of Fiscal and Economic Impact section above, the committee</w:t>
      </w:r>
      <w:r w:rsidRPr="00AC1474">
        <w:rPr>
          <w:rStyle w:val="instructionsChar"/>
          <w:color w:val="auto"/>
        </w:rPr>
        <w:t xml:space="preserve"> </w:t>
      </w:r>
      <w:r w:rsidRPr="00AC1474">
        <w:rPr>
          <w:rStyle w:val="instructionsChar"/>
          <w:b w:val="0"/>
          <w:bCs/>
          <w:color w:val="auto"/>
        </w:rPr>
        <w:t>discussed and provided key input on OCVRP rebate adjustments and rebate limits and ZERO Fleet Rebate Program vehicle eligibility and rebate reservation and review processes.</w:t>
      </w:r>
      <w:r w:rsidRPr="00AC1474">
        <w:rPr>
          <w:rStyle w:val="instructionsChar"/>
          <w:color w:val="auto"/>
        </w:rPr>
        <w:t xml:space="preserve"> </w:t>
      </w:r>
    </w:p>
    <w:p w14:paraId="08670B7A" w14:textId="77777777" w:rsidR="00AC1474" w:rsidRPr="00AC1474" w:rsidRDefault="00AC1474" w:rsidP="00AC1474">
      <w:pPr>
        <w:rPr>
          <w:rStyle w:val="instructionsChar"/>
          <w:b w:val="0"/>
          <w:bCs/>
          <w:color w:val="auto"/>
        </w:rPr>
      </w:pPr>
      <w:r w:rsidRPr="00AC1474">
        <w:rPr>
          <w:rStyle w:val="instructionsChar"/>
          <w:b w:val="0"/>
          <w:bCs/>
          <w:color w:val="auto"/>
        </w:rPr>
        <w:t>A summary of the OCVRP discussion includes:</w:t>
      </w:r>
    </w:p>
    <w:p w14:paraId="742FEAC2" w14:textId="523449A1" w:rsidR="00AC1474" w:rsidRPr="00AC1474" w:rsidRDefault="00AC1474" w:rsidP="00AC1474">
      <w:pPr>
        <w:pStyle w:val="ListParagraph"/>
        <w:numPr>
          <w:ilvl w:val="0"/>
          <w:numId w:val="30"/>
        </w:numPr>
        <w:spacing w:after="0" w:line="240" w:lineRule="auto"/>
        <w:outlineLvl w:val="0"/>
        <w:rPr>
          <w:rStyle w:val="instructionsChar"/>
          <w:b w:val="0"/>
          <w:bCs/>
          <w:color w:val="auto"/>
        </w:rPr>
      </w:pPr>
      <w:r w:rsidRPr="00AC1474">
        <w:rPr>
          <w:rStyle w:val="instructionsChar"/>
          <w:b w:val="0"/>
          <w:bCs/>
          <w:color w:val="auto"/>
        </w:rPr>
        <w:t xml:space="preserve">Openness to rebate level adjustments to </w:t>
      </w:r>
      <w:r w:rsidR="0CADBDF9" w:rsidRPr="0960D5C2">
        <w:rPr>
          <w:rStyle w:val="instructionsChar"/>
          <w:b w:val="0"/>
          <w:color w:val="auto"/>
        </w:rPr>
        <w:t>conserve rebate funding</w:t>
      </w:r>
      <w:r w:rsidRPr="00AC1474">
        <w:rPr>
          <w:rStyle w:val="instructionsChar"/>
          <w:b w:val="0"/>
          <w:bCs/>
          <w:color w:val="auto"/>
        </w:rPr>
        <w:t>, with an interest in ensuring those that need the rebate the most were prioritized.</w:t>
      </w:r>
    </w:p>
    <w:p w14:paraId="6D4E1174" w14:textId="77777777" w:rsidR="00AC1474" w:rsidRPr="00AC1474" w:rsidRDefault="00AC1474" w:rsidP="00AC1474">
      <w:pPr>
        <w:pStyle w:val="ListParagraph"/>
        <w:numPr>
          <w:ilvl w:val="0"/>
          <w:numId w:val="30"/>
        </w:numPr>
        <w:spacing w:after="0" w:line="240" w:lineRule="auto"/>
        <w:outlineLvl w:val="0"/>
        <w:rPr>
          <w:rStyle w:val="instructionsChar"/>
          <w:b w:val="0"/>
          <w:bCs/>
          <w:color w:val="auto"/>
        </w:rPr>
      </w:pPr>
      <w:r w:rsidRPr="00AC1474">
        <w:rPr>
          <w:rStyle w:val="instructionsChar"/>
          <w:b w:val="0"/>
          <w:bCs/>
          <w:color w:val="auto"/>
        </w:rPr>
        <w:t>Most RAC members supported a moderate decrease to the Standard Rebate and a fractional rebate for the Charge Ahead Rebate for used vehicles.</w:t>
      </w:r>
    </w:p>
    <w:p w14:paraId="67008E71" w14:textId="77777777" w:rsidR="00AC1474" w:rsidRPr="00AC1474" w:rsidRDefault="00AC1474" w:rsidP="00AC1474">
      <w:pPr>
        <w:pStyle w:val="ListParagraph"/>
        <w:numPr>
          <w:ilvl w:val="0"/>
          <w:numId w:val="30"/>
        </w:numPr>
        <w:spacing w:after="0" w:line="240" w:lineRule="auto"/>
        <w:outlineLvl w:val="0"/>
        <w:rPr>
          <w:rStyle w:val="instructionsChar"/>
          <w:b w:val="0"/>
          <w:bCs/>
          <w:color w:val="auto"/>
        </w:rPr>
      </w:pPr>
      <w:r w:rsidRPr="00AC1474">
        <w:rPr>
          <w:rStyle w:val="instructionsChar"/>
          <w:b w:val="0"/>
          <w:bCs/>
          <w:color w:val="auto"/>
        </w:rPr>
        <w:t>An interest in limiting the number of individual rebates, but maintaining some ability for individuals to apply more than once over the lifetime of the program</w:t>
      </w:r>
    </w:p>
    <w:p w14:paraId="1B657645" w14:textId="77777777" w:rsidR="00AC1474" w:rsidRPr="00AC1474" w:rsidRDefault="00AC1474" w:rsidP="00AC1474">
      <w:pPr>
        <w:pStyle w:val="ListParagraph"/>
        <w:numPr>
          <w:ilvl w:val="0"/>
          <w:numId w:val="30"/>
        </w:numPr>
        <w:spacing w:after="0" w:line="240" w:lineRule="auto"/>
        <w:outlineLvl w:val="0"/>
        <w:rPr>
          <w:rStyle w:val="instructionsChar"/>
          <w:b w:val="0"/>
          <w:bCs/>
          <w:color w:val="auto"/>
        </w:rPr>
      </w:pPr>
      <w:r w:rsidRPr="00AC1474">
        <w:rPr>
          <w:rStyle w:val="instructionsChar"/>
          <w:b w:val="0"/>
          <w:bCs/>
          <w:color w:val="auto"/>
        </w:rPr>
        <w:t>Support in clarifying definitions, especially in ways that would ensure the used vehicles rebated by the program are reliable for the applicants throughout the required 24-month ownership period</w:t>
      </w:r>
    </w:p>
    <w:p w14:paraId="1E76FA27" w14:textId="77777777" w:rsidR="00AC1474" w:rsidRPr="00AC1474" w:rsidRDefault="00AC1474" w:rsidP="00AC1474">
      <w:pPr>
        <w:pStyle w:val="ListParagraph"/>
        <w:numPr>
          <w:ilvl w:val="0"/>
          <w:numId w:val="30"/>
        </w:numPr>
        <w:spacing w:after="0" w:line="240" w:lineRule="auto"/>
        <w:outlineLvl w:val="0"/>
        <w:rPr>
          <w:rStyle w:val="instructionsChar"/>
          <w:b w:val="0"/>
          <w:bCs/>
          <w:color w:val="auto"/>
        </w:rPr>
      </w:pPr>
      <w:r w:rsidRPr="00AC1474">
        <w:rPr>
          <w:rStyle w:val="instructionsChar"/>
          <w:b w:val="0"/>
          <w:bCs/>
          <w:color w:val="auto"/>
        </w:rPr>
        <w:t>Interest in a rebate reservation system, or another process that would allow the program to remain open year-round, but want to ensure the process is accessible and that unused rebate funds would quickly move back into the program for new reservations</w:t>
      </w:r>
    </w:p>
    <w:p w14:paraId="55676FC6" w14:textId="77777777" w:rsidR="00AC1474" w:rsidRPr="00AC1474" w:rsidRDefault="00AC1474" w:rsidP="00AC1474">
      <w:pPr>
        <w:rPr>
          <w:rStyle w:val="instructionsChar"/>
          <w:b w:val="0"/>
          <w:bCs/>
          <w:color w:val="auto"/>
        </w:rPr>
      </w:pPr>
    </w:p>
    <w:p w14:paraId="7C37F550" w14:textId="77777777" w:rsidR="00AC1474" w:rsidRPr="00AC1474" w:rsidRDefault="00AC1474" w:rsidP="00AC1474">
      <w:pPr>
        <w:rPr>
          <w:rStyle w:val="instructionsChar"/>
          <w:b w:val="0"/>
          <w:bCs/>
          <w:color w:val="auto"/>
        </w:rPr>
      </w:pPr>
      <w:r w:rsidRPr="00AC1474">
        <w:rPr>
          <w:rStyle w:val="instructionsChar"/>
          <w:b w:val="0"/>
          <w:bCs/>
          <w:color w:val="auto"/>
        </w:rPr>
        <w:t>A summary of the ZERO Fleet Rebate Program discussion includes:</w:t>
      </w:r>
    </w:p>
    <w:p w14:paraId="0BF439F6" w14:textId="77777777" w:rsidR="00AC1474" w:rsidRDefault="00AC1474" w:rsidP="00AC1474">
      <w:pPr>
        <w:pStyle w:val="ListParagraph"/>
        <w:numPr>
          <w:ilvl w:val="0"/>
          <w:numId w:val="32"/>
        </w:numPr>
        <w:spacing w:after="0" w:line="259" w:lineRule="auto"/>
        <w:outlineLvl w:val="0"/>
        <w:rPr>
          <w:rStyle w:val="instructionsChar"/>
          <w:b w:val="0"/>
          <w:bCs/>
          <w:color w:val="auto"/>
        </w:rPr>
      </w:pPr>
      <w:r w:rsidRPr="00AC1474">
        <w:rPr>
          <w:rStyle w:val="instructionsChar"/>
          <w:b w:val="0"/>
          <w:bCs/>
          <w:color w:val="auto"/>
        </w:rPr>
        <w:t>Most RAC members expressed support for implementing a vehicle eligibility list, while seeking clarity on the decision-making process for adding vehicles.</w:t>
      </w:r>
    </w:p>
    <w:p w14:paraId="559353E5" w14:textId="77777777" w:rsidR="00AC1474" w:rsidRPr="00AC1474" w:rsidRDefault="00AC1474" w:rsidP="00AC1474">
      <w:pPr>
        <w:pStyle w:val="ListParagraph"/>
        <w:numPr>
          <w:ilvl w:val="0"/>
          <w:numId w:val="32"/>
        </w:numPr>
        <w:spacing w:after="0" w:line="259" w:lineRule="auto"/>
        <w:outlineLvl w:val="0"/>
        <w:rPr>
          <w:rFonts w:cs="Times New Roman"/>
          <w:bCs/>
          <w:kern w:val="0"/>
          <w14:ligatures w14:val="none"/>
        </w:rPr>
      </w:pPr>
      <w:r>
        <w:t>Members agreed to allow Purchasers an additional six-month window to receive and register their zero-emission vehicles.</w:t>
      </w:r>
    </w:p>
    <w:p w14:paraId="01D24976" w14:textId="77777777" w:rsidR="00AC1474" w:rsidRPr="00AC1474" w:rsidRDefault="00AC1474" w:rsidP="00AC1474">
      <w:pPr>
        <w:pStyle w:val="ListParagraph"/>
        <w:numPr>
          <w:ilvl w:val="0"/>
          <w:numId w:val="32"/>
        </w:numPr>
        <w:spacing w:after="0" w:line="259" w:lineRule="auto"/>
        <w:outlineLvl w:val="0"/>
        <w:rPr>
          <w:rFonts w:cs="Times New Roman"/>
          <w:bCs/>
          <w:kern w:val="0"/>
          <w14:ligatures w14:val="none"/>
        </w:rPr>
      </w:pPr>
      <w:r>
        <w:t>There was interest in the program’s launch timeline and questions about the duration of the development process for medium- and heavy-duty rebates.</w:t>
      </w:r>
    </w:p>
    <w:p w14:paraId="70DBD728" w14:textId="77777777" w:rsidR="00AC1474" w:rsidRPr="00AC1474" w:rsidRDefault="00AC1474" w:rsidP="00AC1474">
      <w:pPr>
        <w:pStyle w:val="ListParagraph"/>
        <w:numPr>
          <w:ilvl w:val="0"/>
          <w:numId w:val="32"/>
        </w:numPr>
        <w:spacing w:after="0" w:line="259" w:lineRule="auto"/>
        <w:outlineLvl w:val="0"/>
        <w:rPr>
          <w:rFonts w:cs="Times New Roman"/>
          <w:bCs/>
          <w:kern w:val="0"/>
          <w14:ligatures w14:val="none"/>
        </w:rPr>
      </w:pPr>
      <w:r>
        <w:t>Members asked about the maximum number of rebates a Purchaser can receive.</w:t>
      </w:r>
    </w:p>
    <w:p w14:paraId="7EA432F0" w14:textId="1753471D" w:rsidR="00AC1474" w:rsidRPr="00AC1474" w:rsidRDefault="00AC1474" w:rsidP="00AC1474">
      <w:pPr>
        <w:pStyle w:val="ListParagraph"/>
        <w:numPr>
          <w:ilvl w:val="0"/>
          <w:numId w:val="32"/>
        </w:numPr>
        <w:spacing w:after="0" w:line="259" w:lineRule="auto"/>
        <w:outlineLvl w:val="0"/>
        <w:rPr>
          <w:rFonts w:cs="Times New Roman"/>
          <w:bCs/>
          <w:kern w:val="0"/>
          <w14:ligatures w14:val="none"/>
        </w:rPr>
      </w:pPr>
      <w:r>
        <w:t>Questions arose regarding manufacturer requirements and the necessary infrastructure to support heavy-duty EVs.</w:t>
      </w:r>
    </w:p>
    <w:p w14:paraId="7C4315B3" w14:textId="77777777" w:rsidR="00AC1474" w:rsidRPr="000C511B" w:rsidRDefault="00AC1474" w:rsidP="00AC1474">
      <w:pPr>
        <w:pStyle w:val="ListParagraph"/>
        <w:numPr>
          <w:ilvl w:val="0"/>
          <w:numId w:val="31"/>
        </w:numPr>
        <w:spacing w:after="0" w:line="259" w:lineRule="auto"/>
        <w:ind w:left="720" w:hanging="360"/>
        <w:outlineLvl w:val="0"/>
        <w:rPr>
          <w:szCs w:val="22"/>
        </w:rPr>
      </w:pPr>
      <w:r>
        <w:t>Members showed interest in permitting used vehicles to qualify for ZERO Fleet rebates in the future as more medium- and heavy-duty EVs enter the market.</w:t>
      </w:r>
    </w:p>
    <w:p w14:paraId="4CBDA63D" w14:textId="6DA77E1D" w:rsidR="00563365" w:rsidRDefault="00563365" w:rsidP="00F66DD5"/>
    <w:p w14:paraId="4B6CF4EF" w14:textId="70281514" w:rsidR="00ED47E6" w:rsidRDefault="00ED47E6" w:rsidP="00252011">
      <w:pPr>
        <w:pStyle w:val="Heading1"/>
      </w:pPr>
      <w:bookmarkStart w:id="65" w:name="_Toc226361761"/>
      <w:r>
        <w:lastRenderedPageBreak/>
        <w:t>Public engagement</w:t>
      </w:r>
      <w:bookmarkEnd w:id="65"/>
    </w:p>
    <w:p w14:paraId="1A0218B4" w14:textId="77777777" w:rsidR="00CD38B4" w:rsidRPr="00A373FD" w:rsidRDefault="00CD38B4" w:rsidP="00CD38B4">
      <w:pPr>
        <w:pStyle w:val="Heading2"/>
        <w:rPr>
          <w:rFonts w:cs="Arial"/>
        </w:rPr>
      </w:pPr>
      <w:bookmarkStart w:id="66" w:name="_Toc226361762"/>
      <w:r w:rsidRPr="00A373FD">
        <w:rPr>
          <w:rFonts w:cs="Arial"/>
        </w:rPr>
        <w:t>Public notice</w:t>
      </w:r>
      <w:bookmarkEnd w:id="66"/>
    </w:p>
    <w:p w14:paraId="5D7A67DD" w14:textId="77777777" w:rsidR="00CD38B4" w:rsidRPr="00A373FD" w:rsidRDefault="00CD38B4" w:rsidP="00CD38B4">
      <w:pPr>
        <w:rPr>
          <w:rFonts w:cs="Arial"/>
        </w:rPr>
      </w:pPr>
      <w:r w:rsidRPr="00A373FD">
        <w:rPr>
          <w:rFonts w:cs="Arial"/>
        </w:rPr>
        <w:t xml:space="preserve">DEQ provided notice of the proposed rulemaking and rulemaking hearing by: </w:t>
      </w:r>
    </w:p>
    <w:p w14:paraId="3BEF6526" w14:textId="25B90379" w:rsidR="00CD38B4" w:rsidRPr="00A373FD" w:rsidRDefault="00CD38B4" w:rsidP="00CD38B4">
      <w:pPr>
        <w:pStyle w:val="ListParagraph"/>
        <w:numPr>
          <w:ilvl w:val="0"/>
          <w:numId w:val="33"/>
        </w:numPr>
        <w:spacing w:after="0" w:line="240" w:lineRule="auto"/>
        <w:outlineLvl w:val="0"/>
        <w:rPr>
          <w:rFonts w:cs="Arial"/>
        </w:rPr>
      </w:pPr>
      <w:r w:rsidRPr="00A373FD">
        <w:rPr>
          <w:rFonts w:cs="Arial"/>
        </w:rPr>
        <w:t xml:space="preserve">On </w:t>
      </w:r>
      <w:r w:rsidRPr="00FC5106">
        <w:rPr>
          <w:rStyle w:val="instructionsChar"/>
          <w:b w:val="0"/>
          <w:bCs/>
          <w:color w:val="auto"/>
        </w:rPr>
        <w:t>Jan</w:t>
      </w:r>
      <w:r w:rsidR="5292F81D" w:rsidRPr="64F04CDE">
        <w:rPr>
          <w:rStyle w:val="instructionsChar"/>
          <w:b w:val="0"/>
          <w:color w:val="auto"/>
        </w:rPr>
        <w:t>.</w:t>
      </w:r>
      <w:r w:rsidRPr="00FC5106">
        <w:rPr>
          <w:rStyle w:val="instructionsChar"/>
          <w:b w:val="0"/>
          <w:bCs/>
          <w:color w:val="auto"/>
        </w:rPr>
        <w:t xml:space="preserve"> 20, 2026</w:t>
      </w:r>
      <w:r w:rsidRPr="00FC5106">
        <w:rPr>
          <w:rStyle w:val="instructionsChar"/>
          <w:color w:val="auto"/>
        </w:rPr>
        <w:t xml:space="preserve">, </w:t>
      </w:r>
      <w:r w:rsidRPr="00FC5106">
        <w:rPr>
          <w:rFonts w:cs="Arial"/>
        </w:rPr>
        <w:t xml:space="preserve">filing notice with the Oregon Secretary of State for publication in the </w:t>
      </w:r>
      <w:r w:rsidRPr="00FC5106">
        <w:rPr>
          <w:rStyle w:val="instructionsChar"/>
          <w:b w:val="0"/>
          <w:bCs/>
          <w:color w:val="auto"/>
        </w:rPr>
        <w:t>February 2026</w:t>
      </w:r>
      <w:r w:rsidRPr="00FC5106">
        <w:rPr>
          <w:rFonts w:cs="Arial"/>
        </w:rPr>
        <w:t xml:space="preserve"> </w:t>
      </w:r>
      <w:r w:rsidRPr="00A373FD">
        <w:rPr>
          <w:rFonts w:cs="Arial"/>
        </w:rPr>
        <w:t>Oregon Bulletin;</w:t>
      </w:r>
    </w:p>
    <w:p w14:paraId="66F56DBB" w14:textId="77777777" w:rsidR="00CD38B4" w:rsidRDefault="00CD38B4" w:rsidP="00CD38B4">
      <w:pPr>
        <w:pStyle w:val="ListParagraph"/>
        <w:numPr>
          <w:ilvl w:val="0"/>
          <w:numId w:val="33"/>
        </w:numPr>
        <w:spacing w:after="0" w:line="240" w:lineRule="auto"/>
        <w:outlineLvl w:val="0"/>
        <w:rPr>
          <w:rFonts w:cs="Arial"/>
        </w:rPr>
      </w:pPr>
      <w:r w:rsidRPr="00A373FD">
        <w:rPr>
          <w:rFonts w:cs="Arial"/>
        </w:rPr>
        <w:t xml:space="preserve">Posting the </w:t>
      </w:r>
      <w:r>
        <w:rPr>
          <w:rFonts w:cs="Arial"/>
        </w:rPr>
        <w:t>n</w:t>
      </w:r>
      <w:r w:rsidRPr="00A373FD">
        <w:rPr>
          <w:rFonts w:cs="Arial"/>
        </w:rPr>
        <w:t xml:space="preserve">otice, </w:t>
      </w:r>
      <w:r>
        <w:rPr>
          <w:rFonts w:cs="Arial"/>
        </w:rPr>
        <w:t>i</w:t>
      </w:r>
      <w:r w:rsidRPr="00A373FD">
        <w:rPr>
          <w:rFonts w:cs="Arial"/>
        </w:rPr>
        <w:t xml:space="preserve">nvitation to </w:t>
      </w:r>
      <w:r>
        <w:rPr>
          <w:rFonts w:cs="Arial"/>
        </w:rPr>
        <w:t>c</w:t>
      </w:r>
      <w:r w:rsidRPr="00A373FD">
        <w:rPr>
          <w:rFonts w:cs="Arial"/>
        </w:rPr>
        <w:t xml:space="preserve">omment and </w:t>
      </w:r>
      <w:r>
        <w:rPr>
          <w:rFonts w:cs="Arial"/>
        </w:rPr>
        <w:t>d</w:t>
      </w:r>
      <w:r w:rsidRPr="00A373FD">
        <w:rPr>
          <w:rFonts w:cs="Arial"/>
        </w:rPr>
        <w:t xml:space="preserve">raft </w:t>
      </w:r>
      <w:r>
        <w:rPr>
          <w:rFonts w:cs="Arial"/>
        </w:rPr>
        <w:t>r</w:t>
      </w:r>
      <w:r w:rsidRPr="00A373FD">
        <w:rPr>
          <w:rFonts w:cs="Arial"/>
        </w:rPr>
        <w:t xml:space="preserve">ules on the </w:t>
      </w:r>
      <w:hyperlink r:id="rId47" w:history="1">
        <w:r w:rsidRPr="00A401B8">
          <w:rPr>
            <w:rStyle w:val="Hyperlink"/>
            <w:rFonts w:cs="Arial"/>
          </w:rPr>
          <w:t>rulemaking web page</w:t>
        </w:r>
      </w:hyperlink>
      <w:r>
        <w:rPr>
          <w:rFonts w:cs="Arial"/>
        </w:rPr>
        <w:t>.</w:t>
      </w:r>
    </w:p>
    <w:p w14:paraId="57452C0C" w14:textId="558B958F" w:rsidR="00CD38B4" w:rsidRPr="00CD38B4" w:rsidRDefault="00CD38B4" w:rsidP="00CD38B4">
      <w:pPr>
        <w:pStyle w:val="ListParagraph"/>
        <w:numPr>
          <w:ilvl w:val="0"/>
          <w:numId w:val="33"/>
        </w:numPr>
        <w:spacing w:after="0" w:line="240" w:lineRule="auto"/>
        <w:outlineLvl w:val="0"/>
        <w:rPr>
          <w:rFonts w:cs="Arial"/>
        </w:rPr>
      </w:pPr>
      <w:r w:rsidRPr="00CD38B4">
        <w:rPr>
          <w:rFonts w:cs="Arial"/>
        </w:rPr>
        <w:t>Emailing approximately 24,995 interested parties on the following DEQ lists through GovDelivery:</w:t>
      </w:r>
    </w:p>
    <w:p w14:paraId="13B7A0B4" w14:textId="77777777" w:rsidR="00CD38B4" w:rsidRPr="00A373FD" w:rsidRDefault="00CD38B4" w:rsidP="00CD38B4">
      <w:pPr>
        <w:pStyle w:val="ListParagraph"/>
        <w:numPr>
          <w:ilvl w:val="1"/>
          <w:numId w:val="34"/>
        </w:numPr>
        <w:spacing w:after="0" w:line="240" w:lineRule="auto"/>
        <w:outlineLvl w:val="0"/>
        <w:rPr>
          <w:rFonts w:cs="Arial"/>
        </w:rPr>
      </w:pPr>
      <w:r w:rsidRPr="00A373FD">
        <w:rPr>
          <w:rFonts w:cs="Arial"/>
        </w:rPr>
        <w:t>Rulemaking</w:t>
      </w:r>
    </w:p>
    <w:p w14:paraId="069CD2CA" w14:textId="77777777" w:rsidR="00CD38B4" w:rsidRPr="00A373FD" w:rsidRDefault="00CD38B4" w:rsidP="00CD38B4">
      <w:pPr>
        <w:pStyle w:val="ListParagraph"/>
        <w:numPr>
          <w:ilvl w:val="1"/>
          <w:numId w:val="35"/>
        </w:numPr>
        <w:spacing w:after="0" w:line="240" w:lineRule="auto"/>
        <w:outlineLvl w:val="0"/>
        <w:rPr>
          <w:rFonts w:cs="Arial"/>
        </w:rPr>
      </w:pPr>
      <w:r>
        <w:rPr>
          <w:rFonts w:cs="Arial"/>
        </w:rPr>
        <w:t>DEQ Public Notices</w:t>
      </w:r>
    </w:p>
    <w:p w14:paraId="494F481A" w14:textId="77777777" w:rsidR="00CD38B4" w:rsidRPr="00A373FD" w:rsidRDefault="00CD38B4" w:rsidP="00CD38B4">
      <w:pPr>
        <w:pStyle w:val="ListParagraph"/>
        <w:numPr>
          <w:ilvl w:val="1"/>
          <w:numId w:val="35"/>
        </w:numPr>
        <w:spacing w:after="0" w:line="240" w:lineRule="auto"/>
        <w:outlineLvl w:val="0"/>
        <w:rPr>
          <w:rFonts w:cs="Arial"/>
        </w:rPr>
      </w:pPr>
      <w:r w:rsidRPr="6256579D">
        <w:rPr>
          <w:rFonts w:cs="Arial"/>
        </w:rPr>
        <w:t xml:space="preserve">Low Emission/Zero-Emission Vehicle </w:t>
      </w:r>
      <w:r w:rsidRPr="6256579D">
        <w:t>Program</w:t>
      </w:r>
    </w:p>
    <w:p w14:paraId="018DFA8C" w14:textId="77777777" w:rsidR="00CD38B4" w:rsidRPr="00A373FD" w:rsidRDefault="00CD38B4" w:rsidP="00CD38B4">
      <w:pPr>
        <w:pStyle w:val="ListParagraph"/>
        <w:numPr>
          <w:ilvl w:val="1"/>
          <w:numId w:val="1"/>
        </w:numPr>
        <w:spacing w:after="0" w:line="240" w:lineRule="auto"/>
        <w:ind w:left="0" w:firstLine="1080"/>
        <w:outlineLvl w:val="0"/>
        <w:rPr>
          <w:rFonts w:cs="Arial"/>
        </w:rPr>
      </w:pPr>
      <w:r w:rsidRPr="4F69D5C9">
        <w:rPr>
          <w:rFonts w:cs="Arial"/>
        </w:rPr>
        <w:t>Oregon Clean Vehicle Rebate Program</w:t>
      </w:r>
    </w:p>
    <w:p w14:paraId="3ED16BF4" w14:textId="77777777" w:rsidR="00CD38B4" w:rsidRDefault="00CD38B4" w:rsidP="00CD38B4">
      <w:pPr>
        <w:pStyle w:val="ListParagraph"/>
        <w:numPr>
          <w:ilvl w:val="1"/>
          <w:numId w:val="1"/>
        </w:numPr>
        <w:spacing w:after="0" w:line="240" w:lineRule="auto"/>
        <w:ind w:left="0" w:firstLine="1080"/>
        <w:outlineLvl w:val="0"/>
      </w:pPr>
      <w:r w:rsidRPr="4F69D5C9">
        <w:t>Diesel/Biodiesel</w:t>
      </w:r>
    </w:p>
    <w:p w14:paraId="03275819" w14:textId="77777777" w:rsidR="00CD38B4" w:rsidRDefault="00CD38B4" w:rsidP="00CD38B4">
      <w:pPr>
        <w:pStyle w:val="ListParagraph"/>
        <w:numPr>
          <w:ilvl w:val="1"/>
          <w:numId w:val="1"/>
        </w:numPr>
        <w:spacing w:after="0" w:line="240" w:lineRule="auto"/>
        <w:ind w:left="0" w:firstLine="1080"/>
        <w:outlineLvl w:val="0"/>
      </w:pPr>
      <w:r w:rsidRPr="4F69D5C9">
        <w:t>Diesel Emissions Identification Program</w:t>
      </w:r>
    </w:p>
    <w:p w14:paraId="176B579B" w14:textId="77777777" w:rsidR="00CD38B4" w:rsidRDefault="00CD38B4" w:rsidP="00CD38B4">
      <w:pPr>
        <w:pStyle w:val="ListParagraph"/>
        <w:numPr>
          <w:ilvl w:val="1"/>
          <w:numId w:val="1"/>
        </w:numPr>
        <w:spacing w:after="0" w:line="240" w:lineRule="auto"/>
        <w:ind w:left="0" w:firstLine="1080"/>
        <w:outlineLvl w:val="0"/>
      </w:pPr>
      <w:r w:rsidRPr="4F69D5C9">
        <w:t>VW Settlement Funds</w:t>
      </w:r>
    </w:p>
    <w:p w14:paraId="0C0C8259" w14:textId="77777777" w:rsidR="00CD38B4" w:rsidRDefault="00CD38B4" w:rsidP="00CD38B4">
      <w:pPr>
        <w:pStyle w:val="ListParagraph"/>
        <w:numPr>
          <w:ilvl w:val="1"/>
          <w:numId w:val="1"/>
        </w:numPr>
        <w:spacing w:after="0" w:line="240" w:lineRule="auto"/>
        <w:ind w:left="0" w:firstLine="1080"/>
        <w:outlineLvl w:val="0"/>
      </w:pPr>
      <w:r w:rsidRPr="4F69D5C9">
        <w:t>Greenhouse Gas Programs</w:t>
      </w:r>
    </w:p>
    <w:p w14:paraId="56F13AD1" w14:textId="77777777" w:rsidR="00CD38B4" w:rsidRPr="00FD3372" w:rsidRDefault="00CD38B4" w:rsidP="00CD38B4">
      <w:pPr>
        <w:pStyle w:val="ListParagraph"/>
        <w:numPr>
          <w:ilvl w:val="1"/>
          <w:numId w:val="1"/>
        </w:numPr>
        <w:spacing w:after="0" w:line="240" w:lineRule="auto"/>
        <w:ind w:left="0" w:firstLine="1080"/>
        <w:outlineLvl w:val="0"/>
        <w:rPr>
          <w:rFonts w:cs="Arial"/>
        </w:rPr>
      </w:pPr>
      <w:r w:rsidRPr="4F69D5C9">
        <w:t>VIP</w:t>
      </w:r>
    </w:p>
    <w:p w14:paraId="7F6A3D63" w14:textId="77777777" w:rsidR="00CD38B4" w:rsidRPr="00A373FD" w:rsidRDefault="00CD38B4" w:rsidP="00CD38B4">
      <w:pPr>
        <w:pStyle w:val="ListParagraph"/>
        <w:numPr>
          <w:ilvl w:val="0"/>
          <w:numId w:val="33"/>
        </w:numPr>
        <w:spacing w:after="0" w:line="240" w:lineRule="auto"/>
        <w:outlineLvl w:val="0"/>
        <w:rPr>
          <w:rFonts w:cs="Arial"/>
        </w:rPr>
      </w:pPr>
      <w:r w:rsidRPr="00A373FD">
        <w:rPr>
          <w:rFonts w:cs="Arial"/>
        </w:rPr>
        <w:t xml:space="preserve">Emailing the following key legislators required under </w:t>
      </w:r>
      <w:hyperlink r:id="rId48" w:history="1">
        <w:r w:rsidRPr="00A373FD">
          <w:rPr>
            <w:rStyle w:val="Hyperlink"/>
            <w:rFonts w:cs="Arial"/>
          </w:rPr>
          <w:t>ORS 183.335</w:t>
        </w:r>
      </w:hyperlink>
      <w:r w:rsidRPr="00A373FD">
        <w:rPr>
          <w:rFonts w:cs="Arial"/>
        </w:rPr>
        <w:t>:</w:t>
      </w:r>
    </w:p>
    <w:p w14:paraId="29C1FA86" w14:textId="77777777" w:rsidR="00CD38B4" w:rsidRDefault="00CD38B4" w:rsidP="00CD38B4">
      <w:pPr>
        <w:pStyle w:val="ListParagraph"/>
        <w:numPr>
          <w:ilvl w:val="1"/>
          <w:numId w:val="33"/>
        </w:numPr>
        <w:spacing w:after="0" w:line="240" w:lineRule="auto"/>
        <w:outlineLvl w:val="0"/>
        <w:rPr>
          <w:rFonts w:cs="Arial"/>
        </w:rPr>
      </w:pPr>
      <w:r w:rsidRPr="00122866">
        <w:rPr>
          <w:rFonts w:cs="Arial"/>
        </w:rPr>
        <w:t xml:space="preserve">Senator Chris Gorsek, </w:t>
      </w:r>
    </w:p>
    <w:p w14:paraId="11B4AE64" w14:textId="77777777" w:rsidR="00CD38B4" w:rsidRDefault="00CD38B4" w:rsidP="00CD38B4">
      <w:pPr>
        <w:pStyle w:val="ListParagraph"/>
        <w:numPr>
          <w:ilvl w:val="1"/>
          <w:numId w:val="33"/>
        </w:numPr>
        <w:spacing w:after="0" w:line="240" w:lineRule="auto"/>
        <w:outlineLvl w:val="0"/>
        <w:rPr>
          <w:rFonts w:cs="Arial"/>
        </w:rPr>
      </w:pPr>
      <w:r w:rsidRPr="00122866">
        <w:rPr>
          <w:rFonts w:cs="Arial"/>
        </w:rPr>
        <w:t xml:space="preserve">Chair </w:t>
      </w:r>
      <w:r>
        <w:rPr>
          <w:rFonts w:cs="Arial"/>
        </w:rPr>
        <w:t>Senate</w:t>
      </w:r>
      <w:r w:rsidRPr="00122866">
        <w:rPr>
          <w:rFonts w:cs="Arial"/>
        </w:rPr>
        <w:t xml:space="preserve"> Transportation Committee </w:t>
      </w:r>
    </w:p>
    <w:p w14:paraId="5B92DF49" w14:textId="77777777" w:rsidR="00CD38B4" w:rsidRDefault="00CD38B4" w:rsidP="00CD38B4">
      <w:pPr>
        <w:pStyle w:val="ListParagraph"/>
        <w:numPr>
          <w:ilvl w:val="1"/>
          <w:numId w:val="33"/>
        </w:numPr>
        <w:spacing w:after="0" w:line="240" w:lineRule="auto"/>
        <w:outlineLvl w:val="0"/>
        <w:rPr>
          <w:rFonts w:cs="Arial"/>
        </w:rPr>
      </w:pPr>
      <w:r w:rsidRPr="00122866">
        <w:rPr>
          <w:rFonts w:cs="Arial"/>
        </w:rPr>
        <w:t xml:space="preserve">Representative Susan McLain, Chair, House Transportation Committee </w:t>
      </w:r>
    </w:p>
    <w:p w14:paraId="2C8CCCC3" w14:textId="77777777" w:rsidR="00CD38B4" w:rsidRPr="00A373FD" w:rsidRDefault="00CD38B4" w:rsidP="00CD38B4">
      <w:pPr>
        <w:pStyle w:val="ListParagraph"/>
        <w:numPr>
          <w:ilvl w:val="0"/>
          <w:numId w:val="33"/>
        </w:numPr>
        <w:spacing w:after="0" w:line="240" w:lineRule="auto"/>
        <w:outlineLvl w:val="0"/>
        <w:rPr>
          <w:rFonts w:cs="Arial"/>
        </w:rPr>
      </w:pPr>
      <w:r w:rsidRPr="00A373FD">
        <w:rPr>
          <w:rFonts w:cs="Arial"/>
        </w:rPr>
        <w:t>Emailing advisory committee members</w:t>
      </w:r>
    </w:p>
    <w:p w14:paraId="30981521" w14:textId="77777777" w:rsidR="00CD38B4" w:rsidRPr="00AC5339" w:rsidRDefault="00CD38B4" w:rsidP="00CD38B4">
      <w:pPr>
        <w:pStyle w:val="ListParagraph"/>
        <w:numPr>
          <w:ilvl w:val="0"/>
          <w:numId w:val="33"/>
        </w:numPr>
        <w:spacing w:after="0" w:line="240" w:lineRule="auto"/>
        <w:outlineLvl w:val="0"/>
        <w:rPr>
          <w:rFonts w:cs="Arial"/>
        </w:rPr>
      </w:pPr>
      <w:r w:rsidRPr="00A373FD">
        <w:rPr>
          <w:rFonts w:cs="Arial"/>
        </w:rPr>
        <w:t xml:space="preserve">Posting on the </w:t>
      </w:r>
      <w:hyperlink r:id="rId49" w:history="1">
        <w:r w:rsidRPr="00810F05">
          <w:rPr>
            <w:rStyle w:val="Hyperlink"/>
            <w:rFonts w:cs="Arial"/>
          </w:rPr>
          <w:t>DEQ event calendar</w:t>
        </w:r>
      </w:hyperlink>
    </w:p>
    <w:p w14:paraId="556F66FB" w14:textId="77777777" w:rsidR="00CD38B4" w:rsidRPr="00AC5339" w:rsidRDefault="00CD38B4" w:rsidP="00CD38B4">
      <w:pPr>
        <w:pStyle w:val="ListParagraph"/>
        <w:numPr>
          <w:ilvl w:val="0"/>
          <w:numId w:val="33"/>
        </w:numPr>
        <w:spacing w:after="0" w:line="240" w:lineRule="auto"/>
        <w:outlineLvl w:val="0"/>
        <w:rPr>
          <w:rFonts w:cs="Arial"/>
        </w:rPr>
      </w:pPr>
      <w:r w:rsidRPr="00AC5339">
        <w:rPr>
          <w:rFonts w:cs="Arial"/>
        </w:rPr>
        <w:t>DEQ also provided rulemaking notice through the Oregon Trucking Association, Professional Business Development Group, Columbia Willamette Clean Cities Coalition, and Breaking Barriers Collaborative.</w:t>
      </w:r>
    </w:p>
    <w:p w14:paraId="2DFD4F30" w14:textId="7C6A6DC5" w:rsidR="00ED47E6" w:rsidRDefault="00ED47E6" w:rsidP="00ED47E6"/>
    <w:p w14:paraId="69D3C086" w14:textId="3964ACF1" w:rsidR="00ED47E6" w:rsidRDefault="00ED47E6" w:rsidP="00ED47E6"/>
    <w:p w14:paraId="7B8DB795" w14:textId="77777777" w:rsidR="00ED47E6" w:rsidRDefault="00ED47E6" w:rsidP="00ED47E6">
      <w:r>
        <w:t xml:space="preserve"> </w:t>
      </w:r>
    </w:p>
    <w:p w14:paraId="06C8C658" w14:textId="77777777" w:rsidR="00ED47E6" w:rsidRDefault="00ED47E6" w:rsidP="00ED47E6"/>
    <w:p w14:paraId="5F6DD125" w14:textId="77777777" w:rsidR="00ED47E6" w:rsidRDefault="00ED47E6" w:rsidP="00ED47E6"/>
    <w:p w14:paraId="12FD549B" w14:textId="77777777" w:rsidR="00ED47E6" w:rsidRDefault="00ED47E6" w:rsidP="00ED47E6">
      <w:r>
        <w:t> </w:t>
      </w:r>
    </w:p>
    <w:p w14:paraId="52E5FCAC" w14:textId="77777777" w:rsidR="00563365" w:rsidRDefault="00563365">
      <w:pPr>
        <w:spacing w:after="160"/>
      </w:pPr>
      <w:r>
        <w:br w:type="page"/>
      </w:r>
    </w:p>
    <w:p w14:paraId="1BA381D2" w14:textId="229F434F" w:rsidR="00ED47E6" w:rsidRDefault="00ED47E6" w:rsidP="002A6C74">
      <w:pPr>
        <w:pStyle w:val="Heading1"/>
      </w:pPr>
      <w:bookmarkStart w:id="67" w:name="_Toc226361763"/>
      <w:r>
        <w:lastRenderedPageBreak/>
        <w:t>Public hearing</w:t>
      </w:r>
      <w:bookmarkEnd w:id="67"/>
    </w:p>
    <w:p w14:paraId="73A01BC2" w14:textId="355F196F" w:rsidR="00ED47E6" w:rsidRDefault="00ED47E6" w:rsidP="002A6C74">
      <w:r w:rsidRPr="00E314D6">
        <w:t xml:space="preserve">DEQ held </w:t>
      </w:r>
      <w:r w:rsidR="0050028E" w:rsidRPr="00E314D6">
        <w:t>two</w:t>
      </w:r>
      <w:r w:rsidRPr="00E314D6">
        <w:t xml:space="preserve"> public hearings. </w:t>
      </w:r>
      <w:r>
        <w:t>DEQ received</w:t>
      </w:r>
      <w:r w:rsidR="00C23584">
        <w:t xml:space="preserve"> a total of</w:t>
      </w:r>
      <w:r>
        <w:t xml:space="preserve"> </w:t>
      </w:r>
      <w:r w:rsidR="6BD06016">
        <w:t>three</w:t>
      </w:r>
      <w:r>
        <w:t xml:space="preserve"> comments at the hearing</w:t>
      </w:r>
      <w:r w:rsidR="00C23584">
        <w:t>s</w:t>
      </w:r>
      <w:r>
        <w:t xml:space="preserve">. Later sections of this document include a summary of the </w:t>
      </w:r>
      <w:r w:rsidR="5FA577A6">
        <w:t>three</w:t>
      </w:r>
      <w:r>
        <w:t xml:space="preserve"> comments received during the open public comment period, DEQ’s responses, and a list of the commenters. Original comments are on file with DEQ.</w:t>
      </w:r>
    </w:p>
    <w:p w14:paraId="580215ED" w14:textId="7ECB8E6A" w:rsidR="00ED47E6" w:rsidRDefault="00ED47E6" w:rsidP="002A6C74">
      <w:pPr>
        <w:pStyle w:val="Heading2"/>
      </w:pPr>
      <w:bookmarkStart w:id="68" w:name="_Toc226361764"/>
      <w:r>
        <w:t>Presiding officers’ record</w:t>
      </w:r>
      <w:bookmarkEnd w:id="68"/>
    </w:p>
    <w:p w14:paraId="63101770" w14:textId="77777777" w:rsidR="00ED47E6" w:rsidRDefault="00ED47E6" w:rsidP="00E90EF5">
      <w:pPr>
        <w:pStyle w:val="Heading4"/>
      </w:pPr>
      <w:r>
        <w:t>Hearing 1</w:t>
      </w:r>
    </w:p>
    <w:p w14:paraId="7B600491" w14:textId="07ADBAF2" w:rsidR="00ED47E6" w:rsidRDefault="00ED47E6" w:rsidP="00ED47E6">
      <w:r>
        <w:t>Date:</w:t>
      </w:r>
      <w:r w:rsidR="00E90EF5">
        <w:t xml:space="preserve"> </w:t>
      </w:r>
      <w:r w:rsidR="00074AC0" w:rsidRPr="00074AC0">
        <w:t>Wednesday, Feb. 18, 2026</w:t>
      </w:r>
    </w:p>
    <w:p w14:paraId="2D9C298F" w14:textId="3C832044" w:rsidR="00ED47E6" w:rsidRDefault="00ED47E6" w:rsidP="00ED47E6">
      <w:r>
        <w:t>Place:</w:t>
      </w:r>
      <w:r w:rsidR="00074AC0">
        <w:t xml:space="preserve"> </w:t>
      </w:r>
      <w:r w:rsidR="00074AC0" w:rsidRPr="00074AC0">
        <w:t>Online</w:t>
      </w:r>
    </w:p>
    <w:p w14:paraId="5AF32897" w14:textId="1D804470" w:rsidR="00ED47E6" w:rsidRDefault="00ED47E6" w:rsidP="00ED47E6">
      <w:r>
        <w:t>Start time:</w:t>
      </w:r>
      <w:r w:rsidR="00074AC0">
        <w:t xml:space="preserve"> </w:t>
      </w:r>
      <w:r w:rsidR="00074AC0" w:rsidRPr="00074AC0">
        <w:t>1:23 p.m.</w:t>
      </w:r>
    </w:p>
    <w:p w14:paraId="3D691A4C" w14:textId="1ECF4BC8" w:rsidR="00ED47E6" w:rsidRDefault="00ED47E6" w:rsidP="00ED47E6">
      <w:r>
        <w:t>End time:</w:t>
      </w:r>
      <w:r w:rsidR="00074AC0">
        <w:t xml:space="preserve"> </w:t>
      </w:r>
      <w:r w:rsidR="00074AC0" w:rsidRPr="00074AC0">
        <w:t>1:37 p.m.</w:t>
      </w:r>
    </w:p>
    <w:p w14:paraId="41B76031" w14:textId="37F389C1" w:rsidR="00ED47E6" w:rsidRDefault="00ED47E6" w:rsidP="002A6C74">
      <w:r>
        <w:t>Presiding officer:</w:t>
      </w:r>
      <w:r w:rsidR="005C3E2C">
        <w:t xml:space="preserve"> </w:t>
      </w:r>
      <w:r w:rsidR="005C3E2C" w:rsidRPr="005C3E2C">
        <w:t>Rachel Sakata, Transportation Strategies Section Manager</w:t>
      </w:r>
    </w:p>
    <w:p w14:paraId="725E7F52" w14:textId="3B49D9BE" w:rsidR="00ED47E6" w:rsidRDefault="00ED47E6" w:rsidP="002A6C74">
      <w:r>
        <w:t>The presiding officer convened the hearing, summarized procedures for the hearing, and explained that DEQ was recording the hearing. The presiding officer asked people who wanted to present verbal comments to indicate their intent to present comments</w:t>
      </w:r>
      <w:r w:rsidR="00125759">
        <w:t xml:space="preserve"> through the online </w:t>
      </w:r>
      <w:r w:rsidR="00721358">
        <w:t>platform</w:t>
      </w:r>
      <w:r>
        <w:t>. The presiding officer advised all attending parties interested in receiving future information about the rulemaking to sign up for GovDelivery email notices.</w:t>
      </w:r>
    </w:p>
    <w:p w14:paraId="02AC1ACA" w14:textId="45CFCFA6" w:rsidR="00ED47E6" w:rsidRDefault="00ED47E6" w:rsidP="002A6C74">
      <w:r>
        <w:t>As Oregon Administrative Rule 137-001-0030 requires, the presiding officer summarized the content of the rulemaking notice</w:t>
      </w:r>
      <w:r w:rsidR="00E41F21">
        <w:t xml:space="preserve"> </w:t>
      </w:r>
      <w:r w:rsidR="00E41F21" w:rsidRPr="00E41F21">
        <w:t>given under </w:t>
      </w:r>
      <w:hyperlink r:id="rId50" w:tgtFrame="_blank" w:history="1">
        <w:r w:rsidR="00E41F21" w:rsidRPr="00E41F21">
          <w:rPr>
            <w:rStyle w:val="Hyperlink"/>
          </w:rPr>
          <w:t>ORS 183.335</w:t>
        </w:r>
      </w:hyperlink>
      <w:r>
        <w:t>.</w:t>
      </w:r>
    </w:p>
    <w:p w14:paraId="2E889451" w14:textId="1B3326F7" w:rsidR="00ED47E6" w:rsidRDefault="00E00B02" w:rsidP="002A6C74">
      <w:r w:rsidRPr="00721358">
        <w:rPr>
          <w:rStyle w:val="instructionsChar"/>
          <w:b w:val="0"/>
          <w:bCs/>
          <w:color w:val="auto"/>
        </w:rPr>
        <w:t>Approximately 12</w:t>
      </w:r>
      <w:r w:rsidR="00ED47E6" w:rsidRPr="00721358">
        <w:t xml:space="preserve"> people attended </w:t>
      </w:r>
      <w:r w:rsidRPr="00721358">
        <w:t>the online hearing</w:t>
      </w:r>
      <w:r w:rsidR="00ED47E6" w:rsidRPr="00721358">
        <w:t xml:space="preserve">. </w:t>
      </w:r>
      <w:r w:rsidRPr="00721358">
        <w:t>Two</w:t>
      </w:r>
      <w:r w:rsidR="00ED47E6" w:rsidRPr="00721358">
        <w:t xml:space="preserve"> people commented orally and </w:t>
      </w:r>
      <w:r w:rsidR="008A2D56" w:rsidRPr="00721358">
        <w:t>there were no</w:t>
      </w:r>
      <w:r w:rsidR="00ED47E6" w:rsidRPr="00721358">
        <w:t xml:space="preserve"> </w:t>
      </w:r>
      <w:r w:rsidR="008A2D56" w:rsidRPr="00721358">
        <w:t xml:space="preserve">written </w:t>
      </w:r>
      <w:r w:rsidR="00ED47E6" w:rsidRPr="00721358">
        <w:t xml:space="preserve">comments </w:t>
      </w:r>
      <w:r w:rsidR="008A2D56" w:rsidRPr="00721358">
        <w:t xml:space="preserve">submitted </w:t>
      </w:r>
      <w:r w:rsidR="00ED47E6" w:rsidRPr="00721358">
        <w:t>at the hearing.</w:t>
      </w:r>
    </w:p>
    <w:p w14:paraId="35B4C298" w14:textId="77777777" w:rsidR="00013AAF" w:rsidRPr="00721358" w:rsidRDefault="00013AAF" w:rsidP="002A6C74"/>
    <w:p w14:paraId="1A6EE755" w14:textId="1D465D89" w:rsidR="00013AAF" w:rsidRDefault="00013AAF" w:rsidP="00013AAF">
      <w:pPr>
        <w:pStyle w:val="Heading4"/>
      </w:pPr>
      <w:r>
        <w:t>Hearing 2</w:t>
      </w:r>
    </w:p>
    <w:p w14:paraId="2BAD786E" w14:textId="7D44AF53" w:rsidR="00013AAF" w:rsidRDefault="00013AAF" w:rsidP="00013AAF">
      <w:r>
        <w:t xml:space="preserve">Date: </w:t>
      </w:r>
      <w:r w:rsidR="00EC2F9A" w:rsidRPr="00EC2F9A">
        <w:t>Monday, Feb. 23, 2026</w:t>
      </w:r>
    </w:p>
    <w:p w14:paraId="38F1D18E" w14:textId="77777777" w:rsidR="00013AAF" w:rsidRDefault="00013AAF" w:rsidP="00013AAF">
      <w:r>
        <w:t xml:space="preserve">Place: </w:t>
      </w:r>
      <w:r w:rsidRPr="00074AC0">
        <w:t>Online</w:t>
      </w:r>
    </w:p>
    <w:p w14:paraId="3000F3E7" w14:textId="2C66A064" w:rsidR="00013AAF" w:rsidRDefault="00013AAF" w:rsidP="00013AAF">
      <w:r>
        <w:t xml:space="preserve">Start time: </w:t>
      </w:r>
      <w:r w:rsidR="00EC2F9A" w:rsidRPr="00EC2F9A">
        <w:t>6:39 p.m.</w:t>
      </w:r>
    </w:p>
    <w:p w14:paraId="2F99AB0D" w14:textId="10CE6239" w:rsidR="00013AAF" w:rsidRDefault="00013AAF" w:rsidP="00013AAF">
      <w:r>
        <w:t xml:space="preserve">End time: </w:t>
      </w:r>
      <w:r w:rsidR="001B5F67" w:rsidRPr="001B5F67">
        <w:t>6:47 p.m.</w:t>
      </w:r>
    </w:p>
    <w:p w14:paraId="3543EC29" w14:textId="77777777" w:rsidR="00013AAF" w:rsidRDefault="00013AAF" w:rsidP="00013AAF">
      <w:r>
        <w:t xml:space="preserve">Presiding officer: </w:t>
      </w:r>
      <w:r w:rsidRPr="005C3E2C">
        <w:t>Rachel Sakata, Transportation Strategies Section Manager</w:t>
      </w:r>
    </w:p>
    <w:p w14:paraId="4FB52010" w14:textId="77777777" w:rsidR="00013AAF" w:rsidRDefault="00013AAF" w:rsidP="00013AAF">
      <w:r>
        <w:t>The presiding officer convened the hearing, summarized procedures for the hearing, and explained that DEQ was recording the hearing. The presiding officer asked people who wanted to present verbal comments to indicate their intent to present comments through the online platform. The presiding officer advised all attending parties interested in receiving future information about the rulemaking to sign up for GovDelivery email notices.</w:t>
      </w:r>
    </w:p>
    <w:p w14:paraId="729BD708" w14:textId="77777777" w:rsidR="00013AAF" w:rsidRDefault="00013AAF" w:rsidP="00013AAF">
      <w:r>
        <w:lastRenderedPageBreak/>
        <w:t xml:space="preserve">As Oregon Administrative Rule 137-001-0030 requires, the presiding officer summarized the content of the rulemaking notice </w:t>
      </w:r>
      <w:r w:rsidRPr="00E41F21">
        <w:t>given under </w:t>
      </w:r>
      <w:hyperlink r:id="rId51" w:tgtFrame="_blank" w:history="1">
        <w:r w:rsidRPr="00E41F21">
          <w:rPr>
            <w:rStyle w:val="Hyperlink"/>
          </w:rPr>
          <w:t>ORS 183.335</w:t>
        </w:r>
      </w:hyperlink>
      <w:r>
        <w:t>.</w:t>
      </w:r>
    </w:p>
    <w:p w14:paraId="5F954A36" w14:textId="57D0227A" w:rsidR="00013AAF" w:rsidRPr="00721358" w:rsidRDefault="00013AAF" w:rsidP="00013AAF">
      <w:r w:rsidRPr="00721358">
        <w:rPr>
          <w:rStyle w:val="instructionsChar"/>
          <w:b w:val="0"/>
          <w:bCs/>
          <w:color w:val="auto"/>
        </w:rPr>
        <w:t xml:space="preserve">Approximately </w:t>
      </w:r>
      <w:r w:rsidR="1123C77E" w:rsidRPr="5ADB3238">
        <w:rPr>
          <w:rStyle w:val="instructionsChar"/>
          <w:b w:val="0"/>
          <w:color w:val="auto"/>
        </w:rPr>
        <w:t>eight</w:t>
      </w:r>
      <w:r w:rsidRPr="00721358">
        <w:t xml:space="preserve"> people attended the online hearing. </w:t>
      </w:r>
      <w:r w:rsidR="001B5F67">
        <w:t>One person</w:t>
      </w:r>
      <w:r w:rsidRPr="00721358">
        <w:t xml:space="preserve"> commented orally and there were no written comments submitted at the hearing.</w:t>
      </w:r>
    </w:p>
    <w:p w14:paraId="0BD8CE7B" w14:textId="77777777" w:rsidR="00721358" w:rsidRDefault="00721358" w:rsidP="002A6C74"/>
    <w:p w14:paraId="37BBCED4" w14:textId="52B9E18B" w:rsidR="002A6C74" w:rsidRDefault="002A6C74">
      <w:pPr>
        <w:spacing w:after="160"/>
      </w:pPr>
    </w:p>
    <w:p w14:paraId="556013D4" w14:textId="77777777" w:rsidR="00AF53AD" w:rsidRDefault="00AF53AD">
      <w:pPr>
        <w:spacing w:after="160"/>
      </w:pPr>
    </w:p>
    <w:p w14:paraId="3EAE8453" w14:textId="77777777" w:rsidR="00AF53AD" w:rsidRDefault="00AF53AD">
      <w:pPr>
        <w:spacing w:after="160"/>
      </w:pPr>
    </w:p>
    <w:p w14:paraId="6B1A2449" w14:textId="77777777" w:rsidR="00AF53AD" w:rsidRDefault="00AF53AD">
      <w:pPr>
        <w:spacing w:after="160"/>
      </w:pPr>
    </w:p>
    <w:p w14:paraId="62C3751B" w14:textId="77777777" w:rsidR="00AF53AD" w:rsidRDefault="00AF53AD">
      <w:pPr>
        <w:spacing w:after="160"/>
      </w:pPr>
    </w:p>
    <w:p w14:paraId="15BE7411" w14:textId="77777777" w:rsidR="00AF53AD" w:rsidRDefault="00AF53AD">
      <w:pPr>
        <w:spacing w:after="160"/>
      </w:pPr>
    </w:p>
    <w:p w14:paraId="6B9E47C5" w14:textId="77777777" w:rsidR="00AF53AD" w:rsidRDefault="00AF53AD">
      <w:pPr>
        <w:spacing w:after="160"/>
      </w:pPr>
    </w:p>
    <w:p w14:paraId="6C7F317D" w14:textId="77777777" w:rsidR="00AF53AD" w:rsidRDefault="00AF53AD">
      <w:pPr>
        <w:spacing w:after="160"/>
      </w:pPr>
    </w:p>
    <w:p w14:paraId="01908094" w14:textId="77777777" w:rsidR="00AF53AD" w:rsidRDefault="00AF53AD">
      <w:pPr>
        <w:spacing w:after="160"/>
      </w:pPr>
    </w:p>
    <w:p w14:paraId="7B72C4AB" w14:textId="77777777" w:rsidR="00AF53AD" w:rsidRDefault="00AF53AD">
      <w:pPr>
        <w:spacing w:after="160"/>
      </w:pPr>
    </w:p>
    <w:p w14:paraId="233D9A64" w14:textId="77777777" w:rsidR="00AF53AD" w:rsidRDefault="00AF53AD">
      <w:pPr>
        <w:spacing w:after="160"/>
      </w:pPr>
    </w:p>
    <w:p w14:paraId="4A294CEA" w14:textId="77777777" w:rsidR="00AF53AD" w:rsidRDefault="00AF53AD">
      <w:pPr>
        <w:spacing w:after="160"/>
      </w:pPr>
    </w:p>
    <w:p w14:paraId="33EFA83D" w14:textId="77777777" w:rsidR="00AF53AD" w:rsidRDefault="00AF53AD">
      <w:pPr>
        <w:spacing w:after="160"/>
      </w:pPr>
    </w:p>
    <w:p w14:paraId="046AA50C" w14:textId="77777777" w:rsidR="00AF53AD" w:rsidRDefault="00AF53AD">
      <w:pPr>
        <w:spacing w:after="160"/>
      </w:pPr>
    </w:p>
    <w:p w14:paraId="191792BC" w14:textId="77777777" w:rsidR="00AF53AD" w:rsidRDefault="00AF53AD">
      <w:pPr>
        <w:spacing w:after="160"/>
      </w:pPr>
    </w:p>
    <w:p w14:paraId="7BEA5812" w14:textId="77777777" w:rsidR="00AF53AD" w:rsidRDefault="00AF53AD">
      <w:pPr>
        <w:spacing w:after="160"/>
      </w:pPr>
    </w:p>
    <w:p w14:paraId="4A33E76F" w14:textId="77777777" w:rsidR="00AF53AD" w:rsidRDefault="00AF53AD">
      <w:pPr>
        <w:spacing w:after="160"/>
      </w:pPr>
    </w:p>
    <w:p w14:paraId="297030D9" w14:textId="77777777" w:rsidR="00AF53AD" w:rsidRDefault="00AF53AD">
      <w:pPr>
        <w:spacing w:after="160"/>
      </w:pPr>
    </w:p>
    <w:p w14:paraId="150C6DC1" w14:textId="77777777" w:rsidR="00AF53AD" w:rsidRDefault="00AF53AD">
      <w:pPr>
        <w:spacing w:after="160"/>
      </w:pPr>
    </w:p>
    <w:p w14:paraId="1E01B590" w14:textId="77777777" w:rsidR="00AF53AD" w:rsidRDefault="00AF53AD">
      <w:pPr>
        <w:spacing w:after="160"/>
      </w:pPr>
    </w:p>
    <w:p w14:paraId="414A7B09" w14:textId="77777777" w:rsidR="00ED47E6" w:rsidRDefault="00ED47E6" w:rsidP="002A6C74">
      <w:pPr>
        <w:pStyle w:val="Heading1"/>
      </w:pPr>
      <w:bookmarkStart w:id="69" w:name="_Toc226361765"/>
      <w:r>
        <w:lastRenderedPageBreak/>
        <w:t>Summary of public comments and DEQ responses</w:t>
      </w:r>
      <w:bookmarkEnd w:id="69"/>
    </w:p>
    <w:p w14:paraId="615EDFEF" w14:textId="77777777" w:rsidR="00ED47E6" w:rsidRDefault="00ED47E6" w:rsidP="002A6C74">
      <w:pPr>
        <w:pStyle w:val="Heading2"/>
      </w:pPr>
      <w:bookmarkStart w:id="70" w:name="_Toc226361766"/>
      <w:r>
        <w:t>Public comment period</w:t>
      </w:r>
      <w:bookmarkEnd w:id="70"/>
    </w:p>
    <w:p w14:paraId="172CC208" w14:textId="75756919" w:rsidR="00ED47E6" w:rsidRDefault="00ED47E6" w:rsidP="002A6C74">
      <w:r>
        <w:t xml:space="preserve">DEQ accepted public comment on the proposed rulemaking from </w:t>
      </w:r>
      <w:r w:rsidR="0049436E">
        <w:rPr>
          <w:rFonts w:cs="Arial"/>
        </w:rPr>
        <w:t>Jan. 20</w:t>
      </w:r>
      <w:r w:rsidR="0049436E" w:rsidRPr="000D091D">
        <w:rPr>
          <w:rFonts w:cs="Arial"/>
          <w:szCs w:val="22"/>
        </w:rPr>
        <w:t>, 202</w:t>
      </w:r>
      <w:r w:rsidR="0049436E">
        <w:rPr>
          <w:rFonts w:cs="Arial"/>
        </w:rPr>
        <w:t>6</w:t>
      </w:r>
      <w:r w:rsidR="0049436E" w:rsidRPr="000D091D">
        <w:rPr>
          <w:rFonts w:cs="Arial"/>
          <w:szCs w:val="22"/>
        </w:rPr>
        <w:t xml:space="preserve">, until 4 p.m. on </w:t>
      </w:r>
      <w:r w:rsidR="0049436E">
        <w:rPr>
          <w:rFonts w:cs="Arial"/>
        </w:rPr>
        <w:t>Feb. 25</w:t>
      </w:r>
      <w:r w:rsidR="0049436E" w:rsidRPr="000D091D">
        <w:rPr>
          <w:rFonts w:cs="Arial"/>
          <w:szCs w:val="22"/>
        </w:rPr>
        <w:t>, 202</w:t>
      </w:r>
      <w:r w:rsidR="0049436E">
        <w:rPr>
          <w:rFonts w:cs="Arial"/>
        </w:rPr>
        <w:t>6</w:t>
      </w:r>
      <w:r>
        <w:t>.</w:t>
      </w:r>
    </w:p>
    <w:p w14:paraId="7D0BC5DA" w14:textId="3D01EE74" w:rsidR="00ED47E6" w:rsidRDefault="00ED47E6" w:rsidP="002A6C74">
      <w:r>
        <w:t xml:space="preserve">For public comments received by the close of the public comment period, the table </w:t>
      </w:r>
      <w:r w:rsidR="603C76EF">
        <w:t>at the end of this section</w:t>
      </w:r>
      <w:r>
        <w:t xml:space="preserve"> organizes comments into </w:t>
      </w:r>
      <w:r w:rsidR="005B098D" w:rsidRPr="00A9288D">
        <w:t>24</w:t>
      </w:r>
      <w:r w:rsidRPr="002A6C74">
        <w:rPr>
          <w:color w:val="BF4E14" w:themeColor="accent2" w:themeShade="BF"/>
        </w:rPr>
        <w:t xml:space="preserve"> </w:t>
      </w:r>
      <w:r>
        <w:t>categories with cross references to the commenter number. DEQ’s response follows the summary. Original comments are on file with DEQ.</w:t>
      </w:r>
    </w:p>
    <w:p w14:paraId="379E5E83" w14:textId="7242D54E" w:rsidR="00ED47E6" w:rsidRDefault="00ED47E6" w:rsidP="002A6C74">
      <w:r>
        <w:t>DEQ changed the proposed rules in response to comments described in the response sections below</w:t>
      </w:r>
      <w:r w:rsidR="69B163EB">
        <w:t>.</w:t>
      </w:r>
    </w:p>
    <w:p w14:paraId="368EF952" w14:textId="63CB8D1E" w:rsidR="00ED47E6" w:rsidRDefault="00ED47E6" w:rsidP="002A6C74">
      <w:pPr>
        <w:pStyle w:val="Heading3"/>
      </w:pPr>
      <w:bookmarkStart w:id="71" w:name="_Toc226361767"/>
      <w:r>
        <w:t>Comment 1</w:t>
      </w:r>
      <w:r w:rsidR="00F95904">
        <w:t xml:space="preserve">: </w:t>
      </w:r>
      <w:r w:rsidR="00F95904" w:rsidRPr="56DB1F18">
        <w:t>EV</w:t>
      </w:r>
      <w:r w:rsidR="0C795B12" w:rsidRPr="56DB1F18">
        <w:t xml:space="preserve"> Rebates 2026 - OCVRP and ZERO Fleet</w:t>
      </w:r>
      <w:r w:rsidR="00BB5528">
        <w:t xml:space="preserve"> - General support</w:t>
      </w:r>
      <w:bookmarkEnd w:id="71"/>
      <w:r>
        <w:t xml:space="preserve"> </w:t>
      </w:r>
    </w:p>
    <w:p w14:paraId="597C7B09" w14:textId="41D4AB3F" w:rsidR="00ED47E6" w:rsidRDefault="00ED47E6" w:rsidP="56DB1F18">
      <w:pPr>
        <w:rPr>
          <w:rFonts w:cs="Arial"/>
        </w:rPr>
      </w:pPr>
      <w:r>
        <w:t xml:space="preserve">DEQ received </w:t>
      </w:r>
      <w:r w:rsidR="2C6404AB">
        <w:t>six</w:t>
      </w:r>
      <w:r>
        <w:t xml:space="preserve"> comments in this category from commenters </w:t>
      </w:r>
      <w:r w:rsidR="0073523C">
        <w:t>3, 8, 13, 16</w:t>
      </w:r>
      <w:r w:rsidR="2C73686A">
        <w:t>, 22</w:t>
      </w:r>
      <w:r w:rsidR="194FDE1C">
        <w:t xml:space="preserve"> and 24</w:t>
      </w:r>
      <w:r w:rsidR="009B793F">
        <w:t xml:space="preserve"> </w:t>
      </w:r>
      <w:r w:rsidR="009B793F" w:rsidRPr="56DB1F18">
        <w:rPr>
          <w:rFonts w:cs="Arial"/>
        </w:rPr>
        <w:t>expressing general support for the proposed rule changes or the programs included within the proposed rule.</w:t>
      </w:r>
      <w:r w:rsidR="245A3C4B" w:rsidRPr="56DB1F18">
        <w:rPr>
          <w:rFonts w:cs="Arial"/>
        </w:rPr>
        <w:t xml:space="preserve"> </w:t>
      </w:r>
      <w:r w:rsidR="5A13FE5D" w:rsidRPr="56DB1F18">
        <w:rPr>
          <w:rFonts w:cs="Arial"/>
        </w:rPr>
        <w:t>Commenters 16</w:t>
      </w:r>
      <w:r w:rsidR="57E96A75" w:rsidRPr="56DB1F18">
        <w:rPr>
          <w:rFonts w:cs="Arial"/>
        </w:rPr>
        <w:t xml:space="preserve">, </w:t>
      </w:r>
      <w:r w:rsidR="5A13FE5D" w:rsidRPr="56DB1F18">
        <w:rPr>
          <w:rFonts w:cs="Arial"/>
        </w:rPr>
        <w:t xml:space="preserve">22 </w:t>
      </w:r>
      <w:r w:rsidR="2DB48AF1" w:rsidRPr="56DB1F18">
        <w:rPr>
          <w:rFonts w:cs="Arial"/>
        </w:rPr>
        <w:t xml:space="preserve">and 24 </w:t>
      </w:r>
      <w:r w:rsidR="5A13FE5D" w:rsidRPr="56DB1F18">
        <w:rPr>
          <w:rFonts w:cs="Arial"/>
        </w:rPr>
        <w:t xml:space="preserve">highlighted support of the rulemaking goals of enhancing clarity and conserving </w:t>
      </w:r>
      <w:r w:rsidR="5F30A881" w:rsidRPr="56DB1F18">
        <w:rPr>
          <w:rFonts w:cs="Arial"/>
        </w:rPr>
        <w:t>funds.</w:t>
      </w:r>
    </w:p>
    <w:p w14:paraId="7DCF2A5E" w14:textId="1FCC120A" w:rsidR="00ED47E6" w:rsidRPr="008B471C" w:rsidRDefault="00ED47E6" w:rsidP="002A6C74">
      <w:pPr>
        <w:pStyle w:val="Heading4"/>
      </w:pPr>
      <w:r w:rsidRPr="008B471C">
        <w:t>Response</w:t>
      </w:r>
    </w:p>
    <w:p w14:paraId="67F16EFA" w14:textId="676A542E" w:rsidR="00332E9D" w:rsidRDefault="008B471C" w:rsidP="00332E9D">
      <w:pPr>
        <w:rPr>
          <w:rFonts w:cs="Arial"/>
          <w:kern w:val="0"/>
          <w14:ligatures w14:val="none"/>
        </w:rPr>
      </w:pPr>
      <w:r w:rsidRPr="5ADB3238">
        <w:rPr>
          <w:rFonts w:cs="Arial"/>
          <w:kern w:val="0"/>
          <w14:ligatures w14:val="none"/>
        </w:rPr>
        <w:t>DEQ acknowledges these comments and thanks the comment</w:t>
      </w:r>
      <w:r w:rsidR="01A6195C" w:rsidRPr="5ADB3238">
        <w:rPr>
          <w:rFonts w:cs="Arial"/>
          <w:kern w:val="0"/>
          <w14:ligatures w14:val="none"/>
        </w:rPr>
        <w:t>e</w:t>
      </w:r>
      <w:r w:rsidRPr="5ADB3238">
        <w:rPr>
          <w:rFonts w:cs="Arial"/>
          <w:kern w:val="0"/>
          <w14:ligatures w14:val="none"/>
        </w:rPr>
        <w:t>rs for their input and support.</w:t>
      </w:r>
      <w:r w:rsidR="00F95904" w:rsidRPr="5ADB3238">
        <w:rPr>
          <w:rFonts w:cs="Arial"/>
          <w:kern w:val="0"/>
          <w14:ligatures w14:val="none"/>
        </w:rPr>
        <w:t xml:space="preserve"> The proposed rules aim to conserve funding and enhance program and rebate decision-making processes.</w:t>
      </w:r>
    </w:p>
    <w:p w14:paraId="7E0C715E" w14:textId="77777777" w:rsidR="008B471C" w:rsidRPr="00332E9D" w:rsidRDefault="008B471C" w:rsidP="00332E9D"/>
    <w:p w14:paraId="0F996158" w14:textId="298E8E09" w:rsidR="00ED47E6" w:rsidRDefault="00ED47E6" w:rsidP="002A6C74">
      <w:pPr>
        <w:pStyle w:val="Heading3"/>
      </w:pPr>
      <w:bookmarkStart w:id="72" w:name="_Toc226361768"/>
      <w:r>
        <w:t>Comment 2</w:t>
      </w:r>
      <w:r w:rsidR="00F95904">
        <w:t xml:space="preserve">: </w:t>
      </w:r>
      <w:r w:rsidR="00F95904" w:rsidRPr="56DB1F18">
        <w:t>EV</w:t>
      </w:r>
      <w:r w:rsidR="5EDCE310" w:rsidRPr="56DB1F18">
        <w:t xml:space="preserve"> Rebates 2026 - OCVRP and ZERO Fleet</w:t>
      </w:r>
      <w:r w:rsidR="00236BE5">
        <w:t xml:space="preserve"> - General opposition</w:t>
      </w:r>
      <w:bookmarkEnd w:id="72"/>
    </w:p>
    <w:p w14:paraId="299FE04A" w14:textId="752C4A57" w:rsidR="00ED47E6" w:rsidRDefault="5C1CDC57" w:rsidP="002A6C74">
      <w:r>
        <w:t xml:space="preserve">DEQ received </w:t>
      </w:r>
      <w:r w:rsidR="362F4F01">
        <w:t>one</w:t>
      </w:r>
      <w:r>
        <w:t xml:space="preserve"> comment in this category from commenter</w:t>
      </w:r>
      <w:r w:rsidR="17828BD7">
        <w:t xml:space="preserve"> 14</w:t>
      </w:r>
      <w:r w:rsidR="29C82B2A">
        <w:t xml:space="preserve"> </w:t>
      </w:r>
      <w:r w:rsidR="29C82B2A" w:rsidRPr="5ADB3238">
        <w:rPr>
          <w:rFonts w:cs="Arial"/>
        </w:rPr>
        <w:t>expressing general opposition for the proposed rule changes or the programs included within the proposed rule. The commenter expressed opposition to subsidizing electric vehicles.</w:t>
      </w:r>
    </w:p>
    <w:p w14:paraId="5602EAA8" w14:textId="501EB0D9" w:rsidR="00ED47E6" w:rsidRDefault="00ED47E6" w:rsidP="002A6C74">
      <w:pPr>
        <w:pStyle w:val="Heading4"/>
      </w:pPr>
      <w:r w:rsidRPr="00984066">
        <w:t>Response</w:t>
      </w:r>
    </w:p>
    <w:p w14:paraId="6001E34F" w14:textId="1625A07B" w:rsidR="005E62D4" w:rsidRDefault="008B471C" w:rsidP="005E62D4">
      <w:r w:rsidRPr="5ADB3238">
        <w:rPr>
          <w:rFonts w:cs="Arial"/>
          <w:kern w:val="0"/>
          <w14:ligatures w14:val="none"/>
        </w:rPr>
        <w:t>DEQ acknowledges these comments and thanks the comment</w:t>
      </w:r>
      <w:r w:rsidR="03803EF6" w:rsidRPr="5ADB3238">
        <w:rPr>
          <w:rFonts w:cs="Arial"/>
          <w:kern w:val="0"/>
          <w14:ligatures w14:val="none"/>
        </w:rPr>
        <w:t>e</w:t>
      </w:r>
      <w:r w:rsidRPr="5ADB3238">
        <w:rPr>
          <w:rFonts w:cs="Arial"/>
          <w:kern w:val="0"/>
          <w14:ligatures w14:val="none"/>
        </w:rPr>
        <w:t xml:space="preserve">r for their input. </w:t>
      </w:r>
      <w:r w:rsidR="00E36F06" w:rsidRPr="5ADB3238">
        <w:rPr>
          <w:rFonts w:cs="Arial"/>
          <w:kern w:val="0"/>
          <w14:ligatures w14:val="none"/>
        </w:rPr>
        <w:t xml:space="preserve">DEQ notes </w:t>
      </w:r>
      <w:r w:rsidR="00E36F06" w:rsidRPr="007B745F">
        <w:t xml:space="preserve">the program </w:t>
      </w:r>
      <w:r w:rsidR="00432981">
        <w:t>was established</w:t>
      </w:r>
      <w:r w:rsidR="00E36F06" w:rsidRPr="007B745F">
        <w:t xml:space="preserve"> by House Bill 2017</w:t>
      </w:r>
      <w:r w:rsidR="00E36F06">
        <w:t xml:space="preserve"> (2017)</w:t>
      </w:r>
      <w:r w:rsidR="00E36F06" w:rsidRPr="007B745F">
        <w:t xml:space="preserve">, which </w:t>
      </w:r>
      <w:r w:rsidR="00E36F06">
        <w:t>require</w:t>
      </w:r>
      <w:r w:rsidR="00432981">
        <w:t>d</w:t>
      </w:r>
      <w:r w:rsidR="00E36F06">
        <w:t xml:space="preserve"> DEQ to establish</w:t>
      </w:r>
      <w:r w:rsidR="00E36F06" w:rsidRPr="007B745F">
        <w:t xml:space="preserve"> a zero emission and electric vehicle rebate program for the state.  The purpose of the program is to reduce air pollution and advance progress toward the state’s greenhouse gas reduction goals.</w:t>
      </w:r>
    </w:p>
    <w:p w14:paraId="3B0A6D3E" w14:textId="77777777" w:rsidR="00984066" w:rsidRPr="005E62D4" w:rsidRDefault="00984066" w:rsidP="005E62D4"/>
    <w:p w14:paraId="4AD0AAC6" w14:textId="77777777" w:rsidR="00AD470A" w:rsidRPr="00AD470A" w:rsidRDefault="00AD470A" w:rsidP="00AD470A"/>
    <w:p w14:paraId="3CAFE448" w14:textId="49D16145" w:rsidR="00E34664" w:rsidRPr="006A18BF" w:rsidRDefault="00E34664" w:rsidP="00E34664">
      <w:pPr>
        <w:pStyle w:val="Heading3"/>
      </w:pPr>
      <w:bookmarkStart w:id="73" w:name="_Toc226361769"/>
      <w:r w:rsidRPr="006A18BF">
        <w:lastRenderedPageBreak/>
        <w:t xml:space="preserve">Comment </w:t>
      </w:r>
      <w:r w:rsidR="00F95904">
        <w:t>3</w:t>
      </w:r>
      <w:r w:rsidRPr="006A18BF">
        <w:t xml:space="preserve">: </w:t>
      </w:r>
      <w:r w:rsidR="00EE0010" w:rsidRPr="006A18BF">
        <w:t>OCVRP – Supports rebate amount decreases</w:t>
      </w:r>
      <w:bookmarkEnd w:id="73"/>
      <w:r w:rsidRPr="006A18BF">
        <w:t xml:space="preserve"> </w:t>
      </w:r>
    </w:p>
    <w:p w14:paraId="42D56C15" w14:textId="3C8A3DD0" w:rsidR="00E34664" w:rsidRPr="006A18BF" w:rsidRDefault="00E34664" w:rsidP="56DB1F18">
      <w:pPr>
        <w:rPr>
          <w:rFonts w:cs="Arial"/>
        </w:rPr>
      </w:pPr>
      <w:r>
        <w:t xml:space="preserve">DEQ received </w:t>
      </w:r>
      <w:r w:rsidR="29766D6C">
        <w:t>four</w:t>
      </w:r>
      <w:r>
        <w:t xml:space="preserve"> comments in this category from commenters </w:t>
      </w:r>
      <w:r w:rsidR="006A18BF">
        <w:t>16</w:t>
      </w:r>
      <w:r w:rsidR="2FCB8327">
        <w:t xml:space="preserve">, </w:t>
      </w:r>
      <w:r w:rsidR="004C0977">
        <w:t>21</w:t>
      </w:r>
      <w:r w:rsidR="0471A85B">
        <w:t>, 22</w:t>
      </w:r>
      <w:r>
        <w:t xml:space="preserve"> </w:t>
      </w:r>
      <w:r w:rsidR="1022D03C">
        <w:t xml:space="preserve">and 24 </w:t>
      </w:r>
      <w:r w:rsidR="006A18BF" w:rsidRPr="56DB1F18">
        <w:rPr>
          <w:rFonts w:cs="Arial"/>
        </w:rPr>
        <w:t>supporting the proposed rebate decreases to the Charge Ahead Rebate for used vehicles and the Standard Rebate. Commenter 21 recommends further decreasing all rebates; suggesting that all Standard Rebates decrease to the minimum allowed by law, reducing the Charge Ahead Rebate for new battery electric vehicles to $6,500, the Charge Ahead Rebate for new plug-in hybrid vehicles to $4,500 and the Charge Ahead Rebate for used battery electric vehicles to $2,500.</w:t>
      </w:r>
      <w:r w:rsidR="09F5A389" w:rsidRPr="56DB1F18">
        <w:rPr>
          <w:rFonts w:cs="Arial"/>
        </w:rPr>
        <w:t xml:space="preserve"> Commenter 22 welcomed prioritizing funding toward the Charge Ahead Rebate to better support low-income households.</w:t>
      </w:r>
      <w:r w:rsidR="116E83A1" w:rsidRPr="56DB1F18">
        <w:rPr>
          <w:rFonts w:cs="Arial"/>
        </w:rPr>
        <w:t xml:space="preserve"> Commenter 24 supported right-sizing OCVRP rebates.</w:t>
      </w:r>
    </w:p>
    <w:p w14:paraId="10A037E0" w14:textId="77777777" w:rsidR="00E34664" w:rsidRPr="00356B99" w:rsidRDefault="00E34664" w:rsidP="00E34664">
      <w:pPr>
        <w:pStyle w:val="Heading4"/>
      </w:pPr>
      <w:r w:rsidRPr="00356B99">
        <w:t>Response</w:t>
      </w:r>
    </w:p>
    <w:p w14:paraId="38DEFB57" w14:textId="12B0ED84" w:rsidR="00E34664" w:rsidRDefault="00C7160C" w:rsidP="56DB1F18">
      <w:pPr>
        <w:rPr>
          <w:rFonts w:cs="Arial"/>
          <w:kern w:val="0"/>
          <w14:ligatures w14:val="none"/>
        </w:rPr>
      </w:pPr>
      <w:r w:rsidRPr="56DB1F18">
        <w:rPr>
          <w:rFonts w:cs="Arial"/>
          <w:kern w:val="0"/>
          <w14:ligatures w14:val="none"/>
        </w:rPr>
        <w:t>DEQ acknowledges these comments and thanks the comment</w:t>
      </w:r>
      <w:r w:rsidR="22A47543" w:rsidRPr="56DB1F18">
        <w:rPr>
          <w:rFonts w:cs="Arial"/>
          <w:kern w:val="0"/>
          <w14:ligatures w14:val="none"/>
        </w:rPr>
        <w:t>e</w:t>
      </w:r>
      <w:r w:rsidRPr="56DB1F18">
        <w:rPr>
          <w:rFonts w:cs="Arial"/>
          <w:kern w:val="0"/>
          <w14:ligatures w14:val="none"/>
        </w:rPr>
        <w:t>rs for their input and support.</w:t>
      </w:r>
      <w:r w:rsidR="000F533C" w:rsidRPr="56DB1F18">
        <w:rPr>
          <w:rFonts w:cs="Arial"/>
          <w:kern w:val="0"/>
          <w14:ligatures w14:val="none"/>
        </w:rPr>
        <w:t xml:space="preserve"> </w:t>
      </w:r>
      <w:r w:rsidR="4698130D" w:rsidRPr="56DB1F18">
        <w:rPr>
          <w:rFonts w:cs="Arial"/>
        </w:rPr>
        <w:t xml:space="preserve">DEQ agrees with the commenters that adjusting rebate amounts can help </w:t>
      </w:r>
      <w:r w:rsidR="2C523DFC" w:rsidRPr="56DB1F18">
        <w:rPr>
          <w:rFonts w:cs="Arial"/>
        </w:rPr>
        <w:t>conserve program</w:t>
      </w:r>
      <w:r w:rsidR="4698130D" w:rsidRPr="56DB1F18">
        <w:rPr>
          <w:rFonts w:cs="Arial"/>
        </w:rPr>
        <w:t xml:space="preserve"> funds. While the proposed rule originally included rebate adjustments for Charge Ahead used vehicles and Standard rebates, DEQ </w:t>
      </w:r>
      <w:r w:rsidR="04949F2D" w:rsidRPr="56DB1F18">
        <w:rPr>
          <w:rFonts w:cs="Arial"/>
        </w:rPr>
        <w:t xml:space="preserve">requested public comment on adjustments to Charge Ahead Rebates for PHEVS. In considering these comments, DEQ </w:t>
      </w:r>
      <w:r w:rsidR="4698130D" w:rsidRPr="56DB1F18">
        <w:rPr>
          <w:rFonts w:cs="Arial"/>
        </w:rPr>
        <w:t xml:space="preserve">determined that lowering rebate amounts for Charge Ahead new and used plug-in hybrid vehicles would help sustain funding for vehicles that provide the greatest emission reduction benefit (full BEV). </w:t>
      </w:r>
      <w:r w:rsidR="000F533C" w:rsidRPr="56DB1F18">
        <w:rPr>
          <w:rFonts w:cs="Arial"/>
          <w:kern w:val="0"/>
          <w14:ligatures w14:val="none"/>
        </w:rPr>
        <w:t xml:space="preserve">DEQ has </w:t>
      </w:r>
      <w:r w:rsidR="009E4AB6" w:rsidRPr="56DB1F18">
        <w:rPr>
          <w:rFonts w:cs="Arial"/>
          <w:kern w:val="0"/>
          <w14:ligatures w14:val="none"/>
        </w:rPr>
        <w:t xml:space="preserve">updated the proposed Charge Ahead Rebate amounts for </w:t>
      </w:r>
      <w:r w:rsidR="00892CE5" w:rsidRPr="56DB1F18">
        <w:rPr>
          <w:rFonts w:cs="Arial"/>
          <w:kern w:val="0"/>
          <w14:ligatures w14:val="none"/>
        </w:rPr>
        <w:t xml:space="preserve">new and used plug-in hybrid vehicles to </w:t>
      </w:r>
      <w:r w:rsidR="04F874DD" w:rsidRPr="56DB1F18">
        <w:rPr>
          <w:rFonts w:cs="Arial"/>
          <w:kern w:val="0"/>
          <w14:ligatures w14:val="none"/>
        </w:rPr>
        <w:t>address the issue raised by</w:t>
      </w:r>
      <w:r w:rsidR="00892CE5" w:rsidRPr="56DB1F18">
        <w:rPr>
          <w:rFonts w:cs="Arial"/>
          <w:kern w:val="0"/>
          <w14:ligatures w14:val="none"/>
        </w:rPr>
        <w:t xml:space="preserve"> commenter </w:t>
      </w:r>
      <w:r w:rsidR="00356B99" w:rsidRPr="56DB1F18">
        <w:rPr>
          <w:rFonts w:cs="Arial"/>
          <w:kern w:val="0"/>
          <w14:ligatures w14:val="none"/>
        </w:rPr>
        <w:t>21.</w:t>
      </w:r>
    </w:p>
    <w:p w14:paraId="1ECB8164" w14:textId="77777777" w:rsidR="00F97745" w:rsidRPr="00BB2F6F" w:rsidRDefault="00F97745" w:rsidP="00E34664">
      <w:pPr>
        <w:rPr>
          <w:highlight w:val="yellow"/>
        </w:rPr>
      </w:pPr>
    </w:p>
    <w:p w14:paraId="5D5D1B49" w14:textId="1712CED1" w:rsidR="00E34664" w:rsidRPr="00DE6BDF" w:rsidRDefault="00E34664" w:rsidP="00E34664">
      <w:pPr>
        <w:pStyle w:val="Heading3"/>
      </w:pPr>
      <w:bookmarkStart w:id="74" w:name="_Toc226361770"/>
      <w:r w:rsidRPr="00DE6BDF">
        <w:t xml:space="preserve">Comment </w:t>
      </w:r>
      <w:r w:rsidR="009C2689">
        <w:t>4</w:t>
      </w:r>
      <w:r w:rsidRPr="00DE6BDF">
        <w:t xml:space="preserve">: </w:t>
      </w:r>
      <w:r w:rsidR="00313270" w:rsidRPr="00DE6BDF">
        <w:t>OCVRP – Opposes rebate amount decreases</w:t>
      </w:r>
      <w:bookmarkEnd w:id="74"/>
    </w:p>
    <w:p w14:paraId="57ECA1D3" w14:textId="48C2F9EF" w:rsidR="00E34664" w:rsidRPr="00DE6BDF" w:rsidRDefault="00E34664" w:rsidP="00E34664">
      <w:r w:rsidRPr="00DE6BDF">
        <w:t xml:space="preserve">DEQ received </w:t>
      </w:r>
      <w:r w:rsidR="35B5039D">
        <w:t>five</w:t>
      </w:r>
      <w:r w:rsidR="007B69DC" w:rsidRPr="00DE6BDF">
        <w:t xml:space="preserve"> </w:t>
      </w:r>
      <w:r w:rsidRPr="00DE6BDF">
        <w:t>comment</w:t>
      </w:r>
      <w:r w:rsidR="00313270" w:rsidRPr="00DE6BDF">
        <w:t>s</w:t>
      </w:r>
      <w:r w:rsidRPr="00DE6BDF">
        <w:t xml:space="preserve"> in this category from commenter</w:t>
      </w:r>
      <w:r w:rsidR="005E1467" w:rsidRPr="00DE6BDF">
        <w:t>s</w:t>
      </w:r>
      <w:r w:rsidRPr="00DE6BDF">
        <w:t xml:space="preserve"> </w:t>
      </w:r>
      <w:r w:rsidR="009704C2">
        <w:t xml:space="preserve">2, </w:t>
      </w:r>
      <w:r w:rsidR="005E1467" w:rsidRPr="00DE6BDF">
        <w:t>3, 7, 9</w:t>
      </w:r>
      <w:r w:rsidR="003A26BD">
        <w:t xml:space="preserve"> and</w:t>
      </w:r>
      <w:r w:rsidR="005E1467" w:rsidRPr="00DE6BDF">
        <w:t xml:space="preserve"> 10</w:t>
      </w:r>
      <w:r w:rsidRPr="00DE6BDF">
        <w:t xml:space="preserve"> </w:t>
      </w:r>
      <w:r w:rsidR="00DE6BDF" w:rsidRPr="5ADB3238">
        <w:rPr>
          <w:rFonts w:cs="Arial"/>
        </w:rPr>
        <w:t>encouraging DEQ to consider maintaining the current rebate amounts for one or more rebate types. Commenter 2 expressed general opposition to the proposed decrease to the PHEV rebate amount within the proposed rule. Commenter 3 notes the Standard Rebate at $2,500 is a reasonable amount and should be maintained. Commenters 7, 9 and 10 encourage DEQ to consider maintaining the current $5,000 Charge Ahead Rebate amount for used zero-emission vehicles. Commenter 10 also suggests the rebate amount should be used to cover the registration costs rather than the vehicle price.</w:t>
      </w:r>
    </w:p>
    <w:p w14:paraId="2C09017B" w14:textId="77777777" w:rsidR="00E34664" w:rsidRPr="00EF3FEB" w:rsidRDefault="00E34664" w:rsidP="00E34664">
      <w:pPr>
        <w:pStyle w:val="Heading4"/>
      </w:pPr>
      <w:r w:rsidRPr="00EF3FEB">
        <w:t>Response</w:t>
      </w:r>
    </w:p>
    <w:p w14:paraId="6B670D22" w14:textId="708247A0" w:rsidR="008814C4" w:rsidRPr="008814C4" w:rsidRDefault="00B93774" w:rsidP="008814C4">
      <w:pPr>
        <w:rPr>
          <w:rFonts w:cs="Arial"/>
          <w:b/>
          <w:bCs/>
          <w:kern w:val="0"/>
          <w14:ligatures w14:val="none"/>
        </w:rPr>
      </w:pPr>
      <w:r w:rsidRPr="56DB1F18">
        <w:rPr>
          <w:rFonts w:cs="Arial"/>
          <w:kern w:val="0"/>
          <w14:ligatures w14:val="none"/>
        </w:rPr>
        <w:t>DEQ acknowledges these comments and thanks the comment</w:t>
      </w:r>
      <w:r w:rsidR="72281038" w:rsidRPr="56DB1F18">
        <w:rPr>
          <w:rFonts w:cs="Arial"/>
          <w:kern w:val="0"/>
          <w14:ligatures w14:val="none"/>
        </w:rPr>
        <w:t>e</w:t>
      </w:r>
      <w:r w:rsidRPr="56DB1F18">
        <w:rPr>
          <w:rFonts w:cs="Arial"/>
          <w:kern w:val="0"/>
          <w14:ligatures w14:val="none"/>
        </w:rPr>
        <w:t>rs for their input.</w:t>
      </w:r>
      <w:r w:rsidR="00B11193" w:rsidRPr="56DB1F18">
        <w:rPr>
          <w:rFonts w:cs="Arial"/>
          <w:kern w:val="0"/>
          <w14:ligatures w14:val="none"/>
        </w:rPr>
        <w:t xml:space="preserve"> </w:t>
      </w:r>
    </w:p>
    <w:p w14:paraId="5CF0E635" w14:textId="77777777" w:rsidR="008814C4" w:rsidRPr="008814C4" w:rsidRDefault="008814C4" w:rsidP="008814C4">
      <w:pPr>
        <w:rPr>
          <w:rFonts w:cs="Arial"/>
          <w:kern w:val="0"/>
          <w14:ligatures w14:val="none"/>
        </w:rPr>
      </w:pPr>
      <w:r w:rsidRPr="008814C4">
        <w:rPr>
          <w:rFonts w:cs="Arial"/>
          <w:kern w:val="0"/>
          <w14:ligatures w14:val="none"/>
        </w:rPr>
        <w:t>In developing the proposed rule, DEQ considered the importance of maintaining meaningful incentives while addressing the program’s ongoing funding constraints. Participation in OCVRP has consistently exceeded available funding, resulting in short program open periods and limited access for many potential applicants. Adjusting rebate amounts is one of the primary tools available to extend program availability and allow more participants to access the program over time.</w:t>
      </w:r>
    </w:p>
    <w:p w14:paraId="708A9FC0" w14:textId="41958371" w:rsidR="00E34664" w:rsidRDefault="008814C4" w:rsidP="56DB1F18">
      <w:pPr>
        <w:rPr>
          <w:rFonts w:cs="Arial"/>
          <w:kern w:val="0"/>
          <w14:ligatures w14:val="none"/>
        </w:rPr>
      </w:pPr>
      <w:r w:rsidRPr="008814C4">
        <w:rPr>
          <w:rFonts w:cs="Arial"/>
          <w:kern w:val="0"/>
          <w14:ligatures w14:val="none"/>
        </w:rPr>
        <w:t xml:space="preserve">DEQ also considered feedback from the Rule Advisory Committee in which members expressed interest in moderate adjustments to rebate levels to improve long-term financial sustainability. </w:t>
      </w:r>
      <w:r w:rsidRPr="008814C4">
        <w:rPr>
          <w:rFonts w:cs="Arial"/>
          <w:kern w:val="0"/>
          <w14:ligatures w14:val="none"/>
        </w:rPr>
        <w:lastRenderedPageBreak/>
        <w:t>The committee also emphasized prioritizing limited rebate funds toward vehicles that deliver the greatest greenhouse gas reductions and toward households that rely most on financial assistance to access zero-emission vehicles.</w:t>
      </w:r>
    </w:p>
    <w:p w14:paraId="5C788A11" w14:textId="21B6A595" w:rsidR="00AD470A" w:rsidRPr="00AD470A" w:rsidRDefault="00AD470A" w:rsidP="00AD470A">
      <w:pPr>
        <w:rPr>
          <w:highlight w:val="yellow"/>
        </w:rPr>
      </w:pPr>
    </w:p>
    <w:p w14:paraId="1D787138" w14:textId="1E30ED7F" w:rsidR="00E34664" w:rsidRPr="006759F6" w:rsidRDefault="00E34664" w:rsidP="00E34664">
      <w:pPr>
        <w:pStyle w:val="Heading3"/>
      </w:pPr>
      <w:bookmarkStart w:id="75" w:name="_Toc226361771"/>
      <w:r w:rsidRPr="006759F6">
        <w:t xml:space="preserve">Comment </w:t>
      </w:r>
      <w:r w:rsidR="008814C4">
        <w:t>5</w:t>
      </w:r>
      <w:r w:rsidRPr="006759F6">
        <w:t xml:space="preserve">: </w:t>
      </w:r>
      <w:r w:rsidR="00934797" w:rsidRPr="006759F6">
        <w:t>OCVRP – Individual rebate cap</w:t>
      </w:r>
      <w:bookmarkEnd w:id="75"/>
      <w:r w:rsidRPr="006759F6">
        <w:t xml:space="preserve"> </w:t>
      </w:r>
    </w:p>
    <w:p w14:paraId="3D46735B" w14:textId="64A8B342" w:rsidR="006759F6" w:rsidRDefault="00E34664" w:rsidP="006759F6">
      <w:pPr>
        <w:tabs>
          <w:tab w:val="left" w:pos="810"/>
        </w:tabs>
        <w:rPr>
          <w:rFonts w:cs="Arial"/>
        </w:rPr>
      </w:pPr>
      <w:r>
        <w:t xml:space="preserve">DEQ received </w:t>
      </w:r>
      <w:r w:rsidR="3C7E7ADF">
        <w:t>seven</w:t>
      </w:r>
      <w:r>
        <w:t xml:space="preserve"> comments in this category from commenters </w:t>
      </w:r>
      <w:r w:rsidR="00EF76EE">
        <w:t>4, 5, 7, 9, 16, 19</w:t>
      </w:r>
      <w:r w:rsidR="734B0378">
        <w:t>,</w:t>
      </w:r>
      <w:r w:rsidR="008814C4">
        <w:t xml:space="preserve"> </w:t>
      </w:r>
      <w:r w:rsidR="00EF76EE">
        <w:t>20</w:t>
      </w:r>
      <w:r w:rsidR="2BC139D3">
        <w:t>, 23</w:t>
      </w:r>
      <w:r>
        <w:t xml:space="preserve"> </w:t>
      </w:r>
      <w:r w:rsidR="006759F6" w:rsidRPr="56DB1F18">
        <w:rPr>
          <w:rFonts w:cs="Arial"/>
        </w:rPr>
        <w:t>in response to the proposed rebate cap on individuals. There were no comments that opposed a limit on the number of rebates an individual may receive. The comments received suggested a wide range of considerations, summarized below:</w:t>
      </w:r>
    </w:p>
    <w:p w14:paraId="52C437FC" w14:textId="77777777" w:rsidR="006759F6" w:rsidRDefault="006759F6" w:rsidP="006759F6">
      <w:pPr>
        <w:pStyle w:val="ListParagraph"/>
        <w:numPr>
          <w:ilvl w:val="0"/>
          <w:numId w:val="17"/>
        </w:numPr>
        <w:tabs>
          <w:tab w:val="left" w:pos="810"/>
        </w:tabs>
        <w:spacing w:after="160"/>
        <w:rPr>
          <w:rFonts w:cs="Arial"/>
          <w:szCs w:val="22"/>
        </w:rPr>
      </w:pPr>
      <w:r w:rsidRPr="00405417">
        <w:rPr>
          <w:rFonts w:cs="Arial"/>
          <w:szCs w:val="22"/>
        </w:rPr>
        <w:t xml:space="preserve">Commenter 16 generally supported DEQ’s proposed rebate limits. </w:t>
      </w:r>
    </w:p>
    <w:p w14:paraId="4CA494CA" w14:textId="77777777" w:rsidR="006759F6" w:rsidRDefault="006759F6" w:rsidP="006759F6">
      <w:pPr>
        <w:pStyle w:val="ListParagraph"/>
        <w:numPr>
          <w:ilvl w:val="0"/>
          <w:numId w:val="17"/>
        </w:numPr>
        <w:tabs>
          <w:tab w:val="left" w:pos="810"/>
        </w:tabs>
        <w:spacing w:after="160"/>
        <w:rPr>
          <w:rFonts w:cs="Arial"/>
          <w:szCs w:val="22"/>
        </w:rPr>
      </w:pPr>
      <w:r w:rsidRPr="00405417">
        <w:rPr>
          <w:rFonts w:cs="Arial"/>
          <w:szCs w:val="22"/>
        </w:rPr>
        <w:t xml:space="preserve">Commenter 5 proposed a more restrictive cap and encouraged to DEQ consider one rebate per individual for the lifetime of the program. </w:t>
      </w:r>
    </w:p>
    <w:p w14:paraId="60ECE5D8" w14:textId="77777777" w:rsidR="006759F6" w:rsidRDefault="006759F6" w:rsidP="006759F6">
      <w:pPr>
        <w:pStyle w:val="ListParagraph"/>
        <w:numPr>
          <w:ilvl w:val="0"/>
          <w:numId w:val="17"/>
        </w:numPr>
        <w:tabs>
          <w:tab w:val="left" w:pos="810"/>
        </w:tabs>
        <w:spacing w:after="160"/>
        <w:rPr>
          <w:rFonts w:cs="Arial"/>
          <w:szCs w:val="22"/>
        </w:rPr>
      </w:pPr>
      <w:r w:rsidRPr="000D091D">
        <w:rPr>
          <w:rFonts w:cs="Arial"/>
          <w:szCs w:val="22"/>
        </w:rPr>
        <w:t xml:space="preserve">Commenter 4 would like the </w:t>
      </w:r>
      <w:r>
        <w:rPr>
          <w:rFonts w:cs="Arial"/>
          <w:szCs w:val="22"/>
        </w:rPr>
        <w:t>limit increased</w:t>
      </w:r>
      <w:r w:rsidRPr="000D091D">
        <w:rPr>
          <w:rFonts w:cs="Arial"/>
          <w:szCs w:val="22"/>
        </w:rPr>
        <w:t xml:space="preserve"> for lower-income individuals, noting many people use the vehicles for rideshare and that increases the miles and wear on the vehicle.</w:t>
      </w:r>
    </w:p>
    <w:p w14:paraId="7B3A6ED9" w14:textId="77777777" w:rsidR="006759F6" w:rsidRDefault="006759F6" w:rsidP="006759F6">
      <w:pPr>
        <w:pStyle w:val="ListParagraph"/>
        <w:numPr>
          <w:ilvl w:val="0"/>
          <w:numId w:val="17"/>
        </w:numPr>
        <w:tabs>
          <w:tab w:val="left" w:pos="810"/>
        </w:tabs>
        <w:spacing w:after="160"/>
        <w:rPr>
          <w:rFonts w:cs="Arial"/>
          <w:szCs w:val="22"/>
        </w:rPr>
      </w:pPr>
      <w:r w:rsidRPr="00405417">
        <w:rPr>
          <w:rFonts w:cs="Arial"/>
          <w:szCs w:val="22"/>
        </w:rPr>
        <w:t>Commenter 9 recommended DEQ only limit the cap on those who purchase an EV, as it would make leasing additional EVs more difficult</w:t>
      </w:r>
      <w:r>
        <w:rPr>
          <w:rFonts w:cs="Arial"/>
          <w:szCs w:val="22"/>
        </w:rPr>
        <w:t xml:space="preserve"> and encouraged DEQ to consider the thousands of used EVs coming off lease in the next few years</w:t>
      </w:r>
      <w:r w:rsidRPr="00405417">
        <w:rPr>
          <w:rFonts w:cs="Arial"/>
          <w:szCs w:val="22"/>
        </w:rPr>
        <w:t xml:space="preserve">. </w:t>
      </w:r>
    </w:p>
    <w:p w14:paraId="0BBB83CE" w14:textId="77777777" w:rsidR="006759F6" w:rsidRDefault="006759F6" w:rsidP="006759F6">
      <w:pPr>
        <w:pStyle w:val="ListParagraph"/>
        <w:numPr>
          <w:ilvl w:val="0"/>
          <w:numId w:val="17"/>
        </w:numPr>
        <w:tabs>
          <w:tab w:val="left" w:pos="810"/>
        </w:tabs>
        <w:spacing w:after="160"/>
        <w:rPr>
          <w:rFonts w:cs="Arial"/>
          <w:szCs w:val="22"/>
        </w:rPr>
      </w:pPr>
      <w:r w:rsidRPr="000D091D">
        <w:rPr>
          <w:rFonts w:cs="Arial"/>
          <w:szCs w:val="22"/>
        </w:rPr>
        <w:t>Commenter 7 noted that used vehicles need to be replaced more frequently and recommends limiting the number of rebates to two rebates every two years.</w:t>
      </w:r>
    </w:p>
    <w:p w14:paraId="0B8E8CCE" w14:textId="77777777" w:rsidR="006759F6" w:rsidRDefault="006759F6" w:rsidP="006759F6">
      <w:pPr>
        <w:pStyle w:val="ListParagraph"/>
        <w:numPr>
          <w:ilvl w:val="0"/>
          <w:numId w:val="17"/>
        </w:numPr>
        <w:tabs>
          <w:tab w:val="left" w:pos="810"/>
        </w:tabs>
        <w:spacing w:after="160"/>
        <w:rPr>
          <w:rFonts w:cs="Arial"/>
          <w:szCs w:val="22"/>
        </w:rPr>
      </w:pPr>
      <w:r w:rsidRPr="00405417">
        <w:rPr>
          <w:rFonts w:cs="Arial"/>
          <w:szCs w:val="22"/>
        </w:rPr>
        <w:t>Commenter 19 suggests one rebate every 4-5 years.</w:t>
      </w:r>
    </w:p>
    <w:p w14:paraId="309C3D66" w14:textId="0824EC6B" w:rsidR="00E34664" w:rsidRPr="006759F6" w:rsidRDefault="006759F6" w:rsidP="56DB1F18">
      <w:pPr>
        <w:pStyle w:val="ListParagraph"/>
        <w:numPr>
          <w:ilvl w:val="0"/>
          <w:numId w:val="17"/>
        </w:numPr>
        <w:tabs>
          <w:tab w:val="left" w:pos="810"/>
        </w:tabs>
        <w:spacing w:after="160"/>
        <w:rPr>
          <w:rFonts w:cs="Arial"/>
        </w:rPr>
      </w:pPr>
      <w:r w:rsidRPr="56DB1F18">
        <w:rPr>
          <w:rFonts w:cs="Arial"/>
        </w:rPr>
        <w:t>Commenter 20 suggested a limit of three per 10 years.</w:t>
      </w:r>
    </w:p>
    <w:p w14:paraId="3109B339" w14:textId="56560F36" w:rsidR="0D226C98" w:rsidRDefault="0D226C98" w:rsidP="56DB1F18">
      <w:pPr>
        <w:pStyle w:val="ListParagraph"/>
        <w:numPr>
          <w:ilvl w:val="0"/>
          <w:numId w:val="17"/>
        </w:numPr>
        <w:tabs>
          <w:tab w:val="left" w:pos="810"/>
        </w:tabs>
        <w:spacing w:after="160"/>
        <w:rPr>
          <w:rFonts w:cs="Arial"/>
        </w:rPr>
      </w:pPr>
      <w:r w:rsidRPr="56DB1F18">
        <w:rPr>
          <w:rFonts w:cs="Arial"/>
        </w:rPr>
        <w:t>Commenter 23 shared concerns about a rebate limit</w:t>
      </w:r>
      <w:r w:rsidR="68FF4DD2" w:rsidRPr="56DB1F18">
        <w:rPr>
          <w:rFonts w:cs="Arial"/>
        </w:rPr>
        <w:t xml:space="preserve"> because it may impact lower income individuals because lower cost EVs have lower ranges and may need repairs</w:t>
      </w:r>
      <w:r w:rsidR="32A1F88A" w:rsidRPr="56DB1F18">
        <w:rPr>
          <w:rFonts w:cs="Arial"/>
        </w:rPr>
        <w:t xml:space="preserve"> and multiple rebates may provide flexibility for these needs.</w:t>
      </w:r>
    </w:p>
    <w:p w14:paraId="74EC338A" w14:textId="77777777" w:rsidR="00E34664" w:rsidRPr="00944504" w:rsidRDefault="00E34664" w:rsidP="00E34664">
      <w:pPr>
        <w:pStyle w:val="Heading4"/>
      </w:pPr>
      <w:r w:rsidRPr="00944504">
        <w:t>Response</w:t>
      </w:r>
    </w:p>
    <w:p w14:paraId="24822BE5" w14:textId="185C6E74" w:rsidR="00E34664" w:rsidRPr="00944504" w:rsidRDefault="00944504" w:rsidP="008814C4">
      <w:pPr>
        <w:pStyle w:val="PlainText"/>
        <w:spacing w:after="120" w:line="278" w:lineRule="auto"/>
        <w:rPr>
          <w:rFonts w:ascii="Arial" w:hAnsi="Arial" w:cs="Arial"/>
        </w:rPr>
      </w:pPr>
      <w:r w:rsidRPr="56DB1F18">
        <w:rPr>
          <w:rFonts w:ascii="Arial" w:hAnsi="Arial" w:cs="Arial"/>
        </w:rPr>
        <w:t xml:space="preserve">DEQ acknowledges these comments and thanks the </w:t>
      </w:r>
      <w:r w:rsidRPr="5ADB3238">
        <w:rPr>
          <w:rFonts w:ascii="Arial" w:hAnsi="Arial" w:cs="Arial"/>
        </w:rPr>
        <w:t>comment</w:t>
      </w:r>
      <w:r w:rsidR="020F1E71" w:rsidRPr="5ADB3238">
        <w:rPr>
          <w:rFonts w:ascii="Arial" w:hAnsi="Arial" w:cs="Arial"/>
        </w:rPr>
        <w:t>e</w:t>
      </w:r>
      <w:r w:rsidRPr="5ADB3238">
        <w:rPr>
          <w:rFonts w:ascii="Arial" w:hAnsi="Arial" w:cs="Arial"/>
        </w:rPr>
        <w:t>rs</w:t>
      </w:r>
      <w:r w:rsidRPr="56DB1F18">
        <w:rPr>
          <w:rFonts w:ascii="Arial" w:hAnsi="Arial" w:cs="Arial"/>
        </w:rPr>
        <w:t xml:space="preserve"> for their input. The agency carefully considered these perspectives and sought a balanced path forward.</w:t>
      </w:r>
      <w:r w:rsidR="00667660" w:rsidRPr="56DB1F18">
        <w:rPr>
          <w:rFonts w:ascii="Arial" w:hAnsi="Arial" w:cs="Arial"/>
        </w:rPr>
        <w:t xml:space="preserve"> Limiting the number of rebates may help keep the program open longer and enable more individuals to access it. </w:t>
      </w:r>
      <w:r w:rsidR="00D11894" w:rsidRPr="56DB1F18">
        <w:rPr>
          <w:rFonts w:ascii="Arial" w:hAnsi="Arial" w:cs="Arial"/>
        </w:rPr>
        <w:t>Allowing two total rebates over the lifetime of the program</w:t>
      </w:r>
      <w:r w:rsidR="00CC38F1" w:rsidRPr="56DB1F18">
        <w:rPr>
          <w:rFonts w:ascii="Arial" w:hAnsi="Arial" w:cs="Arial"/>
        </w:rPr>
        <w:t xml:space="preserve"> creates a limit, </w:t>
      </w:r>
      <w:r w:rsidR="00604B42" w:rsidRPr="56DB1F18">
        <w:rPr>
          <w:rFonts w:ascii="Arial" w:hAnsi="Arial" w:cs="Arial"/>
        </w:rPr>
        <w:t>while maintaining some ability for individuals to apply more than once to explore vehicle options</w:t>
      </w:r>
      <w:r w:rsidR="00193BC6" w:rsidRPr="56DB1F18">
        <w:rPr>
          <w:rFonts w:ascii="Arial" w:hAnsi="Arial" w:cs="Arial"/>
        </w:rPr>
        <w:t>. A national study done by Plug-in America</w:t>
      </w:r>
      <w:r w:rsidR="005E2281" w:rsidRPr="56DB1F18">
        <w:rPr>
          <w:rFonts w:ascii="Arial" w:hAnsi="Arial" w:cs="Arial"/>
        </w:rPr>
        <w:t xml:space="preserve"> demonstrated that 90% of those EV owners that responded </w:t>
      </w:r>
      <w:r w:rsidR="00050B23" w:rsidRPr="56DB1F18">
        <w:rPr>
          <w:rFonts w:ascii="Arial" w:hAnsi="Arial" w:cs="Arial"/>
        </w:rPr>
        <w:t xml:space="preserve">stated it would be likely or very likely that their next vehicle would be an EV. Creating a limit of </w:t>
      </w:r>
      <w:r w:rsidR="00050B23" w:rsidRPr="5ADB3238">
        <w:rPr>
          <w:rFonts w:ascii="Arial" w:hAnsi="Arial" w:cs="Arial"/>
        </w:rPr>
        <w:t>t</w:t>
      </w:r>
      <w:r w:rsidR="1EA5F098" w:rsidRPr="5ADB3238">
        <w:rPr>
          <w:rFonts w:ascii="Arial" w:hAnsi="Arial" w:cs="Arial"/>
        </w:rPr>
        <w:t>w</w:t>
      </w:r>
      <w:r w:rsidR="00050B23" w:rsidRPr="5ADB3238">
        <w:rPr>
          <w:rFonts w:ascii="Arial" w:hAnsi="Arial" w:cs="Arial"/>
        </w:rPr>
        <w:t>o</w:t>
      </w:r>
      <w:r w:rsidR="00050B23" w:rsidRPr="56DB1F18">
        <w:rPr>
          <w:rFonts w:ascii="Arial" w:hAnsi="Arial" w:cs="Arial"/>
        </w:rPr>
        <w:t xml:space="preserve"> rebates per individual </w:t>
      </w:r>
      <w:r w:rsidR="007547E7" w:rsidRPr="56DB1F18">
        <w:rPr>
          <w:rFonts w:ascii="Arial" w:hAnsi="Arial" w:cs="Arial"/>
        </w:rPr>
        <w:t>conserves funds while allowing for some flexibility.</w:t>
      </w:r>
    </w:p>
    <w:p w14:paraId="30DAC649" w14:textId="77777777" w:rsidR="00E34664" w:rsidRPr="00BB2F6F" w:rsidRDefault="00E34664">
      <w:pPr>
        <w:rPr>
          <w:highlight w:val="yellow"/>
        </w:rPr>
      </w:pPr>
    </w:p>
    <w:p w14:paraId="53F5AD0B" w14:textId="647EB855" w:rsidR="00E34664" w:rsidRPr="00D31E01" w:rsidRDefault="00E34664" w:rsidP="00E34664">
      <w:pPr>
        <w:pStyle w:val="Heading3"/>
      </w:pPr>
      <w:bookmarkStart w:id="76" w:name="_Toc226361772"/>
      <w:r w:rsidRPr="00D31E01">
        <w:t xml:space="preserve">Comment </w:t>
      </w:r>
      <w:r w:rsidR="008814C4">
        <w:t>6</w:t>
      </w:r>
      <w:r w:rsidRPr="00D31E01">
        <w:t xml:space="preserve">: </w:t>
      </w:r>
      <w:r w:rsidR="007E115D" w:rsidRPr="00D31E01">
        <w:t>OCVRP - Used vehicle range considerations</w:t>
      </w:r>
      <w:bookmarkEnd w:id="76"/>
    </w:p>
    <w:p w14:paraId="12FC66A0" w14:textId="27D688E5" w:rsidR="00E34664" w:rsidRPr="00D31E01" w:rsidRDefault="00E34664" w:rsidP="00E34664">
      <w:r w:rsidRPr="00D31E01">
        <w:t xml:space="preserve">DEQ received </w:t>
      </w:r>
      <w:r w:rsidR="12A44CD3">
        <w:t>one</w:t>
      </w:r>
      <w:r w:rsidRPr="00D31E01">
        <w:t xml:space="preserve"> comment in this category from commenter 1</w:t>
      </w:r>
      <w:r w:rsidR="007E115D" w:rsidRPr="00D31E01">
        <w:t>0</w:t>
      </w:r>
      <w:r w:rsidRPr="00D31E01">
        <w:t xml:space="preserve"> </w:t>
      </w:r>
      <w:r w:rsidR="00D31E01" w:rsidRPr="5ADB3238">
        <w:rPr>
          <w:rFonts w:cs="Arial"/>
        </w:rPr>
        <w:t>encouraging DEQ consider how the 75-mile battery electric range requirement proposed in the used qualifying vehicle definition will be determined.</w:t>
      </w:r>
    </w:p>
    <w:p w14:paraId="77F9C39D" w14:textId="77777777" w:rsidR="00E34664" w:rsidRPr="006F701D" w:rsidRDefault="00E34664" w:rsidP="00E34664">
      <w:pPr>
        <w:pStyle w:val="Heading4"/>
      </w:pPr>
      <w:r w:rsidRPr="006F701D">
        <w:lastRenderedPageBreak/>
        <w:t>Response</w:t>
      </w:r>
    </w:p>
    <w:p w14:paraId="63A1619F" w14:textId="1C643B18" w:rsidR="00AA2033" w:rsidRPr="00AA2033" w:rsidRDefault="00AA2033" w:rsidP="56DB1F18">
      <w:pPr>
        <w:rPr>
          <w:highlight w:val="yellow"/>
        </w:rPr>
      </w:pPr>
      <w:r w:rsidRPr="56DB1F18">
        <w:rPr>
          <w:rFonts w:cs="Arial"/>
          <w:kern w:val="0"/>
          <w14:ligatures w14:val="none"/>
        </w:rPr>
        <w:t>DEQ acknowledges these comments and thanks the comment</w:t>
      </w:r>
      <w:r w:rsidR="0A6B3BCF" w:rsidRPr="56DB1F18">
        <w:rPr>
          <w:rFonts w:cs="Arial"/>
          <w:kern w:val="0"/>
          <w14:ligatures w14:val="none"/>
        </w:rPr>
        <w:t>e</w:t>
      </w:r>
      <w:r w:rsidRPr="56DB1F18">
        <w:rPr>
          <w:rFonts w:cs="Arial"/>
          <w:kern w:val="0"/>
          <w14:ligatures w14:val="none"/>
        </w:rPr>
        <w:t>r for their input.</w:t>
      </w:r>
      <w:r w:rsidR="006E228F" w:rsidRPr="56DB1F18">
        <w:rPr>
          <w:rFonts w:cs="Arial"/>
          <w:kern w:val="0"/>
          <w14:ligatures w14:val="none"/>
        </w:rPr>
        <w:t xml:space="preserve"> </w:t>
      </w:r>
      <w:r w:rsidR="001C1F3F" w:rsidRPr="56DB1F18">
        <w:rPr>
          <w:rFonts w:cs="Arial"/>
          <w:kern w:val="0"/>
          <w14:ligatures w14:val="none"/>
        </w:rPr>
        <w:t xml:space="preserve"> DEQ </w:t>
      </w:r>
      <w:r w:rsidR="00B41997" w:rsidRPr="56DB1F18">
        <w:rPr>
          <w:rFonts w:cs="Arial"/>
          <w:kern w:val="0"/>
          <w14:ligatures w14:val="none"/>
        </w:rPr>
        <w:t xml:space="preserve">updated the proposed rules to create a separate requirement for used PHEVs, as this comment raised the concern that used PHEVs may not </w:t>
      </w:r>
      <w:r w:rsidR="00F81B90" w:rsidRPr="56DB1F18">
        <w:rPr>
          <w:rFonts w:cs="Arial"/>
          <w:kern w:val="0"/>
          <w14:ligatures w14:val="none"/>
        </w:rPr>
        <w:t xml:space="preserve">meet this requirement </w:t>
      </w:r>
      <w:r w:rsidR="00B86CB6" w:rsidRPr="56DB1F18">
        <w:rPr>
          <w:rFonts w:cs="Arial"/>
          <w:kern w:val="0"/>
          <w14:ligatures w14:val="none"/>
        </w:rPr>
        <w:t xml:space="preserve">and </w:t>
      </w:r>
      <w:r w:rsidR="00F81B90" w:rsidRPr="56DB1F18">
        <w:rPr>
          <w:rFonts w:cs="Arial"/>
          <w:kern w:val="0"/>
          <w14:ligatures w14:val="none"/>
        </w:rPr>
        <w:t xml:space="preserve">unintentionally </w:t>
      </w:r>
      <w:r w:rsidR="006F701D" w:rsidRPr="56DB1F18">
        <w:rPr>
          <w:rFonts w:cs="Arial"/>
          <w:kern w:val="0"/>
          <w14:ligatures w14:val="none"/>
        </w:rPr>
        <w:t>made ineligible</w:t>
      </w:r>
      <w:r w:rsidR="00B86CB6" w:rsidRPr="56DB1F18">
        <w:rPr>
          <w:rFonts w:cs="Arial"/>
          <w:kern w:val="0"/>
          <w14:ligatures w14:val="none"/>
        </w:rPr>
        <w:t>.</w:t>
      </w:r>
      <w:r w:rsidR="006F701D" w:rsidRPr="56DB1F18">
        <w:rPr>
          <w:rFonts w:cs="Arial"/>
          <w:kern w:val="0"/>
          <w14:ligatures w14:val="none"/>
        </w:rPr>
        <w:t xml:space="preserve"> A new definition for qualifying used PHEVs has been created and included in the proposed rules</w:t>
      </w:r>
      <w:r w:rsidR="77DB9D81" w:rsidRPr="56DB1F18">
        <w:rPr>
          <w:rFonts w:cs="Arial"/>
          <w:kern w:val="0"/>
          <w14:ligatures w14:val="none"/>
        </w:rPr>
        <w:t xml:space="preserve"> to address this concern</w:t>
      </w:r>
      <w:r w:rsidR="006F701D" w:rsidRPr="56DB1F18">
        <w:rPr>
          <w:rFonts w:cs="Arial"/>
          <w:kern w:val="0"/>
          <w14:ligatures w14:val="none"/>
        </w:rPr>
        <w:t>.</w:t>
      </w:r>
      <w:r w:rsidR="00B86CB6" w:rsidRPr="56DB1F18">
        <w:rPr>
          <w:rFonts w:cs="Arial"/>
          <w:kern w:val="0"/>
          <w14:ligatures w14:val="none"/>
        </w:rPr>
        <w:t xml:space="preserve"> </w:t>
      </w:r>
    </w:p>
    <w:p w14:paraId="43D266C8" w14:textId="77777777" w:rsidR="00E34664" w:rsidRPr="00BB2F6F" w:rsidRDefault="00E34664" w:rsidP="00E34664">
      <w:pPr>
        <w:rPr>
          <w:highlight w:val="yellow"/>
        </w:rPr>
      </w:pPr>
    </w:p>
    <w:p w14:paraId="79BDCD29" w14:textId="226EB561" w:rsidR="00E34664" w:rsidRPr="00A75742" w:rsidRDefault="00E34664" w:rsidP="00E34664">
      <w:pPr>
        <w:pStyle w:val="Heading3"/>
      </w:pPr>
      <w:bookmarkStart w:id="77" w:name="_Toc226361773"/>
      <w:r w:rsidRPr="00A75742">
        <w:t xml:space="preserve">Comment </w:t>
      </w:r>
      <w:r w:rsidR="00B45E5B">
        <w:t>7</w:t>
      </w:r>
      <w:r w:rsidRPr="00A75742">
        <w:t xml:space="preserve">: </w:t>
      </w:r>
      <w:r w:rsidR="007808F8" w:rsidRPr="00A75742">
        <w:t>OCVRP - Rebate reservation system</w:t>
      </w:r>
      <w:bookmarkEnd w:id="77"/>
    </w:p>
    <w:p w14:paraId="01749B2E" w14:textId="4C3BD319" w:rsidR="00E34664" w:rsidRPr="00A75742" w:rsidRDefault="00E34664" w:rsidP="00E34664">
      <w:r w:rsidRPr="00A75742">
        <w:t xml:space="preserve">DEQ received </w:t>
      </w:r>
      <w:r w:rsidR="76604CD1">
        <w:t>three</w:t>
      </w:r>
      <w:r w:rsidRPr="00A75742">
        <w:t xml:space="preserve"> comment</w:t>
      </w:r>
      <w:r w:rsidR="00DA7354" w:rsidRPr="00A75742">
        <w:t>s</w:t>
      </w:r>
      <w:r w:rsidRPr="00A75742">
        <w:t xml:space="preserve"> in this category from commenter</w:t>
      </w:r>
      <w:r w:rsidR="00AE5F33" w:rsidRPr="00A75742">
        <w:t>s</w:t>
      </w:r>
      <w:r w:rsidRPr="00A75742">
        <w:t xml:space="preserve"> </w:t>
      </w:r>
      <w:r w:rsidR="00AE5F33" w:rsidRPr="00A75742">
        <w:t>16, 19 and 21</w:t>
      </w:r>
      <w:r w:rsidRPr="00A75742">
        <w:t xml:space="preserve"> </w:t>
      </w:r>
      <w:r w:rsidR="00A75742" w:rsidRPr="5ADB3238">
        <w:rPr>
          <w:rFonts w:cs="Arial"/>
        </w:rPr>
        <w:t>responding to DEQ’s request for feedback regarding an OCVRP rebate reservation system. Commenter 16 encouraged DEQ to include interested part</w:t>
      </w:r>
      <w:r w:rsidR="00CE6B00" w:rsidRPr="5ADB3238">
        <w:rPr>
          <w:rFonts w:cs="Arial"/>
        </w:rPr>
        <w:t>ies</w:t>
      </w:r>
      <w:r w:rsidR="00A75742" w:rsidRPr="5ADB3238">
        <w:rPr>
          <w:rFonts w:cs="Arial"/>
        </w:rPr>
        <w:t xml:space="preserve"> in any rebate reservation design discussions. Commenter 19 shared concerns about the system adding barriers to participation. Commenter 21 highlighted that the program may increase administrative complexity and costs, and shift rebates to those that plan ahead from those that buy in the moment without impacting EV sales. This commenter recommended a rebate availability system for dealers to reference.</w:t>
      </w:r>
    </w:p>
    <w:p w14:paraId="0107709C" w14:textId="77777777" w:rsidR="00155EEB" w:rsidRPr="0026506A" w:rsidRDefault="00E34664" w:rsidP="00E34664">
      <w:pPr>
        <w:pStyle w:val="Heading4"/>
      </w:pPr>
      <w:r w:rsidRPr="0026506A">
        <w:t>Response</w:t>
      </w:r>
      <w:r w:rsidRPr="0026506A">
        <w:tab/>
      </w:r>
    </w:p>
    <w:p w14:paraId="396D09EE" w14:textId="3EA598D3" w:rsidR="00E13227" w:rsidRDefault="00E13227" w:rsidP="00E34664">
      <w:pPr>
        <w:pStyle w:val="Heading4"/>
        <w:rPr>
          <w:rFonts w:cs="Arial"/>
          <w:b w:val="0"/>
          <w:bCs/>
          <w:kern w:val="0"/>
          <w:sz w:val="22"/>
          <w:szCs w:val="22"/>
          <w14:ligatures w14:val="none"/>
        </w:rPr>
      </w:pPr>
      <w:r w:rsidRPr="00E13227">
        <w:rPr>
          <w:rFonts w:cs="Arial"/>
          <w:b w:val="0"/>
          <w:bCs/>
          <w:kern w:val="0"/>
          <w:sz w:val="22"/>
          <w:szCs w:val="22"/>
          <w14:ligatures w14:val="none"/>
        </w:rPr>
        <w:t xml:space="preserve">DEQ acknowledges these comments and thanks the </w:t>
      </w:r>
      <w:r w:rsidRPr="5ADB3238">
        <w:rPr>
          <w:rFonts w:cs="Arial"/>
          <w:b w:val="0"/>
          <w:kern w:val="0"/>
          <w:sz w:val="22"/>
          <w:szCs w:val="22"/>
          <w14:ligatures w14:val="none"/>
        </w:rPr>
        <w:t>comment</w:t>
      </w:r>
      <w:r w:rsidR="4B280EA6" w:rsidRPr="5ADB3238">
        <w:rPr>
          <w:rFonts w:cs="Arial"/>
          <w:b w:val="0"/>
          <w:kern w:val="0"/>
          <w:sz w:val="22"/>
          <w:szCs w:val="22"/>
          <w14:ligatures w14:val="none"/>
        </w:rPr>
        <w:t>e</w:t>
      </w:r>
      <w:r w:rsidRPr="5ADB3238">
        <w:rPr>
          <w:rFonts w:cs="Arial"/>
          <w:b w:val="0"/>
          <w:kern w:val="0"/>
          <w:sz w:val="22"/>
          <w:szCs w:val="22"/>
          <w14:ligatures w14:val="none"/>
        </w:rPr>
        <w:t>rs</w:t>
      </w:r>
      <w:r w:rsidRPr="00E13227">
        <w:rPr>
          <w:rFonts w:cs="Arial"/>
          <w:b w:val="0"/>
          <w:bCs/>
          <w:kern w:val="0"/>
          <w:sz w:val="22"/>
          <w:szCs w:val="22"/>
          <w14:ligatures w14:val="none"/>
        </w:rPr>
        <w:t xml:space="preserve"> for their input.</w:t>
      </w:r>
      <w:r w:rsidR="00C613B3">
        <w:rPr>
          <w:rFonts w:cs="Arial"/>
          <w:b w:val="0"/>
          <w:bCs/>
          <w:kern w:val="0"/>
          <w:sz w:val="22"/>
          <w:szCs w:val="22"/>
          <w14:ligatures w14:val="none"/>
        </w:rPr>
        <w:t xml:space="preserve"> Due to the complexities and concerns raised by Rule Advisory Committee members and public commenters, DEQ has not included a</w:t>
      </w:r>
      <w:r w:rsidR="0019692D">
        <w:rPr>
          <w:rFonts w:cs="Arial"/>
          <w:b w:val="0"/>
          <w:bCs/>
          <w:kern w:val="0"/>
          <w:sz w:val="22"/>
          <w:szCs w:val="22"/>
          <w14:ligatures w14:val="none"/>
        </w:rPr>
        <w:t xml:space="preserve">n OCVRP rebate reservation system. If this idea is considered in the future, interested parties will be included in the </w:t>
      </w:r>
      <w:r w:rsidR="0026506A">
        <w:rPr>
          <w:rFonts w:cs="Arial"/>
          <w:b w:val="0"/>
          <w:bCs/>
          <w:kern w:val="0"/>
          <w:sz w:val="22"/>
          <w:szCs w:val="22"/>
          <w14:ligatures w14:val="none"/>
        </w:rPr>
        <w:t>discussions regarding its development and implementation.</w:t>
      </w:r>
    </w:p>
    <w:p w14:paraId="7171DBCB" w14:textId="7C613CF9" w:rsidR="00E34664" w:rsidRPr="00E13227" w:rsidRDefault="00E34664" w:rsidP="00E34664">
      <w:pPr>
        <w:pStyle w:val="Heading4"/>
        <w:rPr>
          <w:b w:val="0"/>
          <w:bCs/>
          <w:sz w:val="22"/>
          <w:szCs w:val="22"/>
          <w:highlight w:val="yellow"/>
        </w:rPr>
      </w:pPr>
      <w:r w:rsidRPr="00E13227">
        <w:rPr>
          <w:b w:val="0"/>
          <w:bCs/>
          <w:sz w:val="22"/>
          <w:szCs w:val="22"/>
          <w:highlight w:val="yellow"/>
        </w:rPr>
        <w:t xml:space="preserve">  </w:t>
      </w:r>
    </w:p>
    <w:p w14:paraId="246BD0EF" w14:textId="58C673BE" w:rsidR="00E34664" w:rsidRPr="00B742DB" w:rsidRDefault="00E34664" w:rsidP="00E34664">
      <w:pPr>
        <w:pStyle w:val="Heading3"/>
      </w:pPr>
      <w:bookmarkStart w:id="78" w:name="_Toc226361774"/>
      <w:r>
        <w:t xml:space="preserve">Comment </w:t>
      </w:r>
      <w:r w:rsidR="00B45E5B">
        <w:t>8</w:t>
      </w:r>
      <w:r>
        <w:t xml:space="preserve">: </w:t>
      </w:r>
      <w:r w:rsidR="0F42E673" w:rsidRPr="56DB1F18">
        <w:t>EV Rebates 2026 - OCVRP and ZERO Fleet</w:t>
      </w:r>
      <w:r w:rsidR="00155EEB">
        <w:t xml:space="preserve"> Miscellaneous – Economic impacts</w:t>
      </w:r>
      <w:bookmarkEnd w:id="78"/>
    </w:p>
    <w:p w14:paraId="573B2648" w14:textId="1A3B85BF" w:rsidR="00E34664" w:rsidRPr="00B742DB" w:rsidRDefault="00E34664" w:rsidP="00E34664">
      <w:r w:rsidRPr="00B742DB">
        <w:t xml:space="preserve">DEQ received </w:t>
      </w:r>
      <w:r w:rsidR="16FDC7A0">
        <w:t>one</w:t>
      </w:r>
      <w:r w:rsidRPr="00B742DB">
        <w:t xml:space="preserve"> comment in this category from commenter</w:t>
      </w:r>
      <w:r w:rsidR="00AB43CC" w:rsidRPr="00B742DB">
        <w:t xml:space="preserve"> 11</w:t>
      </w:r>
      <w:r w:rsidRPr="00B742DB">
        <w:t xml:space="preserve"> </w:t>
      </w:r>
      <w:r w:rsidR="00B742DB" w:rsidRPr="5ADB3238">
        <w:rPr>
          <w:rFonts w:cs="Arial"/>
        </w:rPr>
        <w:t>highlighting the economic development and cost-avoidance policy potential of both rebate programs. Commenter 11 suggests that transitioning transportation fuel to electricity keeps money local while reducing the future costs of that pollution, supports efficient use of infrastructure as most EVs charger during off-peak hours and reduces local exposure to world fuel price volatility. This commenter recommends avoiding abrupt rebate reductions, focusing on program predictability and year-round availability, supporting fleet electrification and evaluating program costs against avoided future public costs.</w:t>
      </w:r>
    </w:p>
    <w:p w14:paraId="1338809C" w14:textId="77777777" w:rsidR="00E34664" w:rsidRPr="009E3F2E" w:rsidRDefault="00E34664" w:rsidP="00E34664">
      <w:pPr>
        <w:pStyle w:val="Heading4"/>
      </w:pPr>
      <w:r w:rsidRPr="009E3F2E">
        <w:t>Response</w:t>
      </w:r>
    </w:p>
    <w:p w14:paraId="2132F9C5" w14:textId="08F58324" w:rsidR="00E34664" w:rsidRPr="009E3F2E" w:rsidRDefault="007547E7" w:rsidP="00E34664">
      <w:pPr>
        <w:rPr>
          <w:rFonts w:cs="Arial"/>
          <w:kern w:val="0"/>
          <w14:ligatures w14:val="none"/>
        </w:rPr>
      </w:pPr>
      <w:r w:rsidRPr="5ADB3238">
        <w:rPr>
          <w:rFonts w:cs="Arial"/>
          <w:kern w:val="0"/>
          <w14:ligatures w14:val="none"/>
        </w:rPr>
        <w:t>DEQ acknowledges these comments and thanks the comment</w:t>
      </w:r>
      <w:r w:rsidR="4E290C04" w:rsidRPr="5ADB3238">
        <w:rPr>
          <w:rFonts w:cs="Arial"/>
          <w:kern w:val="0"/>
          <w14:ligatures w14:val="none"/>
        </w:rPr>
        <w:t>e</w:t>
      </w:r>
      <w:r w:rsidRPr="5ADB3238">
        <w:rPr>
          <w:rFonts w:cs="Arial"/>
          <w:kern w:val="0"/>
          <w14:ligatures w14:val="none"/>
        </w:rPr>
        <w:t>r for their input and support.</w:t>
      </w:r>
      <w:r w:rsidR="00CE6E6B" w:rsidRPr="5ADB3238">
        <w:rPr>
          <w:rFonts w:cs="Arial"/>
          <w:kern w:val="0"/>
          <w14:ligatures w14:val="none"/>
        </w:rPr>
        <w:t xml:space="preserve"> A key goal of the proposed rulemaking is to conserve funding</w:t>
      </w:r>
      <w:r w:rsidR="00A869E9" w:rsidRPr="5ADB3238">
        <w:rPr>
          <w:rFonts w:cs="Arial"/>
          <w:kern w:val="0"/>
          <w14:ligatures w14:val="none"/>
        </w:rPr>
        <w:t xml:space="preserve"> in an effort to maintain rebates and extend the time programs are able to remain open.</w:t>
      </w:r>
      <w:r w:rsidR="00ED55B3" w:rsidRPr="5ADB3238">
        <w:rPr>
          <w:rFonts w:cs="Arial"/>
          <w:kern w:val="0"/>
          <w14:ligatures w14:val="none"/>
        </w:rPr>
        <w:t xml:space="preserve"> Funding for these programs is determined by the </w:t>
      </w:r>
      <w:r w:rsidR="00AA2033" w:rsidRPr="5ADB3238">
        <w:rPr>
          <w:rFonts w:cs="Arial"/>
          <w:kern w:val="0"/>
          <w14:ligatures w14:val="none"/>
        </w:rPr>
        <w:t>legislature and securing additional funding is outside the scope of this rulemaking.</w:t>
      </w:r>
      <w:r w:rsidR="00ED55B3" w:rsidRPr="5ADB3238">
        <w:rPr>
          <w:rFonts w:cs="Arial"/>
          <w:kern w:val="0"/>
          <w14:ligatures w14:val="none"/>
        </w:rPr>
        <w:t xml:space="preserve"> </w:t>
      </w:r>
    </w:p>
    <w:p w14:paraId="13114F2C" w14:textId="77777777" w:rsidR="007547E7" w:rsidRPr="009E3F2E" w:rsidRDefault="007547E7" w:rsidP="00E34664"/>
    <w:p w14:paraId="3BA4C51F" w14:textId="7EEBC498" w:rsidR="00E34664" w:rsidRPr="009E3F2E" w:rsidRDefault="00E34664" w:rsidP="00E34664">
      <w:pPr>
        <w:pStyle w:val="Heading3"/>
      </w:pPr>
      <w:bookmarkStart w:id="79" w:name="_Toc226361775"/>
      <w:r>
        <w:lastRenderedPageBreak/>
        <w:t xml:space="preserve">Comment </w:t>
      </w:r>
      <w:r w:rsidR="00B45E5B">
        <w:t>9</w:t>
      </w:r>
      <w:r>
        <w:t xml:space="preserve">: </w:t>
      </w:r>
      <w:r w:rsidR="2411332B" w:rsidRPr="56DB1F18">
        <w:t>EV Rebates 2026 - OCVRP and ZERO Fleet</w:t>
      </w:r>
      <w:r w:rsidR="004102D6">
        <w:t xml:space="preserve"> 2026 Miscellaneous – Environmental Justice and public health impacts</w:t>
      </w:r>
      <w:bookmarkEnd w:id="79"/>
    </w:p>
    <w:p w14:paraId="3B2B05D6" w14:textId="4DB4BFD0" w:rsidR="00E34664" w:rsidRPr="009E3F2E" w:rsidRDefault="00E34664" w:rsidP="00E34664">
      <w:r w:rsidRPr="009E3F2E">
        <w:t xml:space="preserve">DEQ received </w:t>
      </w:r>
      <w:r w:rsidR="5A9E2F0B">
        <w:t>one</w:t>
      </w:r>
      <w:r w:rsidRPr="009E3F2E">
        <w:t xml:space="preserve"> comment in this category from commenter 1</w:t>
      </w:r>
      <w:r w:rsidR="006C1B06" w:rsidRPr="009E3F2E">
        <w:t>6</w:t>
      </w:r>
      <w:r w:rsidRPr="009E3F2E">
        <w:t xml:space="preserve"> </w:t>
      </w:r>
      <w:r w:rsidR="00C25115" w:rsidRPr="5ADB3238">
        <w:rPr>
          <w:rFonts w:cs="Arial"/>
        </w:rPr>
        <w:t>highlighting support for the proposed rules</w:t>
      </w:r>
      <w:r w:rsidR="00E90F7F" w:rsidRPr="5ADB3238">
        <w:rPr>
          <w:rFonts w:cs="Arial"/>
        </w:rPr>
        <w:t>’</w:t>
      </w:r>
      <w:r w:rsidR="00C25115" w:rsidRPr="5ADB3238">
        <w:rPr>
          <w:rFonts w:cs="Arial"/>
        </w:rPr>
        <w:t xml:space="preserve"> consideration of environmental justice and public health impacts by prioritizing low- and moderate-income households and those disproportionally impacted by diesel pollution.</w:t>
      </w:r>
    </w:p>
    <w:p w14:paraId="7C8BB8D5" w14:textId="77777777" w:rsidR="00E34664" w:rsidRPr="009E3F2E" w:rsidRDefault="00E34664" w:rsidP="00E34664">
      <w:pPr>
        <w:pStyle w:val="Heading4"/>
      </w:pPr>
      <w:r w:rsidRPr="009E3F2E">
        <w:t>Response</w:t>
      </w:r>
    </w:p>
    <w:p w14:paraId="173EB845" w14:textId="352DBB5E" w:rsidR="00E34664" w:rsidRDefault="007547E7" w:rsidP="00E34664">
      <w:pPr>
        <w:rPr>
          <w:rFonts w:cs="Arial"/>
          <w:kern w:val="0"/>
          <w14:ligatures w14:val="none"/>
        </w:rPr>
      </w:pPr>
      <w:r w:rsidRPr="5ADB3238">
        <w:rPr>
          <w:rFonts w:cs="Arial"/>
          <w:kern w:val="0"/>
          <w14:ligatures w14:val="none"/>
        </w:rPr>
        <w:t>DEQ acknowledges these comments and thanks the comment</w:t>
      </w:r>
      <w:r w:rsidR="43B6B2BD" w:rsidRPr="5ADB3238">
        <w:rPr>
          <w:rFonts w:cs="Arial"/>
          <w:kern w:val="0"/>
          <w14:ligatures w14:val="none"/>
        </w:rPr>
        <w:t>e</w:t>
      </w:r>
      <w:r w:rsidRPr="5ADB3238">
        <w:rPr>
          <w:rFonts w:cs="Arial"/>
          <w:kern w:val="0"/>
          <w14:ligatures w14:val="none"/>
        </w:rPr>
        <w:t>r for their input and support.</w:t>
      </w:r>
    </w:p>
    <w:p w14:paraId="7B07AE74" w14:textId="77777777" w:rsidR="007547E7" w:rsidRPr="00BB2F6F" w:rsidRDefault="007547E7" w:rsidP="00E34664">
      <w:pPr>
        <w:rPr>
          <w:highlight w:val="yellow"/>
        </w:rPr>
      </w:pPr>
    </w:p>
    <w:p w14:paraId="5C2FF054" w14:textId="7B5D66A2" w:rsidR="00E34664" w:rsidRPr="00AD26F5" w:rsidRDefault="00E34664" w:rsidP="00E34664">
      <w:pPr>
        <w:pStyle w:val="Heading3"/>
      </w:pPr>
      <w:bookmarkStart w:id="80" w:name="_Toc226361776"/>
      <w:r>
        <w:t xml:space="preserve">Comment </w:t>
      </w:r>
      <w:r w:rsidR="001B0224">
        <w:t>10</w:t>
      </w:r>
      <w:r>
        <w:t xml:space="preserve">: </w:t>
      </w:r>
      <w:r w:rsidR="21E54F92" w:rsidRPr="56DB1F18">
        <w:t>EV Rebates 2026 - OCVRP and ZERO Fleet</w:t>
      </w:r>
      <w:r w:rsidR="00B201DA">
        <w:t xml:space="preserve"> Miscellaneous – Implementation recommendations</w:t>
      </w:r>
      <w:bookmarkEnd w:id="80"/>
    </w:p>
    <w:p w14:paraId="3623A85F" w14:textId="3679D2AE" w:rsidR="00E34664" w:rsidRPr="00AD26F5" w:rsidRDefault="00E34664" w:rsidP="56DB1F18">
      <w:pPr>
        <w:rPr>
          <w:rFonts w:cs="Arial"/>
        </w:rPr>
      </w:pPr>
      <w:r>
        <w:t xml:space="preserve">DEQ received </w:t>
      </w:r>
      <w:r w:rsidR="5E155F18">
        <w:t>five</w:t>
      </w:r>
      <w:r>
        <w:t xml:space="preserve"> comment</w:t>
      </w:r>
      <w:r w:rsidR="00B201DA">
        <w:t>s</w:t>
      </w:r>
      <w:r>
        <w:t xml:space="preserve"> in this category from commenter</w:t>
      </w:r>
      <w:r w:rsidR="00B201DA">
        <w:t>s</w:t>
      </w:r>
      <w:r>
        <w:t xml:space="preserve"> 16</w:t>
      </w:r>
      <w:r w:rsidR="00B201DA">
        <w:t>, 19</w:t>
      </w:r>
      <w:r w:rsidR="7FEDFCAC">
        <w:t xml:space="preserve">, </w:t>
      </w:r>
      <w:r w:rsidR="00B201DA">
        <w:t>20</w:t>
      </w:r>
      <w:r w:rsidR="7F797CEA">
        <w:t>, 22</w:t>
      </w:r>
      <w:r>
        <w:t xml:space="preserve"> </w:t>
      </w:r>
      <w:r w:rsidR="2AD5DFB4">
        <w:t>and 24</w:t>
      </w:r>
      <w:r w:rsidR="245CC467">
        <w:t xml:space="preserve"> </w:t>
      </w:r>
      <w:r w:rsidR="00AD26F5" w:rsidRPr="56DB1F18">
        <w:rPr>
          <w:rFonts w:cs="Arial"/>
        </w:rPr>
        <w:t>providing DEQ with implementation recommendations. Commenter 1</w:t>
      </w:r>
      <w:r w:rsidR="0ADA8E2D" w:rsidRPr="56DB1F18">
        <w:rPr>
          <w:rFonts w:cs="Arial"/>
        </w:rPr>
        <w:t>6</w:t>
      </w:r>
      <w:r w:rsidR="00AD26F5" w:rsidRPr="56DB1F18">
        <w:rPr>
          <w:rFonts w:cs="Arial"/>
        </w:rPr>
        <w:t xml:space="preserve"> encouraged DEQ to track and report equity and sustainability metrics, prioritize clear communications, continue interested party engagement on any rebate reservation designs and maintain transparent criteria for ZERO Fleet eligible vehicle list updates. Commenter 19 encouraged DEQ to develop additional resources for prospective applicants to support the EV shopping and charging process. Commenter 20 recommends DEQ keep rebate programs year-round.</w:t>
      </w:r>
      <w:r w:rsidR="37551C88" w:rsidRPr="56DB1F18">
        <w:rPr>
          <w:rFonts w:cs="Arial"/>
        </w:rPr>
        <w:t xml:space="preserve"> Commenter 22 encouraged DEQ to track and report how Charge Ahead rebates are used (new versus used vehicles) and maintain transparent eligibility criteria and ongoing engagement for the ZERO Fleet program</w:t>
      </w:r>
      <w:r w:rsidR="4C2D6CF1" w:rsidRPr="56DB1F18">
        <w:rPr>
          <w:rFonts w:cs="Arial"/>
        </w:rPr>
        <w:t>.</w:t>
      </w:r>
      <w:r w:rsidR="38FBA4B0" w:rsidRPr="56DB1F18">
        <w:rPr>
          <w:rFonts w:cs="Arial"/>
        </w:rPr>
        <w:t xml:space="preserve"> Commenter 24 encouraged continued transparency, particularly through reporting on equity metrics, program availability, and ZERO Fleet funding, along with clear communication about implementation updates and timelines.  </w:t>
      </w:r>
    </w:p>
    <w:p w14:paraId="0F6A88DE" w14:textId="77777777" w:rsidR="00AD26F5" w:rsidRPr="00C26BC1" w:rsidRDefault="00E34664" w:rsidP="00E34664">
      <w:pPr>
        <w:pStyle w:val="Heading4"/>
      </w:pPr>
      <w:r w:rsidRPr="00C26BC1">
        <w:t>Response</w:t>
      </w:r>
      <w:r w:rsidRPr="00C26BC1">
        <w:tab/>
        <w:t xml:space="preserve"> </w:t>
      </w:r>
    </w:p>
    <w:p w14:paraId="10FF26E5" w14:textId="1477B752" w:rsidR="00E34664" w:rsidRDefault="37FC187F" w:rsidP="56DB1F18">
      <w:pPr>
        <w:pStyle w:val="Heading4"/>
        <w:rPr>
          <w:b w:val="0"/>
          <w:sz w:val="22"/>
          <w:szCs w:val="22"/>
          <w:highlight w:val="yellow"/>
        </w:rPr>
      </w:pPr>
      <w:r w:rsidRPr="00C26BC1">
        <w:rPr>
          <w:b w:val="0"/>
          <w:sz w:val="22"/>
          <w:szCs w:val="22"/>
        </w:rPr>
        <w:t xml:space="preserve">DEQ acknowledges these comments and thanks the </w:t>
      </w:r>
      <w:r w:rsidRPr="5ADB3238">
        <w:rPr>
          <w:b w:val="0"/>
          <w:sz w:val="22"/>
          <w:szCs w:val="22"/>
        </w:rPr>
        <w:t>comment</w:t>
      </w:r>
      <w:r w:rsidR="709CB6A5" w:rsidRPr="5ADB3238">
        <w:rPr>
          <w:b w:val="0"/>
          <w:sz w:val="22"/>
          <w:szCs w:val="22"/>
        </w:rPr>
        <w:t>e</w:t>
      </w:r>
      <w:r w:rsidRPr="5ADB3238">
        <w:rPr>
          <w:b w:val="0"/>
          <w:sz w:val="22"/>
          <w:szCs w:val="22"/>
        </w:rPr>
        <w:t>rs</w:t>
      </w:r>
      <w:r w:rsidRPr="00C26BC1">
        <w:rPr>
          <w:b w:val="0"/>
          <w:sz w:val="22"/>
          <w:szCs w:val="22"/>
        </w:rPr>
        <w:t xml:space="preserve"> for their input</w:t>
      </w:r>
      <w:r w:rsidRPr="56DB1F18">
        <w:rPr>
          <w:b w:val="0"/>
          <w:sz w:val="22"/>
          <w:szCs w:val="22"/>
        </w:rPr>
        <w:t xml:space="preserve">. </w:t>
      </w:r>
      <w:r w:rsidR="00C26BC1" w:rsidRPr="00C26BC1">
        <w:rPr>
          <w:b w:val="0"/>
          <w:sz w:val="22"/>
          <w:szCs w:val="22"/>
        </w:rPr>
        <w:t>Because these comments are implementation related, DEQ did not make any changes to the rules. Rather, the OCVRP</w:t>
      </w:r>
      <w:r w:rsidRPr="56DB1F18">
        <w:rPr>
          <w:b w:val="0"/>
          <w:sz w:val="22"/>
          <w:szCs w:val="22"/>
        </w:rPr>
        <w:t xml:space="preserve"> currently has a public dashboard that </w:t>
      </w:r>
      <w:r w:rsidR="3CCB7609" w:rsidRPr="56DB1F18">
        <w:rPr>
          <w:b w:val="0"/>
          <w:sz w:val="22"/>
          <w:szCs w:val="22"/>
        </w:rPr>
        <w:t xml:space="preserve">provides </w:t>
      </w:r>
      <w:r w:rsidR="5C95A301" w:rsidRPr="56DB1F18">
        <w:rPr>
          <w:b w:val="0"/>
          <w:sz w:val="22"/>
          <w:szCs w:val="22"/>
        </w:rPr>
        <w:t xml:space="preserve">rebate statistics, demographics and </w:t>
      </w:r>
      <w:r w:rsidR="235C01EF" w:rsidRPr="56DB1F18">
        <w:rPr>
          <w:b w:val="0"/>
          <w:sz w:val="22"/>
          <w:szCs w:val="22"/>
        </w:rPr>
        <w:t>some rebate survey data. DEQ will consider the recommendations and strive to share additional data and communicate pro</w:t>
      </w:r>
      <w:r w:rsidR="74A6AED7" w:rsidRPr="56DB1F18">
        <w:rPr>
          <w:b w:val="0"/>
          <w:sz w:val="22"/>
          <w:szCs w:val="22"/>
        </w:rPr>
        <w:t>gram information clearly and transparently.</w:t>
      </w:r>
      <w:r w:rsidR="00E34664" w:rsidRPr="00C26BC1">
        <w:rPr>
          <w:b w:val="0"/>
          <w:sz w:val="22"/>
          <w:szCs w:val="22"/>
          <w:highlight w:val="yellow"/>
        </w:rPr>
        <w:t xml:space="preserve"> </w:t>
      </w:r>
    </w:p>
    <w:p w14:paraId="2A96F196" w14:textId="77777777" w:rsidR="001B0224" w:rsidRPr="001B0224" w:rsidRDefault="001B0224" w:rsidP="00C26BC1">
      <w:pPr>
        <w:rPr>
          <w:highlight w:val="yellow"/>
        </w:rPr>
      </w:pPr>
    </w:p>
    <w:p w14:paraId="039D53C7" w14:textId="4ED512A4" w:rsidR="00E34664" w:rsidRPr="00432C76" w:rsidRDefault="00E34664" w:rsidP="00E34664">
      <w:pPr>
        <w:pStyle w:val="Heading3"/>
      </w:pPr>
      <w:bookmarkStart w:id="81" w:name="_Toc226361777"/>
      <w:r>
        <w:t xml:space="preserve">Comment </w:t>
      </w:r>
      <w:r w:rsidR="001B0224">
        <w:t>11</w:t>
      </w:r>
      <w:r>
        <w:t xml:space="preserve">: </w:t>
      </w:r>
      <w:r w:rsidR="20560E6B" w:rsidRPr="56DB1F18">
        <w:t>EV Rebates 2026 - OCVRP and ZERO Fleet</w:t>
      </w:r>
      <w:r w:rsidR="008E0810">
        <w:t xml:space="preserve"> Miscellaneous – EV registration and road user fees</w:t>
      </w:r>
      <w:bookmarkEnd w:id="81"/>
      <w:r>
        <w:t xml:space="preserve"> </w:t>
      </w:r>
    </w:p>
    <w:p w14:paraId="3D1D3303" w14:textId="7DE00ACB" w:rsidR="004E71E8" w:rsidRPr="00432C76" w:rsidRDefault="004E71E8" w:rsidP="004E71E8">
      <w:r>
        <w:t xml:space="preserve">DEQ received </w:t>
      </w:r>
      <w:r w:rsidR="2A7E5503">
        <w:t>one</w:t>
      </w:r>
      <w:r>
        <w:t xml:space="preserve"> comment in this category from commenter </w:t>
      </w:r>
      <w:r w:rsidR="00CB0D74">
        <w:t>20</w:t>
      </w:r>
      <w:r>
        <w:t xml:space="preserve"> </w:t>
      </w:r>
      <w:r w:rsidR="00432C76" w:rsidRPr="56DB1F18">
        <w:rPr>
          <w:rFonts w:cs="Arial"/>
        </w:rPr>
        <w:t>providing feedback on the legislatively proposed EV registration and road user fees. Commenter 20 suggests the per-mile registration and road user fees are regressive towards EVs, do not consider pollution cost savings and recommends a graduated registration cost based on the gross vehicle weight rating for all vehicles.</w:t>
      </w:r>
    </w:p>
    <w:p w14:paraId="311F8AA6" w14:textId="77777777" w:rsidR="00E34664" w:rsidRPr="00C26BC1" w:rsidRDefault="00E34664" w:rsidP="00E34664">
      <w:pPr>
        <w:pStyle w:val="Heading4"/>
      </w:pPr>
      <w:r w:rsidRPr="00C26BC1">
        <w:lastRenderedPageBreak/>
        <w:t>Response</w:t>
      </w:r>
    </w:p>
    <w:p w14:paraId="5EC3CEBF" w14:textId="12B91694" w:rsidR="00E34664" w:rsidRDefault="17E38EA8" w:rsidP="56DB1F18">
      <w:pPr>
        <w:rPr>
          <w:rFonts w:cs="Arial"/>
        </w:rPr>
      </w:pPr>
      <w:r w:rsidRPr="56DB1F18">
        <w:rPr>
          <w:rFonts w:cs="Arial"/>
        </w:rPr>
        <w:t xml:space="preserve">DEQ acknowledges these comments and thanks the </w:t>
      </w:r>
      <w:r w:rsidRPr="5ADB3238">
        <w:rPr>
          <w:rFonts w:cs="Arial"/>
        </w:rPr>
        <w:t>comment</w:t>
      </w:r>
      <w:r w:rsidR="2E46909B" w:rsidRPr="5ADB3238">
        <w:rPr>
          <w:rFonts w:cs="Arial"/>
        </w:rPr>
        <w:t>e</w:t>
      </w:r>
      <w:r w:rsidRPr="5ADB3238">
        <w:rPr>
          <w:rFonts w:cs="Arial"/>
        </w:rPr>
        <w:t>r</w:t>
      </w:r>
      <w:r w:rsidRPr="56DB1F18">
        <w:rPr>
          <w:rFonts w:cs="Arial"/>
        </w:rPr>
        <w:t xml:space="preserve"> for their input. EV </w:t>
      </w:r>
      <w:r w:rsidR="00C26BC1" w:rsidRPr="56DB1F18">
        <w:rPr>
          <w:rFonts w:cs="Arial"/>
        </w:rPr>
        <w:t>registration</w:t>
      </w:r>
      <w:r w:rsidRPr="56DB1F18">
        <w:rPr>
          <w:rFonts w:cs="Arial"/>
        </w:rPr>
        <w:t xml:space="preserve"> and road user fees are outside the scope of this rulemaking. DEQ does not have the statutory authority to make changes to the registration and road user fees.</w:t>
      </w:r>
    </w:p>
    <w:p w14:paraId="33975659" w14:textId="77777777" w:rsidR="00C26BC1" w:rsidRPr="00BB2F6F" w:rsidRDefault="00C26BC1" w:rsidP="56DB1F18"/>
    <w:p w14:paraId="18DF58BF" w14:textId="3B789CCE" w:rsidR="00E34664" w:rsidRPr="00124D9A" w:rsidRDefault="00E34664" w:rsidP="00E34664">
      <w:pPr>
        <w:pStyle w:val="Heading3"/>
      </w:pPr>
      <w:bookmarkStart w:id="82" w:name="_Toc226361778"/>
      <w:r w:rsidRPr="00124D9A">
        <w:t xml:space="preserve">Comment </w:t>
      </w:r>
      <w:r w:rsidR="00C26BC1" w:rsidRPr="00124D9A">
        <w:t>1</w:t>
      </w:r>
      <w:r w:rsidR="00C26BC1">
        <w:t>2</w:t>
      </w:r>
      <w:r w:rsidRPr="00124D9A">
        <w:t xml:space="preserve">: </w:t>
      </w:r>
      <w:r w:rsidR="00EB7071" w:rsidRPr="00124D9A">
        <w:t>OCVRP Miscellaneous – Rebate processing recommendations</w:t>
      </w:r>
      <w:bookmarkEnd w:id="82"/>
    </w:p>
    <w:p w14:paraId="654569D1" w14:textId="666A82AF" w:rsidR="00124D9A" w:rsidRPr="00124D9A" w:rsidRDefault="00E34664" w:rsidP="00124D9A">
      <w:pPr>
        <w:rPr>
          <w:rFonts w:cs="Arial"/>
        </w:rPr>
      </w:pPr>
      <w:r w:rsidRPr="00124D9A">
        <w:t xml:space="preserve">DEQ received </w:t>
      </w:r>
      <w:r w:rsidR="560F7742">
        <w:t>two</w:t>
      </w:r>
      <w:r w:rsidRPr="00124D9A">
        <w:t xml:space="preserve"> comment</w:t>
      </w:r>
      <w:r w:rsidR="009C77F7" w:rsidRPr="00124D9A">
        <w:t>s</w:t>
      </w:r>
      <w:r w:rsidRPr="00124D9A">
        <w:t xml:space="preserve"> in this category from commenter</w:t>
      </w:r>
      <w:r w:rsidR="009C77F7" w:rsidRPr="00124D9A">
        <w:t>s</w:t>
      </w:r>
      <w:r w:rsidRPr="00124D9A">
        <w:t xml:space="preserve"> </w:t>
      </w:r>
      <w:r w:rsidR="009C77F7" w:rsidRPr="00124D9A">
        <w:t>9 and 15</w:t>
      </w:r>
      <w:r w:rsidRPr="00124D9A">
        <w:t xml:space="preserve"> </w:t>
      </w:r>
      <w:r w:rsidR="00124D9A" w:rsidRPr="5ADB3238">
        <w:rPr>
          <w:rFonts w:cs="Arial"/>
        </w:rPr>
        <w:t>encouraging DEQ to consider rebate processing suggestions. Commenter 9 suggests that rebate recipients should not have to disclose they have a Charge Ahead Prequalification Voucher prior to a vehicle lease. Commenter 15 would like DEQ to remove dealers from the “Participating Dealer List” if they provide incorrect information to potential applicants and/or refuse to comply or participate in the program.</w:t>
      </w:r>
    </w:p>
    <w:p w14:paraId="176E6A12" w14:textId="7BCB39C6" w:rsidR="00E34664" w:rsidRPr="00C26BC1" w:rsidRDefault="5E972D35" w:rsidP="56DB1F18">
      <w:pPr>
        <w:rPr>
          <w:rFonts w:cs="Arial"/>
          <w:b/>
          <w:bCs/>
          <w:sz w:val="24"/>
        </w:rPr>
      </w:pPr>
      <w:r w:rsidRPr="00C26BC1">
        <w:rPr>
          <w:rFonts w:cs="Arial"/>
          <w:b/>
          <w:bCs/>
          <w:sz w:val="24"/>
        </w:rPr>
        <w:t xml:space="preserve">Response   </w:t>
      </w:r>
    </w:p>
    <w:p w14:paraId="4B5C4551" w14:textId="3B535D49" w:rsidR="00E34664" w:rsidRPr="00124D9A" w:rsidRDefault="00124D9A" w:rsidP="56DB1F18">
      <w:pPr>
        <w:rPr>
          <w:rFonts w:cs="Arial"/>
        </w:rPr>
      </w:pPr>
      <w:r w:rsidRPr="56DB1F18">
        <w:rPr>
          <w:rFonts w:cs="Arial"/>
        </w:rPr>
        <w:t xml:space="preserve">DEQ </w:t>
      </w:r>
      <w:r w:rsidR="435EE97D" w:rsidRPr="5ADB3238">
        <w:rPr>
          <w:rFonts w:cs="Arial"/>
        </w:rPr>
        <w:t>acknowledges these comments and</w:t>
      </w:r>
      <w:r w:rsidRPr="5ADB3238">
        <w:rPr>
          <w:rFonts w:cs="Arial"/>
        </w:rPr>
        <w:t xml:space="preserve"> </w:t>
      </w:r>
      <w:r w:rsidRPr="56DB1F18">
        <w:rPr>
          <w:rFonts w:cs="Arial"/>
        </w:rPr>
        <w:t xml:space="preserve">thanks </w:t>
      </w:r>
      <w:r w:rsidR="738E62A8" w:rsidRPr="5ADB3238">
        <w:rPr>
          <w:rFonts w:cs="Arial"/>
        </w:rPr>
        <w:t>the commenters</w:t>
      </w:r>
      <w:r w:rsidRPr="56DB1F18">
        <w:rPr>
          <w:rFonts w:cs="Arial"/>
        </w:rPr>
        <w:t xml:space="preserve"> for </w:t>
      </w:r>
      <w:r w:rsidR="0AF46EF8" w:rsidRPr="5ADB3238">
        <w:rPr>
          <w:rFonts w:cs="Arial"/>
        </w:rPr>
        <w:t xml:space="preserve">their </w:t>
      </w:r>
      <w:r w:rsidRPr="56DB1F18">
        <w:rPr>
          <w:rFonts w:cs="Arial"/>
        </w:rPr>
        <w:t>comments. The suggested rebate processing recommendations are outside the scope of this rulemaking or currently allowed. Applicants are not required to disclose they have a Charge Ahead Prequalification Voucher to a dealer unless they want the dealer to deduct the rebate amount from the purchase or lease price and issue the rebate at the time of sale or lease. DEQ welcomes any applicant feedback regarding the program and/or “Participating Dealers” and aims to work with the dealers to ensure they understand the program’s intentions and requirements, and remove dealers that do not regularly participate.</w:t>
      </w:r>
    </w:p>
    <w:p w14:paraId="7018E17B" w14:textId="31EDB919" w:rsidR="00E34664" w:rsidRPr="00BB2F6F" w:rsidRDefault="00E34664" w:rsidP="00AD40CA">
      <w:pPr>
        <w:rPr>
          <w:highlight w:val="yellow"/>
        </w:rPr>
      </w:pPr>
    </w:p>
    <w:p w14:paraId="058F2AEA" w14:textId="248C37BC" w:rsidR="00E34664" w:rsidRPr="00971D3F" w:rsidRDefault="00E34664" w:rsidP="00E34664">
      <w:pPr>
        <w:pStyle w:val="Heading3"/>
      </w:pPr>
      <w:bookmarkStart w:id="83" w:name="_Toc226361779"/>
      <w:r w:rsidRPr="00971D3F">
        <w:t xml:space="preserve">Comment </w:t>
      </w:r>
      <w:r w:rsidR="00C26BC1" w:rsidRPr="00971D3F">
        <w:t>1</w:t>
      </w:r>
      <w:r w:rsidR="00C26BC1">
        <w:t>3</w:t>
      </w:r>
      <w:r w:rsidRPr="00971D3F">
        <w:t xml:space="preserve">: </w:t>
      </w:r>
      <w:r w:rsidR="00174AB9" w:rsidRPr="00971D3F">
        <w:t>OCVRP Miscellaneous – Charge Ahead Voucher use</w:t>
      </w:r>
      <w:bookmarkEnd w:id="83"/>
    </w:p>
    <w:p w14:paraId="606E16F7" w14:textId="2711CC8E" w:rsidR="00E34664" w:rsidRPr="00971D3F" w:rsidRDefault="00E34664" w:rsidP="00E34664">
      <w:r w:rsidRPr="00971D3F">
        <w:t xml:space="preserve">DEQ received </w:t>
      </w:r>
      <w:r w:rsidR="4F641237">
        <w:t>one</w:t>
      </w:r>
      <w:r w:rsidRPr="00971D3F">
        <w:t xml:space="preserve"> comment in this category from commenter </w:t>
      </w:r>
      <w:r w:rsidR="008537AB" w:rsidRPr="00971D3F">
        <w:t>1</w:t>
      </w:r>
      <w:r w:rsidRPr="00971D3F">
        <w:t xml:space="preserve"> </w:t>
      </w:r>
      <w:r w:rsidR="00971D3F" w:rsidRPr="5ADB3238">
        <w:rPr>
          <w:rFonts w:cs="Arial"/>
        </w:rPr>
        <w:t>encouraging DEQ allow applicants to renew OCVRP Charge Ahead Prequalification Vouchers.</w:t>
      </w:r>
    </w:p>
    <w:p w14:paraId="7A73F844" w14:textId="77777777" w:rsidR="00E34664" w:rsidRPr="006D0CD1" w:rsidRDefault="00E34664" w:rsidP="00E34664">
      <w:pPr>
        <w:pStyle w:val="Heading4"/>
      </w:pPr>
      <w:r w:rsidRPr="006D0CD1">
        <w:t>Response</w:t>
      </w:r>
      <w:r w:rsidRPr="006D0CD1">
        <w:tab/>
        <w:t xml:space="preserve">  </w:t>
      </w:r>
    </w:p>
    <w:p w14:paraId="5C9A47B2" w14:textId="544386A6" w:rsidR="006D0CD1" w:rsidRDefault="009E3F2E" w:rsidP="006D0CD1">
      <w:r w:rsidRPr="5ADB3238">
        <w:rPr>
          <w:rFonts w:cs="Arial"/>
          <w:kern w:val="0"/>
          <w14:ligatures w14:val="none"/>
        </w:rPr>
        <w:t>DEQ acknowledges these comments and thanks the comment</w:t>
      </w:r>
      <w:r w:rsidR="22FF20FE" w:rsidRPr="5ADB3238">
        <w:rPr>
          <w:rFonts w:cs="Arial"/>
          <w:kern w:val="0"/>
          <w14:ligatures w14:val="none"/>
        </w:rPr>
        <w:t>e</w:t>
      </w:r>
      <w:r w:rsidRPr="5ADB3238">
        <w:rPr>
          <w:rFonts w:cs="Arial"/>
          <w:kern w:val="0"/>
          <w14:ligatures w14:val="none"/>
        </w:rPr>
        <w:t xml:space="preserve">r for their input. </w:t>
      </w:r>
      <w:r w:rsidR="006D0CD1" w:rsidRPr="006D0CD1">
        <w:t>Charge Ahead Prequalification application processing and voucher use is outside of the scope of this rulemaking. Charge Ahead applicants may contact DEQ to request a voucher renewal while the program is open for vehicle purchases and leases.</w:t>
      </w:r>
    </w:p>
    <w:p w14:paraId="51C8C17C" w14:textId="77777777" w:rsidR="006D0CD1" w:rsidRPr="006D0CD1" w:rsidRDefault="006D0CD1" w:rsidP="006D0CD1"/>
    <w:p w14:paraId="61AAE98E" w14:textId="353887A2" w:rsidR="00200239" w:rsidRPr="000D6656" w:rsidRDefault="00200239" w:rsidP="00200239">
      <w:pPr>
        <w:pStyle w:val="Heading3"/>
      </w:pPr>
      <w:bookmarkStart w:id="84" w:name="_Toc226361780"/>
      <w:r w:rsidRPr="000D6656">
        <w:t xml:space="preserve">Comment </w:t>
      </w:r>
      <w:r w:rsidR="00C26BC1" w:rsidRPr="000D6656">
        <w:t>1</w:t>
      </w:r>
      <w:r w:rsidR="00C26BC1">
        <w:t>4</w:t>
      </w:r>
      <w:r w:rsidRPr="000D6656">
        <w:t xml:space="preserve">: </w:t>
      </w:r>
      <w:r w:rsidR="00261D4C" w:rsidRPr="000D6656">
        <w:t>OCVRP Miscellaneous – Participating dealer list</w:t>
      </w:r>
      <w:bookmarkEnd w:id="84"/>
    </w:p>
    <w:p w14:paraId="74CECB84" w14:textId="3D9160BA" w:rsidR="00200239" w:rsidRPr="000D6656" w:rsidRDefault="00200239" w:rsidP="00200239">
      <w:r w:rsidRPr="000D6656">
        <w:t xml:space="preserve">DEQ received </w:t>
      </w:r>
      <w:r w:rsidR="4607FCFE">
        <w:t>one</w:t>
      </w:r>
      <w:r w:rsidRPr="000D6656">
        <w:t xml:space="preserve"> comment in this category from commenter 1</w:t>
      </w:r>
      <w:r w:rsidR="00261D4C" w:rsidRPr="000D6656">
        <w:t>8</w:t>
      </w:r>
      <w:r w:rsidRPr="000D6656">
        <w:t xml:space="preserve"> </w:t>
      </w:r>
      <w:r w:rsidR="000D6656" w:rsidRPr="5ADB3238">
        <w:rPr>
          <w:rFonts w:cs="Arial"/>
        </w:rPr>
        <w:t>encouraging DEQ to include specific dealers on the “Participating Dealer List.”</w:t>
      </w:r>
    </w:p>
    <w:p w14:paraId="3C628C7A" w14:textId="77777777" w:rsidR="00200239" w:rsidRPr="00C26BC1" w:rsidRDefault="00200239" w:rsidP="56DB1F18">
      <w:pPr>
        <w:pStyle w:val="Heading4"/>
      </w:pPr>
      <w:r w:rsidRPr="00C26BC1">
        <w:lastRenderedPageBreak/>
        <w:t>Response</w:t>
      </w:r>
    </w:p>
    <w:p w14:paraId="6E66A7AD" w14:textId="77189264" w:rsidR="00200239" w:rsidRPr="00BB2F6F" w:rsidRDefault="7D115B0B" w:rsidP="56DB1F18">
      <w:pPr>
        <w:rPr>
          <w:rFonts w:cs="Arial"/>
        </w:rPr>
      </w:pPr>
      <w:r w:rsidRPr="56DB1F18">
        <w:rPr>
          <w:rFonts w:cs="Arial"/>
        </w:rPr>
        <w:t xml:space="preserve">DEQ acknowledges these comments and thanks the </w:t>
      </w:r>
      <w:r w:rsidRPr="5ADB3238">
        <w:rPr>
          <w:rFonts w:cs="Arial"/>
        </w:rPr>
        <w:t>comment</w:t>
      </w:r>
      <w:r w:rsidR="6567B113" w:rsidRPr="5ADB3238">
        <w:rPr>
          <w:rFonts w:cs="Arial"/>
        </w:rPr>
        <w:t>e</w:t>
      </w:r>
      <w:r w:rsidRPr="5ADB3238">
        <w:rPr>
          <w:rFonts w:cs="Arial"/>
        </w:rPr>
        <w:t>r</w:t>
      </w:r>
      <w:r w:rsidRPr="56DB1F18">
        <w:rPr>
          <w:rFonts w:cs="Arial"/>
        </w:rPr>
        <w:t xml:space="preserve"> for their input. Including specific dealers on the OCVRP Participating Dealer List is outside of the scope of this rulemaking. Interested dealers may contact DEQ’s </w:t>
      </w:r>
      <w:r w:rsidR="2DAED8BF" w:rsidRPr="56DB1F18">
        <w:rPr>
          <w:rFonts w:cs="Arial"/>
        </w:rPr>
        <w:t>rebate processing contractor, the Center for Sustainable Energy,</w:t>
      </w:r>
      <w:r w:rsidRPr="56DB1F18">
        <w:rPr>
          <w:rFonts w:cs="Arial"/>
        </w:rPr>
        <w:t xml:space="preserve"> to </w:t>
      </w:r>
      <w:hyperlink r:id="rId52">
        <w:r w:rsidRPr="5ADB3238">
          <w:rPr>
            <w:rStyle w:val="Hyperlink"/>
            <w:rFonts w:cs="Arial"/>
          </w:rPr>
          <w:t>register to be on the Participating Dealer List</w:t>
        </w:r>
      </w:hyperlink>
      <w:r w:rsidRPr="5ADB3238">
        <w:rPr>
          <w:rFonts w:cs="Arial"/>
        </w:rPr>
        <w:t>.</w:t>
      </w:r>
    </w:p>
    <w:p w14:paraId="2BB3F22C" w14:textId="6892ACA8" w:rsidR="00200239" w:rsidRPr="00BB2F6F" w:rsidRDefault="00200239" w:rsidP="00200239">
      <w:pPr>
        <w:rPr>
          <w:highlight w:val="yellow"/>
        </w:rPr>
      </w:pPr>
    </w:p>
    <w:p w14:paraId="315E5142" w14:textId="6C11DB53" w:rsidR="00200239" w:rsidRPr="00361F8D" w:rsidRDefault="00200239" w:rsidP="00200239">
      <w:pPr>
        <w:pStyle w:val="Heading3"/>
      </w:pPr>
      <w:bookmarkStart w:id="85" w:name="_Toc226361781"/>
      <w:r w:rsidRPr="00361F8D">
        <w:t xml:space="preserve">Comment </w:t>
      </w:r>
      <w:r w:rsidR="00C26BC1" w:rsidRPr="00361F8D">
        <w:t>1</w:t>
      </w:r>
      <w:r w:rsidR="00C26BC1">
        <w:t>5</w:t>
      </w:r>
      <w:r w:rsidRPr="00361F8D">
        <w:t xml:space="preserve">: </w:t>
      </w:r>
      <w:r w:rsidR="00133655" w:rsidRPr="00361F8D">
        <w:t>OCVRP Miscellaneous – Dealer pricing restrictions</w:t>
      </w:r>
      <w:bookmarkEnd w:id="85"/>
    </w:p>
    <w:p w14:paraId="0A603190" w14:textId="2BDA4E6B" w:rsidR="00200239" w:rsidRPr="00361F8D" w:rsidRDefault="00200239" w:rsidP="00200239">
      <w:r w:rsidRPr="00361F8D">
        <w:t xml:space="preserve">DEQ received </w:t>
      </w:r>
      <w:r w:rsidR="4EDFB3FD">
        <w:t xml:space="preserve">two </w:t>
      </w:r>
      <w:r w:rsidRPr="00361F8D">
        <w:t>comment</w:t>
      </w:r>
      <w:r w:rsidR="00133655" w:rsidRPr="00361F8D">
        <w:t>s</w:t>
      </w:r>
      <w:r w:rsidRPr="00361F8D">
        <w:t xml:space="preserve"> in this category from commenter</w:t>
      </w:r>
      <w:r w:rsidR="00133655" w:rsidRPr="00361F8D">
        <w:t>s</w:t>
      </w:r>
      <w:r w:rsidRPr="00361F8D">
        <w:t xml:space="preserve"> </w:t>
      </w:r>
      <w:r w:rsidR="00133655" w:rsidRPr="00361F8D">
        <w:t>7 and 10</w:t>
      </w:r>
      <w:r w:rsidRPr="00361F8D">
        <w:t xml:space="preserve"> </w:t>
      </w:r>
      <w:r w:rsidR="00361F8D" w:rsidRPr="5ADB3238">
        <w:rPr>
          <w:rFonts w:cs="Arial"/>
        </w:rPr>
        <w:t>encouraging DEQ to consider pricing restriction rules on dealerships.</w:t>
      </w:r>
    </w:p>
    <w:p w14:paraId="275A19F6" w14:textId="77777777" w:rsidR="00200239" w:rsidRPr="00286AD8" w:rsidRDefault="00200239" w:rsidP="00200239">
      <w:pPr>
        <w:pStyle w:val="Heading4"/>
      </w:pPr>
      <w:r w:rsidRPr="00286AD8">
        <w:t>Response</w:t>
      </w:r>
      <w:r w:rsidRPr="00286AD8">
        <w:tab/>
        <w:t xml:space="preserve">  </w:t>
      </w:r>
    </w:p>
    <w:p w14:paraId="74FA04F0" w14:textId="615CF702" w:rsidR="00286AD8" w:rsidRDefault="009E3F2E" w:rsidP="00286AD8">
      <w:r w:rsidRPr="5ADB3238">
        <w:rPr>
          <w:rFonts w:cs="Arial"/>
          <w:kern w:val="0"/>
          <w14:ligatures w14:val="none"/>
        </w:rPr>
        <w:t>DEQ acknowledges these comments and thanks the comment</w:t>
      </w:r>
      <w:r w:rsidR="0F75D1B9" w:rsidRPr="5ADB3238">
        <w:rPr>
          <w:rFonts w:cs="Arial"/>
          <w:kern w:val="0"/>
          <w14:ligatures w14:val="none"/>
        </w:rPr>
        <w:t>e</w:t>
      </w:r>
      <w:r w:rsidRPr="5ADB3238">
        <w:rPr>
          <w:rFonts w:cs="Arial"/>
          <w:kern w:val="0"/>
          <w14:ligatures w14:val="none"/>
        </w:rPr>
        <w:t>rs for their input</w:t>
      </w:r>
      <w:r w:rsidR="00286AD8" w:rsidRPr="00286AD8">
        <w:t>. Enforcing price restriction rules on dealerships is outside the scope of this rulemaking. DEQ does not have the authority to create rules regarding dealership pricing.</w:t>
      </w:r>
    </w:p>
    <w:p w14:paraId="13D190A1" w14:textId="77777777" w:rsidR="00286AD8" w:rsidRPr="00286AD8" w:rsidRDefault="00286AD8" w:rsidP="00286AD8">
      <w:pPr>
        <w:rPr>
          <w:highlight w:val="yellow"/>
        </w:rPr>
      </w:pPr>
    </w:p>
    <w:p w14:paraId="46A2B222" w14:textId="73F26973" w:rsidR="00200239" w:rsidRPr="00686907" w:rsidRDefault="00200239" w:rsidP="00200239">
      <w:pPr>
        <w:pStyle w:val="Heading3"/>
      </w:pPr>
      <w:bookmarkStart w:id="86" w:name="_Toc226361782"/>
      <w:r w:rsidRPr="00686907">
        <w:t xml:space="preserve">Comment </w:t>
      </w:r>
      <w:r w:rsidR="00C26BC1" w:rsidRPr="00686907">
        <w:t>1</w:t>
      </w:r>
      <w:r w:rsidR="00C26BC1">
        <w:t>6</w:t>
      </w:r>
      <w:r w:rsidRPr="00686907">
        <w:t xml:space="preserve">: </w:t>
      </w:r>
      <w:r w:rsidR="002A25AF" w:rsidRPr="00686907">
        <w:t>OCVRP Miscellaneous – Dealer payments</w:t>
      </w:r>
      <w:bookmarkEnd w:id="86"/>
    </w:p>
    <w:p w14:paraId="6A988BEE" w14:textId="1ED67EE5" w:rsidR="00200239" w:rsidRPr="00686907" w:rsidRDefault="00200239" w:rsidP="00200239">
      <w:r w:rsidRPr="00686907">
        <w:t xml:space="preserve">DEQ received </w:t>
      </w:r>
      <w:r w:rsidR="7FB94A83">
        <w:t>one</w:t>
      </w:r>
      <w:r w:rsidRPr="00686907">
        <w:t xml:space="preserve"> comment in this category from commenter</w:t>
      </w:r>
      <w:r w:rsidR="002A25AF" w:rsidRPr="00686907">
        <w:t xml:space="preserve"> 12</w:t>
      </w:r>
      <w:r w:rsidRPr="00686907">
        <w:t xml:space="preserve"> </w:t>
      </w:r>
      <w:r w:rsidR="00686907" w:rsidRPr="00686907">
        <w:t>encouraging DEQ to consider instituting a maximum timeline for dealer rebate payments.</w:t>
      </w:r>
    </w:p>
    <w:p w14:paraId="793D1188" w14:textId="77777777" w:rsidR="00200239" w:rsidRPr="00636F62" w:rsidRDefault="00200239" w:rsidP="00200239">
      <w:pPr>
        <w:pStyle w:val="Heading4"/>
      </w:pPr>
      <w:r w:rsidRPr="00636F62">
        <w:t>Response</w:t>
      </w:r>
    </w:p>
    <w:p w14:paraId="61E1948E" w14:textId="3D5A6881" w:rsidR="00200239" w:rsidRDefault="009E3F2E" w:rsidP="00200239">
      <w:pPr>
        <w:rPr>
          <w:rFonts w:cs="Arial"/>
          <w:kern w:val="0"/>
          <w14:ligatures w14:val="none"/>
        </w:rPr>
      </w:pPr>
      <w:r w:rsidRPr="5ADB3238">
        <w:rPr>
          <w:rFonts w:cs="Arial"/>
          <w:kern w:val="0"/>
          <w14:ligatures w14:val="none"/>
        </w:rPr>
        <w:t>DEQ acknowledges these comments and thanks the comment</w:t>
      </w:r>
      <w:r w:rsidR="7AD550E4" w:rsidRPr="5ADB3238">
        <w:rPr>
          <w:rFonts w:cs="Arial"/>
          <w:kern w:val="0"/>
          <w14:ligatures w14:val="none"/>
        </w:rPr>
        <w:t>e</w:t>
      </w:r>
      <w:r w:rsidRPr="5ADB3238">
        <w:rPr>
          <w:rFonts w:cs="Arial"/>
          <w:kern w:val="0"/>
          <w14:ligatures w14:val="none"/>
        </w:rPr>
        <w:t>r for their input</w:t>
      </w:r>
      <w:r w:rsidR="00636F62" w:rsidRPr="5ADB3238">
        <w:rPr>
          <w:rFonts w:cs="Arial"/>
          <w:kern w:val="0"/>
          <w14:ligatures w14:val="none"/>
        </w:rPr>
        <w:t>. The suggested rebate processing recommendations are outside the scope of this rulemaking. Rebate processing timelines and payments are covered in the OCVRP Implementation Manual and DEQ aims to adhere to these whenever possible.</w:t>
      </w:r>
    </w:p>
    <w:p w14:paraId="374D67A2" w14:textId="77777777" w:rsidR="00636F62" w:rsidRPr="00BB2F6F" w:rsidRDefault="00636F62" w:rsidP="00200239">
      <w:pPr>
        <w:rPr>
          <w:highlight w:val="yellow"/>
        </w:rPr>
      </w:pPr>
    </w:p>
    <w:p w14:paraId="260CFAA2" w14:textId="44917466" w:rsidR="00200239" w:rsidRPr="00A7288C" w:rsidRDefault="00200239" w:rsidP="00200239">
      <w:pPr>
        <w:pStyle w:val="Heading3"/>
      </w:pPr>
      <w:bookmarkStart w:id="87" w:name="_Toc226361783"/>
      <w:r w:rsidRPr="00A7288C">
        <w:t xml:space="preserve">Comment </w:t>
      </w:r>
      <w:r w:rsidR="00C26BC1" w:rsidRPr="00A7288C">
        <w:t>1</w:t>
      </w:r>
      <w:r w:rsidR="00C26BC1">
        <w:t>7</w:t>
      </w:r>
      <w:r w:rsidRPr="00A7288C">
        <w:t xml:space="preserve">: </w:t>
      </w:r>
      <w:r w:rsidR="00593EBE" w:rsidRPr="00A7288C">
        <w:t>OCVRP Miscellaneous – Allow vehicles purchased or leased during the suspension to receive the rebate</w:t>
      </w:r>
      <w:bookmarkEnd w:id="87"/>
    </w:p>
    <w:p w14:paraId="5AF7D3AB" w14:textId="5067FFD8" w:rsidR="00200239" w:rsidRPr="00A7288C" w:rsidRDefault="00200239" w:rsidP="00200239">
      <w:r w:rsidRPr="00A7288C">
        <w:t xml:space="preserve">DEQ received </w:t>
      </w:r>
      <w:r w:rsidR="770DD9B6">
        <w:t>one</w:t>
      </w:r>
      <w:r w:rsidRPr="00A7288C">
        <w:t xml:space="preserve"> comment in this category from commenter </w:t>
      </w:r>
      <w:r w:rsidR="000215BE" w:rsidRPr="00A7288C">
        <w:t>6</w:t>
      </w:r>
      <w:r w:rsidRPr="00A7288C">
        <w:t xml:space="preserve"> </w:t>
      </w:r>
      <w:r w:rsidR="007A312C" w:rsidRPr="5ADB3238">
        <w:rPr>
          <w:rFonts w:cs="Arial"/>
        </w:rPr>
        <w:t>encouraging DEQ to allow rebates for vehicles purchased or leased while the program was suspended.</w:t>
      </w:r>
    </w:p>
    <w:p w14:paraId="70803783" w14:textId="77777777" w:rsidR="00200239" w:rsidRPr="00A7288C" w:rsidRDefault="00200239" w:rsidP="00200239">
      <w:pPr>
        <w:pStyle w:val="Heading4"/>
      </w:pPr>
      <w:r w:rsidRPr="00A7288C">
        <w:t>Response</w:t>
      </w:r>
    </w:p>
    <w:p w14:paraId="01DE881E" w14:textId="19D87B5F" w:rsidR="00200239" w:rsidRDefault="009E3F2E" w:rsidP="00200239">
      <w:r w:rsidRPr="5ADB3238">
        <w:rPr>
          <w:rFonts w:cs="Arial"/>
          <w:kern w:val="0"/>
          <w14:ligatures w14:val="none"/>
        </w:rPr>
        <w:t>DEQ acknowledges these comments and thanks the comment</w:t>
      </w:r>
      <w:r w:rsidR="47961CCE" w:rsidRPr="5ADB3238">
        <w:rPr>
          <w:rFonts w:cs="Arial"/>
          <w:kern w:val="0"/>
          <w14:ligatures w14:val="none"/>
        </w:rPr>
        <w:t>e</w:t>
      </w:r>
      <w:r w:rsidRPr="5ADB3238">
        <w:rPr>
          <w:rFonts w:cs="Arial"/>
          <w:kern w:val="0"/>
          <w14:ligatures w14:val="none"/>
        </w:rPr>
        <w:t>r for their input</w:t>
      </w:r>
      <w:r w:rsidR="00A7288C" w:rsidRPr="00A7288C">
        <w:t>. Allowing rebates to be issued when the rebate was suspended is outside the scope of this rulemaking. DEQ is only able to issue rebates for vehicles purchased or leased while the program is open and when the program has funding available.</w:t>
      </w:r>
    </w:p>
    <w:p w14:paraId="73DEB216" w14:textId="77777777" w:rsidR="00A7288C" w:rsidRPr="00A7288C" w:rsidRDefault="00A7288C" w:rsidP="00200239"/>
    <w:p w14:paraId="51188D30" w14:textId="78C7AF28" w:rsidR="00200239" w:rsidRPr="004C5D7E" w:rsidRDefault="00200239" w:rsidP="00200239">
      <w:pPr>
        <w:pStyle w:val="Heading3"/>
      </w:pPr>
      <w:bookmarkStart w:id="88" w:name="_Toc226361784"/>
      <w:r w:rsidRPr="004C5D7E">
        <w:lastRenderedPageBreak/>
        <w:t xml:space="preserve">Comment </w:t>
      </w:r>
      <w:r w:rsidR="00C26BC1">
        <w:t>18</w:t>
      </w:r>
      <w:r w:rsidRPr="004C5D7E">
        <w:t xml:space="preserve">: EV Rebates 2026 - </w:t>
      </w:r>
      <w:r w:rsidR="002F03F6" w:rsidRPr="004C5D7E">
        <w:t>OCVRP Miscellaneous – Vehicle MSRP Increases</w:t>
      </w:r>
      <w:bookmarkEnd w:id="88"/>
    </w:p>
    <w:p w14:paraId="35ED3D50" w14:textId="21019B18" w:rsidR="00200239" w:rsidRPr="004C5D7E" w:rsidRDefault="00200239" w:rsidP="00200239">
      <w:r w:rsidRPr="004C5D7E">
        <w:t xml:space="preserve">DEQ received </w:t>
      </w:r>
      <w:r w:rsidR="61557310">
        <w:t>one</w:t>
      </w:r>
      <w:r w:rsidRPr="004C5D7E">
        <w:t xml:space="preserve"> comment in this category from commenter </w:t>
      </w:r>
      <w:r w:rsidR="002F03F6" w:rsidRPr="004C5D7E">
        <w:t>9</w:t>
      </w:r>
      <w:r w:rsidRPr="004C5D7E">
        <w:t xml:space="preserve"> </w:t>
      </w:r>
      <w:r w:rsidR="005E3BAB" w:rsidRPr="5ADB3238">
        <w:rPr>
          <w:rFonts w:cs="Arial"/>
        </w:rPr>
        <w:t>encouraging DEQ to consider increasing the maximum vehicle MSRP allowed for the rebate program.</w:t>
      </w:r>
    </w:p>
    <w:p w14:paraId="6955EC7E" w14:textId="77777777" w:rsidR="00200239" w:rsidRPr="004C5D7E" w:rsidRDefault="00200239" w:rsidP="00200239">
      <w:pPr>
        <w:pStyle w:val="Heading4"/>
      </w:pPr>
      <w:r w:rsidRPr="004C5D7E">
        <w:t>Response</w:t>
      </w:r>
      <w:r w:rsidRPr="004C5D7E">
        <w:tab/>
        <w:t xml:space="preserve">  </w:t>
      </w:r>
    </w:p>
    <w:p w14:paraId="7DAC9A5D" w14:textId="68B6C81D" w:rsidR="00200239" w:rsidRDefault="009E3F2E" w:rsidP="00200239">
      <w:r w:rsidRPr="5ADB3238">
        <w:rPr>
          <w:rFonts w:cs="Arial"/>
          <w:kern w:val="0"/>
          <w14:ligatures w14:val="none"/>
        </w:rPr>
        <w:t>DEQ acknowledges these comments and thanks the comment</w:t>
      </w:r>
      <w:r w:rsidR="32AEC816" w:rsidRPr="5ADB3238">
        <w:rPr>
          <w:rFonts w:cs="Arial"/>
          <w:kern w:val="0"/>
          <w14:ligatures w14:val="none"/>
        </w:rPr>
        <w:t>e</w:t>
      </w:r>
      <w:r w:rsidRPr="5ADB3238">
        <w:rPr>
          <w:rFonts w:cs="Arial"/>
          <w:kern w:val="0"/>
          <w14:ligatures w14:val="none"/>
        </w:rPr>
        <w:t>r for their input</w:t>
      </w:r>
      <w:r w:rsidR="004C5D7E" w:rsidRPr="004C5D7E">
        <w:t>. DEQ does not have the statutory authority to make changes to the vehicle MSRP requirements.</w:t>
      </w:r>
    </w:p>
    <w:p w14:paraId="292AF1DC" w14:textId="77777777" w:rsidR="004C5D7E" w:rsidRPr="00200239" w:rsidRDefault="004C5D7E" w:rsidP="00200239"/>
    <w:p w14:paraId="011D48D4" w14:textId="6A2F5C32" w:rsidR="00200239" w:rsidRPr="00890448" w:rsidRDefault="00200239" w:rsidP="00200239">
      <w:pPr>
        <w:pStyle w:val="Heading3"/>
      </w:pPr>
      <w:bookmarkStart w:id="89" w:name="_Toc226361785"/>
      <w:r w:rsidRPr="00890448">
        <w:t xml:space="preserve">Comment </w:t>
      </w:r>
      <w:r w:rsidR="00C26BC1">
        <w:t>19</w:t>
      </w:r>
      <w:r w:rsidRPr="00890448">
        <w:t xml:space="preserve">: </w:t>
      </w:r>
      <w:r w:rsidR="00890448" w:rsidRPr="00890448">
        <w:t>OCVRP Miscellaneous – Income limits</w:t>
      </w:r>
      <w:bookmarkEnd w:id="89"/>
    </w:p>
    <w:p w14:paraId="5B7F8FEE" w14:textId="26951563" w:rsidR="00200239" w:rsidRPr="00890448" w:rsidRDefault="00200239" w:rsidP="00200239">
      <w:r w:rsidRPr="00890448">
        <w:t xml:space="preserve">DEQ received </w:t>
      </w:r>
      <w:r w:rsidR="3F41C740">
        <w:t>one</w:t>
      </w:r>
      <w:r w:rsidRPr="00890448">
        <w:t xml:space="preserve"> comment in this category from commenter </w:t>
      </w:r>
      <w:r w:rsidR="007819DC" w:rsidRPr="00890448">
        <w:t>19</w:t>
      </w:r>
      <w:r w:rsidRPr="00890448">
        <w:t xml:space="preserve"> </w:t>
      </w:r>
      <w:r w:rsidR="00616702" w:rsidRPr="5ADB3238">
        <w:rPr>
          <w:rFonts w:cs="Arial"/>
        </w:rPr>
        <w:t>encouraging DEQ to consider a lower maximum household income cap for Charge Ahead applicants.</w:t>
      </w:r>
    </w:p>
    <w:p w14:paraId="73ECA9B0" w14:textId="47C19007" w:rsidR="00ED47E6" w:rsidRDefault="00200239" w:rsidP="00200239">
      <w:pPr>
        <w:pStyle w:val="Heading4"/>
      </w:pPr>
      <w:r w:rsidRPr="00C26BC1">
        <w:t>Response</w:t>
      </w:r>
      <w:r>
        <w:tab/>
      </w:r>
    </w:p>
    <w:p w14:paraId="32962125" w14:textId="04FC1E9D" w:rsidR="00200239" w:rsidRDefault="2B858AB1" w:rsidP="56DB1F18">
      <w:pPr>
        <w:rPr>
          <w:rFonts w:cs="Arial"/>
        </w:rPr>
      </w:pPr>
      <w:r w:rsidRPr="56DB1F18">
        <w:rPr>
          <w:rFonts w:cs="Arial"/>
        </w:rPr>
        <w:t xml:space="preserve">DEQ acknowledges these comments and thanks the </w:t>
      </w:r>
      <w:r w:rsidRPr="5ADB3238">
        <w:rPr>
          <w:rFonts w:cs="Arial"/>
        </w:rPr>
        <w:t>comment</w:t>
      </w:r>
      <w:r w:rsidR="67AF4059" w:rsidRPr="5ADB3238">
        <w:rPr>
          <w:rFonts w:cs="Arial"/>
        </w:rPr>
        <w:t>e</w:t>
      </w:r>
      <w:r w:rsidRPr="5ADB3238">
        <w:rPr>
          <w:rFonts w:cs="Arial"/>
        </w:rPr>
        <w:t>r</w:t>
      </w:r>
      <w:r w:rsidRPr="56DB1F18">
        <w:rPr>
          <w:rFonts w:cs="Arial"/>
        </w:rPr>
        <w:t xml:space="preserve"> for their input. Adjusting household income caps for the Charge Ahead Rebate is outside of the scope of this rulemaking. </w:t>
      </w:r>
      <w:r w:rsidR="767B0F18">
        <w:t>DEQ does not have the statutory authority to make changes to t</w:t>
      </w:r>
      <w:r w:rsidRPr="56DB1F18">
        <w:rPr>
          <w:rFonts w:cs="Arial"/>
        </w:rPr>
        <w:t>he Charge Ahead incom</w:t>
      </w:r>
      <w:r w:rsidR="22D9C6C4" w:rsidRPr="56DB1F18">
        <w:rPr>
          <w:rFonts w:cs="Arial"/>
        </w:rPr>
        <w:t>e</w:t>
      </w:r>
      <w:r w:rsidRPr="56DB1F18">
        <w:rPr>
          <w:rFonts w:cs="Arial"/>
        </w:rPr>
        <w:t xml:space="preserve"> </w:t>
      </w:r>
      <w:r w:rsidR="35983FEA" w:rsidRPr="56DB1F18">
        <w:rPr>
          <w:rFonts w:cs="Arial"/>
        </w:rPr>
        <w:t>requirements</w:t>
      </w:r>
      <w:r w:rsidR="07D7EA71" w:rsidRPr="56DB1F18">
        <w:rPr>
          <w:rFonts w:cs="Arial"/>
        </w:rPr>
        <w:t>.</w:t>
      </w:r>
    </w:p>
    <w:p w14:paraId="4D79DEE4" w14:textId="42400665" w:rsidR="56DB1F18" w:rsidRDefault="56DB1F18" w:rsidP="56DB1F18">
      <w:pPr>
        <w:rPr>
          <w:rFonts w:cs="Arial"/>
        </w:rPr>
      </w:pPr>
    </w:p>
    <w:p w14:paraId="06ED8000" w14:textId="426FFBCB" w:rsidR="00200239" w:rsidRPr="000A37ED" w:rsidRDefault="00200239" w:rsidP="00200239">
      <w:pPr>
        <w:pStyle w:val="Heading3"/>
      </w:pPr>
      <w:bookmarkStart w:id="90" w:name="_Toc226361786"/>
      <w:r w:rsidRPr="000A37ED">
        <w:t xml:space="preserve">Comment </w:t>
      </w:r>
      <w:r w:rsidR="00C26BC1" w:rsidRPr="000A37ED">
        <w:t>2</w:t>
      </w:r>
      <w:r w:rsidR="00C26BC1">
        <w:t>0</w:t>
      </w:r>
      <w:r w:rsidRPr="000A37ED">
        <w:t xml:space="preserve">: </w:t>
      </w:r>
      <w:r w:rsidR="00322577" w:rsidRPr="000A37ED">
        <w:t>OCVRP Miscellaneous – Other rebate incentive considerations</w:t>
      </w:r>
      <w:bookmarkEnd w:id="90"/>
    </w:p>
    <w:p w14:paraId="60543E7D" w14:textId="572F23E2" w:rsidR="00200239" w:rsidRPr="000A37ED" w:rsidRDefault="00200239" w:rsidP="56DB1F18">
      <w:pPr>
        <w:rPr>
          <w:rFonts w:cs="Arial"/>
        </w:rPr>
      </w:pPr>
      <w:r>
        <w:t xml:space="preserve">DEQ received </w:t>
      </w:r>
      <w:r w:rsidR="2317129F">
        <w:t>one</w:t>
      </w:r>
      <w:r>
        <w:t xml:space="preserve"> comment in this category from commenter </w:t>
      </w:r>
      <w:r w:rsidR="00360658">
        <w:t>20</w:t>
      </w:r>
      <w:r>
        <w:t xml:space="preserve"> </w:t>
      </w:r>
      <w:r w:rsidR="000A37ED" w:rsidRPr="56DB1F18">
        <w:rPr>
          <w:rFonts w:cs="Arial"/>
        </w:rPr>
        <w:t>encouraging DEQ</w:t>
      </w:r>
      <w:r w:rsidR="00200037" w:rsidRPr="56DB1F18">
        <w:rPr>
          <w:rFonts w:cs="Arial"/>
        </w:rPr>
        <w:t xml:space="preserve"> to</w:t>
      </w:r>
      <w:r w:rsidR="000A37ED" w:rsidRPr="56DB1F18">
        <w:rPr>
          <w:rFonts w:cs="Arial"/>
        </w:rPr>
        <w:t xml:space="preserve"> consider </w:t>
      </w:r>
      <w:r w:rsidR="375271F3" w:rsidRPr="56DB1F18">
        <w:rPr>
          <w:rFonts w:cs="Arial"/>
        </w:rPr>
        <w:t xml:space="preserve">OCVRP </w:t>
      </w:r>
      <w:r w:rsidR="000A37ED" w:rsidRPr="56DB1F18">
        <w:rPr>
          <w:rFonts w:cs="Arial"/>
        </w:rPr>
        <w:t>rebate incentives based on the weight of the vehicle</w:t>
      </w:r>
      <w:r w:rsidR="00200037" w:rsidRPr="56DB1F18">
        <w:rPr>
          <w:rFonts w:cs="Arial"/>
        </w:rPr>
        <w:t>,</w:t>
      </w:r>
      <w:r w:rsidR="000A37ED" w:rsidRPr="56DB1F18">
        <w:rPr>
          <w:rFonts w:cs="Arial"/>
        </w:rPr>
        <w:t xml:space="preserve"> with higher incentives being allocated to lower weight vehicles.</w:t>
      </w:r>
    </w:p>
    <w:p w14:paraId="1AEE2DFC" w14:textId="77777777" w:rsidR="00200239" w:rsidRDefault="00200239" w:rsidP="00200239">
      <w:pPr>
        <w:pStyle w:val="Heading4"/>
      </w:pPr>
      <w:r w:rsidRPr="00C50271">
        <w:t>Response</w:t>
      </w:r>
      <w:r>
        <w:tab/>
      </w:r>
    </w:p>
    <w:p w14:paraId="34DB62CD" w14:textId="67848893" w:rsidR="00200239" w:rsidRDefault="17B0335A" w:rsidP="56DB1F18">
      <w:pPr>
        <w:rPr>
          <w:rFonts w:cs="Arial"/>
        </w:rPr>
      </w:pPr>
      <w:r w:rsidRPr="56DB1F18">
        <w:rPr>
          <w:rFonts w:cs="Arial"/>
        </w:rPr>
        <w:t xml:space="preserve">DEQ acknowledges these comments and thanks the </w:t>
      </w:r>
      <w:r w:rsidRPr="5ADB3238">
        <w:rPr>
          <w:rFonts w:cs="Arial"/>
        </w:rPr>
        <w:t>comment</w:t>
      </w:r>
      <w:r w:rsidR="6A5520FE" w:rsidRPr="5ADB3238">
        <w:rPr>
          <w:rFonts w:cs="Arial"/>
        </w:rPr>
        <w:t>e</w:t>
      </w:r>
      <w:r w:rsidRPr="5ADB3238">
        <w:rPr>
          <w:rFonts w:cs="Arial"/>
        </w:rPr>
        <w:t>r</w:t>
      </w:r>
      <w:r w:rsidRPr="56DB1F18">
        <w:rPr>
          <w:rFonts w:cs="Arial"/>
        </w:rPr>
        <w:t xml:space="preserve"> for their input. Adjusting r</w:t>
      </w:r>
      <w:r w:rsidR="00A055A1">
        <w:rPr>
          <w:rFonts w:cs="Arial"/>
        </w:rPr>
        <w:t>e</w:t>
      </w:r>
      <w:r w:rsidRPr="56DB1F18">
        <w:rPr>
          <w:rFonts w:cs="Arial"/>
        </w:rPr>
        <w:t>bate levels by the weight of the vehicle is outside of the scope of this rulemaking.</w:t>
      </w:r>
      <w:r w:rsidR="4A519C56" w:rsidRPr="56DB1F18">
        <w:rPr>
          <w:rFonts w:cs="Arial"/>
        </w:rPr>
        <w:t xml:space="preserve"> </w:t>
      </w:r>
      <w:r w:rsidR="00C50271" w:rsidRPr="00C50271">
        <w:rPr>
          <w:rFonts w:cs="Arial"/>
        </w:rPr>
        <w:t>The proposed rule focuses on adjusting rebate levels based on battery capacity and rebate type, which aligns with the current statutory framework.</w:t>
      </w:r>
    </w:p>
    <w:p w14:paraId="58887B42" w14:textId="0C13A947" w:rsidR="00200239" w:rsidRDefault="00200239" w:rsidP="00200239"/>
    <w:p w14:paraId="48C05122" w14:textId="00DF967D" w:rsidR="00200239" w:rsidRPr="003B467A" w:rsidRDefault="00200239" w:rsidP="00200239">
      <w:pPr>
        <w:pStyle w:val="Heading3"/>
      </w:pPr>
      <w:bookmarkStart w:id="91" w:name="_Toc226361787"/>
      <w:r w:rsidRPr="003B467A">
        <w:t xml:space="preserve">Comment </w:t>
      </w:r>
      <w:r w:rsidR="00C26BC1" w:rsidRPr="003B467A">
        <w:t>2</w:t>
      </w:r>
      <w:r w:rsidR="00C26BC1">
        <w:t>1</w:t>
      </w:r>
      <w:r w:rsidRPr="003B467A">
        <w:t xml:space="preserve">: </w:t>
      </w:r>
      <w:r w:rsidR="00667410" w:rsidRPr="003B467A">
        <w:t>OCVRP Miscellaneous – Funding allocation</w:t>
      </w:r>
      <w:bookmarkEnd w:id="91"/>
    </w:p>
    <w:p w14:paraId="14F551C8" w14:textId="62786005" w:rsidR="00200239" w:rsidRPr="003B467A" w:rsidRDefault="00200239" w:rsidP="00200239">
      <w:r w:rsidRPr="003B467A">
        <w:t xml:space="preserve">DEQ received </w:t>
      </w:r>
      <w:r w:rsidR="30D99D44">
        <w:t>one</w:t>
      </w:r>
      <w:r w:rsidRPr="003B467A">
        <w:t xml:space="preserve"> comment in this category from commenter </w:t>
      </w:r>
      <w:r w:rsidR="00C64984" w:rsidRPr="003B467A">
        <w:t>2</w:t>
      </w:r>
      <w:r w:rsidRPr="003B467A">
        <w:t xml:space="preserve"> </w:t>
      </w:r>
      <w:r w:rsidR="003B467A" w:rsidRPr="5ADB3238">
        <w:rPr>
          <w:rFonts w:cs="Arial"/>
        </w:rPr>
        <w:t>expressing an interest DEQ moving unused funds from the Charge Ahead Rebates to the Standard Rebate to make EVs more affordable for middle-income individuals.</w:t>
      </w:r>
    </w:p>
    <w:p w14:paraId="224F23A0" w14:textId="77777777" w:rsidR="00200239" w:rsidRDefault="00200239" w:rsidP="00200239">
      <w:pPr>
        <w:pStyle w:val="Heading4"/>
      </w:pPr>
      <w:r w:rsidRPr="005B0DF2">
        <w:lastRenderedPageBreak/>
        <w:t>Response</w:t>
      </w:r>
      <w:r>
        <w:tab/>
      </w:r>
    </w:p>
    <w:p w14:paraId="4992EB35" w14:textId="0131D868" w:rsidR="005B0DF2" w:rsidRDefault="009E3F2E" w:rsidP="005B0DF2">
      <w:r w:rsidRPr="5ADB3238">
        <w:rPr>
          <w:rFonts w:cs="Arial"/>
          <w:kern w:val="0"/>
          <w14:ligatures w14:val="none"/>
        </w:rPr>
        <w:t>DEQ acknowledges these comments and thanks the comment</w:t>
      </w:r>
      <w:r w:rsidR="212DA39E" w:rsidRPr="5ADB3238">
        <w:rPr>
          <w:rFonts w:cs="Arial"/>
          <w:kern w:val="0"/>
          <w14:ligatures w14:val="none"/>
        </w:rPr>
        <w:t>e</w:t>
      </w:r>
      <w:r w:rsidRPr="5ADB3238">
        <w:rPr>
          <w:rFonts w:cs="Arial"/>
          <w:kern w:val="0"/>
          <w14:ligatures w14:val="none"/>
        </w:rPr>
        <w:t>r for their input</w:t>
      </w:r>
      <w:r w:rsidR="005B0DF2" w:rsidRPr="005B0DF2">
        <w:t>. Transferring funding from one rebate type to another is outside of the scope of this rulemaking. There is a statutory requirement to allocate at least 20% of funding to Charge Ahead Rebates.</w:t>
      </w:r>
    </w:p>
    <w:p w14:paraId="5375132E" w14:textId="77777777" w:rsidR="005B0DF2" w:rsidRPr="005B0DF2" w:rsidRDefault="005B0DF2" w:rsidP="005B0DF2"/>
    <w:p w14:paraId="3FFB3257" w14:textId="2948B539" w:rsidR="00200239" w:rsidRPr="00C84B69" w:rsidRDefault="00200239" w:rsidP="00200239">
      <w:pPr>
        <w:pStyle w:val="Heading3"/>
      </w:pPr>
      <w:bookmarkStart w:id="92" w:name="_Toc226361788"/>
      <w:r w:rsidRPr="00C84B69">
        <w:t xml:space="preserve">Comment </w:t>
      </w:r>
      <w:r w:rsidR="00C50271" w:rsidRPr="00C84B69">
        <w:t>2</w:t>
      </w:r>
      <w:r w:rsidR="00C50271">
        <w:t>2</w:t>
      </w:r>
      <w:r w:rsidRPr="00C84B69">
        <w:t xml:space="preserve">: </w:t>
      </w:r>
      <w:r w:rsidR="00960204" w:rsidRPr="00C84B69">
        <w:t>ZERO Fleet – Support for proposed application process updates</w:t>
      </w:r>
      <w:bookmarkEnd w:id="92"/>
    </w:p>
    <w:p w14:paraId="22C70C2C" w14:textId="7047B737" w:rsidR="00200239" w:rsidRPr="00C84B69" w:rsidRDefault="00200239" w:rsidP="56DB1F18">
      <w:pPr>
        <w:rPr>
          <w:rFonts w:cs="Arial"/>
        </w:rPr>
      </w:pPr>
      <w:r>
        <w:t xml:space="preserve">DEQ received </w:t>
      </w:r>
      <w:r w:rsidR="193B0C53">
        <w:t>two</w:t>
      </w:r>
      <w:r>
        <w:t xml:space="preserve"> comment</w:t>
      </w:r>
      <w:r w:rsidR="1FAFCA16">
        <w:t>s</w:t>
      </w:r>
      <w:r>
        <w:t xml:space="preserve"> in this category from commenter</w:t>
      </w:r>
      <w:r w:rsidR="7091DD66">
        <w:t>s</w:t>
      </w:r>
      <w:r>
        <w:t xml:space="preserve"> 16 </w:t>
      </w:r>
      <w:r w:rsidR="78FB2626">
        <w:t xml:space="preserve">and 24 </w:t>
      </w:r>
      <w:r w:rsidR="00C84B69" w:rsidRPr="56DB1F18">
        <w:rPr>
          <w:rFonts w:cs="Arial"/>
        </w:rPr>
        <w:t>supporting the proposed rules updates to the application process. Commenter 16 highlighted support for clearer vehicle eligibility criteria, application and review pathways and reservation flexibilities.</w:t>
      </w:r>
      <w:r w:rsidR="02C6E4D2" w:rsidRPr="56DB1F18">
        <w:rPr>
          <w:rFonts w:cs="Arial"/>
        </w:rPr>
        <w:t xml:space="preserve"> Commenter 24 noted the vouchers in ZERO Fleet will </w:t>
      </w:r>
      <w:r w:rsidR="00CA0C39" w:rsidRPr="56DB1F18">
        <w:rPr>
          <w:rFonts w:cs="Arial"/>
        </w:rPr>
        <w:t>improve</w:t>
      </w:r>
      <w:r w:rsidR="02C6E4D2" w:rsidRPr="56DB1F18">
        <w:rPr>
          <w:rFonts w:cs="Arial"/>
        </w:rPr>
        <w:t xml:space="preserve"> flexibility and competition.</w:t>
      </w:r>
    </w:p>
    <w:p w14:paraId="492AC249" w14:textId="77777777" w:rsidR="00200239" w:rsidRPr="00C50271" w:rsidRDefault="00200239" w:rsidP="00200239">
      <w:pPr>
        <w:pStyle w:val="Heading4"/>
      </w:pPr>
      <w:r w:rsidRPr="00C50271">
        <w:t>Response</w:t>
      </w:r>
      <w:r w:rsidRPr="00C50271">
        <w:tab/>
      </w:r>
    </w:p>
    <w:p w14:paraId="412500A0" w14:textId="2AC62D38" w:rsidR="00C84B69" w:rsidRPr="00C50271" w:rsidRDefault="464017CB" w:rsidP="08462CFC">
      <w:pPr>
        <w:rPr>
          <w:rFonts w:cs="Arial"/>
        </w:rPr>
      </w:pPr>
      <w:r w:rsidRPr="00C50271">
        <w:rPr>
          <w:rFonts w:cs="Arial"/>
        </w:rPr>
        <w:t xml:space="preserve">DEQ acknowledges these comments and thanks the </w:t>
      </w:r>
      <w:r w:rsidRPr="5ADB3238">
        <w:rPr>
          <w:rFonts w:cs="Arial"/>
        </w:rPr>
        <w:t>comment</w:t>
      </w:r>
      <w:r w:rsidR="66E2ED43" w:rsidRPr="5ADB3238">
        <w:rPr>
          <w:rFonts w:cs="Arial"/>
        </w:rPr>
        <w:t>e</w:t>
      </w:r>
      <w:r w:rsidRPr="5ADB3238">
        <w:rPr>
          <w:rFonts w:cs="Arial"/>
        </w:rPr>
        <w:t>rs</w:t>
      </w:r>
      <w:r w:rsidRPr="00C50271">
        <w:rPr>
          <w:rFonts w:cs="Arial"/>
        </w:rPr>
        <w:t xml:space="preserve"> for their inpu</w:t>
      </w:r>
      <w:r w:rsidR="70C0FFBB" w:rsidRPr="00C50271">
        <w:rPr>
          <w:rFonts w:cs="Arial"/>
        </w:rPr>
        <w:t xml:space="preserve">t and support of the updates to the rule for the ZERO Fleet Program. </w:t>
      </w:r>
    </w:p>
    <w:p w14:paraId="05E27DF3" w14:textId="77777777" w:rsidR="00C50271" w:rsidRPr="00C50271" w:rsidRDefault="00C50271" w:rsidP="08462CFC">
      <w:pPr>
        <w:rPr>
          <w:rFonts w:cs="Arial"/>
        </w:rPr>
      </w:pPr>
    </w:p>
    <w:p w14:paraId="2519E6D1" w14:textId="655D089F" w:rsidR="00200239" w:rsidRPr="00C50271" w:rsidRDefault="00200239" w:rsidP="00200239">
      <w:pPr>
        <w:pStyle w:val="Heading3"/>
      </w:pPr>
      <w:bookmarkStart w:id="93" w:name="_Toc226361789"/>
      <w:r w:rsidRPr="00C50271">
        <w:t xml:space="preserve">Comment </w:t>
      </w:r>
      <w:r w:rsidR="00C50271" w:rsidRPr="00C50271">
        <w:t>23</w:t>
      </w:r>
      <w:r w:rsidRPr="00C50271">
        <w:t xml:space="preserve">: </w:t>
      </w:r>
      <w:r w:rsidR="00024D01" w:rsidRPr="00C50271">
        <w:t>ZERO Fleet Miscellaneous – Rebate allocation caps by class</w:t>
      </w:r>
      <w:bookmarkEnd w:id="93"/>
    </w:p>
    <w:p w14:paraId="6DB8A827" w14:textId="54789CAF" w:rsidR="00200239" w:rsidRPr="00C50271" w:rsidRDefault="00200239" w:rsidP="00200239">
      <w:r w:rsidRPr="00C50271">
        <w:t xml:space="preserve">DEQ received </w:t>
      </w:r>
      <w:r w:rsidR="4E85410F">
        <w:t>one</w:t>
      </w:r>
      <w:r w:rsidRPr="00C50271">
        <w:t xml:space="preserve"> comment in this category from commenter 1</w:t>
      </w:r>
      <w:r w:rsidR="00024D01" w:rsidRPr="00C50271">
        <w:t>7</w:t>
      </w:r>
      <w:r w:rsidRPr="00C50271">
        <w:t xml:space="preserve"> </w:t>
      </w:r>
      <w:r w:rsidR="000C70CE" w:rsidRPr="5ADB3238">
        <w:rPr>
          <w:rFonts w:cs="Arial"/>
        </w:rPr>
        <w:t>encouraging DEQ to provide advance notice of rebate allocation changes and to consider protections for applications submitted prior to the change notification.</w:t>
      </w:r>
    </w:p>
    <w:p w14:paraId="3730086F" w14:textId="1CCD31E4" w:rsidR="00200239" w:rsidRPr="000C70CE" w:rsidRDefault="000C70CE" w:rsidP="000C70CE">
      <w:pPr>
        <w:pStyle w:val="Heading4"/>
      </w:pPr>
      <w:r w:rsidRPr="00C50271">
        <w:t>Response</w:t>
      </w:r>
    </w:p>
    <w:p w14:paraId="26C3A2AD" w14:textId="4C9EC59E" w:rsidR="65144343" w:rsidRDefault="65144343" w:rsidP="08462CFC">
      <w:pPr>
        <w:rPr>
          <w:rFonts w:cs="Arial"/>
        </w:rPr>
      </w:pPr>
      <w:r w:rsidRPr="56DB1F18">
        <w:rPr>
          <w:rFonts w:cs="Arial"/>
        </w:rPr>
        <w:t xml:space="preserve">DEQ appreciates the comments received and thanks the commenter for their input. DEQ will provide advance notice of any changes to rebate allocations through </w:t>
      </w:r>
      <w:r w:rsidR="00CC144B" w:rsidRPr="56DB1F18">
        <w:rPr>
          <w:rFonts w:cs="Arial"/>
        </w:rPr>
        <w:t>DEQ’s</w:t>
      </w:r>
      <w:r w:rsidRPr="56DB1F18">
        <w:rPr>
          <w:rFonts w:cs="Arial"/>
        </w:rPr>
        <w:t xml:space="preserve"> email list. </w:t>
      </w:r>
      <w:r w:rsidR="00CC144B" w:rsidRPr="56DB1F18">
        <w:rPr>
          <w:rFonts w:cs="Arial"/>
        </w:rPr>
        <w:t>DEQ</w:t>
      </w:r>
      <w:r w:rsidRPr="56DB1F18">
        <w:rPr>
          <w:rFonts w:cs="Arial"/>
        </w:rPr>
        <w:t xml:space="preserve"> will also consider appropriate safeguards for applications submitted prior to any announced changes.</w:t>
      </w:r>
    </w:p>
    <w:p w14:paraId="009E6429" w14:textId="77777777" w:rsidR="00C50271" w:rsidRDefault="00C50271" w:rsidP="08462CFC">
      <w:pPr>
        <w:rPr>
          <w:rFonts w:cs="Arial"/>
        </w:rPr>
      </w:pPr>
    </w:p>
    <w:p w14:paraId="04305917" w14:textId="658C28AE" w:rsidR="009E3F2E" w:rsidRDefault="70706632" w:rsidP="56DB1F18">
      <w:pPr>
        <w:pStyle w:val="Heading3"/>
        <w:spacing w:after="160"/>
      </w:pPr>
      <w:bookmarkStart w:id="94" w:name="_Toc226361790"/>
      <w:r>
        <w:t>Comment 2</w:t>
      </w:r>
      <w:r w:rsidR="00C50271">
        <w:t>4</w:t>
      </w:r>
      <w:r>
        <w:t xml:space="preserve">: ZERO Fleet Miscellaneous – </w:t>
      </w:r>
      <w:r w:rsidR="2310EE10">
        <w:t>Equity and Public Health Impacts</w:t>
      </w:r>
      <w:bookmarkEnd w:id="94"/>
      <w:r>
        <w:t xml:space="preserve"> </w:t>
      </w:r>
    </w:p>
    <w:p w14:paraId="3E4000F3" w14:textId="02101A31" w:rsidR="009E3F2E" w:rsidRDefault="70706632" w:rsidP="56DB1F18">
      <w:pPr>
        <w:spacing w:after="160"/>
      </w:pPr>
      <w:r>
        <w:t xml:space="preserve">DEQ received </w:t>
      </w:r>
      <w:r w:rsidR="25EC61EB">
        <w:t>one</w:t>
      </w:r>
      <w:r>
        <w:t xml:space="preserve"> c</w:t>
      </w:r>
      <w:r w:rsidR="36AE4A61">
        <w:t xml:space="preserve">omment </w:t>
      </w:r>
      <w:r w:rsidR="00DB7148">
        <w:t xml:space="preserve">from commenter </w:t>
      </w:r>
      <w:r w:rsidR="006A48FD">
        <w:t xml:space="preserve">24 </w:t>
      </w:r>
      <w:r w:rsidR="36AE4A61">
        <w:t>highlighting the equity and public health impacts of directing ZERO Fleet incentives toward reducing diesel exposure.</w:t>
      </w:r>
    </w:p>
    <w:p w14:paraId="7103D071" w14:textId="77777777" w:rsidR="083DDD23" w:rsidRDefault="083DDD23" w:rsidP="56DB1F18">
      <w:pPr>
        <w:pStyle w:val="Heading4"/>
      </w:pPr>
      <w:r w:rsidRPr="00C50271">
        <w:t>Response</w:t>
      </w:r>
      <w:r>
        <w:tab/>
      </w:r>
    </w:p>
    <w:p w14:paraId="5FBDC1C3" w14:textId="74FD73A8" w:rsidR="083DDD23" w:rsidRDefault="083DDD23" w:rsidP="56DB1F18">
      <w:pPr>
        <w:rPr>
          <w:rFonts w:cs="Arial"/>
        </w:rPr>
      </w:pPr>
      <w:r w:rsidRPr="56DB1F18">
        <w:rPr>
          <w:rFonts w:cs="Arial"/>
        </w:rPr>
        <w:t xml:space="preserve">DEQ acknowledges these comments and thanks the </w:t>
      </w:r>
      <w:r w:rsidRPr="5ADB3238">
        <w:rPr>
          <w:rFonts w:cs="Arial"/>
        </w:rPr>
        <w:t>comment</w:t>
      </w:r>
      <w:r w:rsidR="49C3685A" w:rsidRPr="5ADB3238">
        <w:rPr>
          <w:rFonts w:cs="Arial"/>
        </w:rPr>
        <w:t>e</w:t>
      </w:r>
      <w:r w:rsidRPr="5ADB3238">
        <w:rPr>
          <w:rFonts w:cs="Arial"/>
        </w:rPr>
        <w:t>r</w:t>
      </w:r>
      <w:r w:rsidRPr="56DB1F18">
        <w:rPr>
          <w:rFonts w:cs="Arial"/>
        </w:rPr>
        <w:t xml:space="preserve"> for their input and support of the updates to the rule for the ZERO Fleet Program.</w:t>
      </w:r>
    </w:p>
    <w:p w14:paraId="5779273A" w14:textId="73CA85CD" w:rsidR="56DB1F18" w:rsidRDefault="56DB1F18" w:rsidP="56DB1F18">
      <w:pPr>
        <w:spacing w:after="160"/>
      </w:pPr>
    </w:p>
    <w:p w14:paraId="14F6406A" w14:textId="56DB8B66" w:rsidR="002A6C74" w:rsidRDefault="002A6C74" w:rsidP="002A6C74">
      <w:pPr>
        <w:pStyle w:val="Heading2"/>
      </w:pPr>
      <w:bookmarkStart w:id="95" w:name="_Toc226361791"/>
      <w:r>
        <w:lastRenderedPageBreak/>
        <w:t>List of commenters</w:t>
      </w:r>
      <w:bookmarkEnd w:id="95"/>
    </w:p>
    <w:tbl>
      <w:tblPr>
        <w:tblStyle w:val="TableGrid"/>
        <w:tblW w:w="0" w:type="auto"/>
        <w:tblCellMar>
          <w:top w:w="58" w:type="dxa"/>
          <w:left w:w="58" w:type="dxa"/>
          <w:bottom w:w="58" w:type="dxa"/>
          <w:right w:w="58" w:type="dxa"/>
        </w:tblCellMar>
        <w:tblLook w:val="0620" w:firstRow="1" w:lastRow="0" w:firstColumn="0" w:lastColumn="0" w:noHBand="1" w:noVBand="1"/>
      </w:tblPr>
      <w:tblGrid>
        <w:gridCol w:w="715"/>
        <w:gridCol w:w="3025"/>
        <w:gridCol w:w="2825"/>
        <w:gridCol w:w="1350"/>
        <w:gridCol w:w="1435"/>
      </w:tblGrid>
      <w:tr w:rsidR="002A6C74" w14:paraId="6BE7666B" w14:textId="77777777" w:rsidTr="00F50C5E">
        <w:tc>
          <w:tcPr>
            <w:tcW w:w="715" w:type="dxa"/>
            <w:shd w:val="clear" w:color="auto" w:fill="D9F2D0" w:themeFill="accent6" w:themeFillTint="33"/>
            <w:vAlign w:val="center"/>
          </w:tcPr>
          <w:p w14:paraId="6DD03933" w14:textId="1074611E" w:rsidR="002A6C74" w:rsidRDefault="002A6C74" w:rsidP="00901515">
            <w:pPr>
              <w:pStyle w:val="TableHeader"/>
            </w:pPr>
            <w:r w:rsidRPr="00C25610">
              <w:t>#</w:t>
            </w:r>
          </w:p>
        </w:tc>
        <w:tc>
          <w:tcPr>
            <w:tcW w:w="3025" w:type="dxa"/>
            <w:shd w:val="clear" w:color="auto" w:fill="D9F2D0" w:themeFill="accent6" w:themeFillTint="33"/>
            <w:vAlign w:val="center"/>
          </w:tcPr>
          <w:p w14:paraId="682F45A6" w14:textId="5BBE6A47" w:rsidR="002A6C74" w:rsidRDefault="002A6C74" w:rsidP="00901515">
            <w:pPr>
              <w:pStyle w:val="TableHeader"/>
            </w:pPr>
            <w:r w:rsidRPr="00C25610">
              <w:t>Name</w:t>
            </w:r>
          </w:p>
        </w:tc>
        <w:tc>
          <w:tcPr>
            <w:tcW w:w="2825" w:type="dxa"/>
            <w:shd w:val="clear" w:color="auto" w:fill="D9F2D0" w:themeFill="accent6" w:themeFillTint="33"/>
            <w:vAlign w:val="center"/>
          </w:tcPr>
          <w:p w14:paraId="788FCF56" w14:textId="33001058" w:rsidR="002A6C74" w:rsidRDefault="002A6C74" w:rsidP="00901515">
            <w:pPr>
              <w:pStyle w:val="TableHeader"/>
            </w:pPr>
            <w:r w:rsidRPr="00C25610">
              <w:t>Organization</w:t>
            </w:r>
          </w:p>
        </w:tc>
        <w:tc>
          <w:tcPr>
            <w:tcW w:w="1350" w:type="dxa"/>
            <w:shd w:val="clear" w:color="auto" w:fill="D9F2D0" w:themeFill="accent6" w:themeFillTint="33"/>
            <w:vAlign w:val="center"/>
          </w:tcPr>
          <w:p w14:paraId="401214DF" w14:textId="247FBEB0" w:rsidR="002A6C74" w:rsidRDefault="002A6C74" w:rsidP="00901515">
            <w:pPr>
              <w:pStyle w:val="TableHeader"/>
            </w:pPr>
            <w:r w:rsidRPr="00C25610">
              <w:t>Comment Number</w:t>
            </w:r>
          </w:p>
        </w:tc>
        <w:tc>
          <w:tcPr>
            <w:tcW w:w="1435" w:type="dxa"/>
            <w:shd w:val="clear" w:color="auto" w:fill="D9F2D0" w:themeFill="accent6" w:themeFillTint="33"/>
            <w:vAlign w:val="center"/>
          </w:tcPr>
          <w:p w14:paraId="10B787F4" w14:textId="53C31AB0" w:rsidR="002A6C74" w:rsidRDefault="002A6C74" w:rsidP="00901515">
            <w:pPr>
              <w:pStyle w:val="TableHeader"/>
            </w:pPr>
            <w:r w:rsidRPr="00C25610">
              <w:t>Hearing #</w:t>
            </w:r>
          </w:p>
        </w:tc>
      </w:tr>
      <w:tr w:rsidR="000C49E5" w14:paraId="351E6995" w14:textId="77777777" w:rsidTr="000C49E5">
        <w:tc>
          <w:tcPr>
            <w:tcW w:w="715" w:type="dxa"/>
            <w:vAlign w:val="center"/>
          </w:tcPr>
          <w:p w14:paraId="2750FB5A" w14:textId="56F7FB1D" w:rsidR="000C49E5" w:rsidRPr="00901515" w:rsidRDefault="000C49E5" w:rsidP="000C49E5">
            <w:pPr>
              <w:spacing w:after="0"/>
              <w:jc w:val="center"/>
            </w:pPr>
            <w:r w:rsidRPr="00901515">
              <w:t>1</w:t>
            </w:r>
          </w:p>
        </w:tc>
        <w:tc>
          <w:tcPr>
            <w:tcW w:w="3025" w:type="dxa"/>
            <w:vAlign w:val="center"/>
          </w:tcPr>
          <w:p w14:paraId="68C7757F" w14:textId="0899AF9F" w:rsidR="000C49E5" w:rsidRPr="00FB684E" w:rsidRDefault="000C49E5" w:rsidP="000C49E5">
            <w:pPr>
              <w:spacing w:after="0"/>
              <w:jc w:val="center"/>
            </w:pPr>
            <w:r w:rsidRPr="00FB684E">
              <w:t>Jeanette Badon</w:t>
            </w:r>
          </w:p>
        </w:tc>
        <w:tc>
          <w:tcPr>
            <w:tcW w:w="2825" w:type="dxa"/>
            <w:vAlign w:val="center"/>
          </w:tcPr>
          <w:p w14:paraId="46F3861E" w14:textId="77777777" w:rsidR="000C49E5" w:rsidRDefault="000C49E5" w:rsidP="000C49E5">
            <w:pPr>
              <w:spacing w:after="0"/>
              <w:jc w:val="center"/>
            </w:pPr>
          </w:p>
        </w:tc>
        <w:tc>
          <w:tcPr>
            <w:tcW w:w="1350" w:type="dxa"/>
          </w:tcPr>
          <w:p w14:paraId="076D05D8" w14:textId="2D674D49" w:rsidR="000C49E5" w:rsidRDefault="000C49E5" w:rsidP="000C49E5">
            <w:pPr>
              <w:spacing w:after="0"/>
              <w:jc w:val="center"/>
            </w:pPr>
            <w:r w:rsidRPr="003644F3">
              <w:t>13</w:t>
            </w:r>
          </w:p>
        </w:tc>
        <w:tc>
          <w:tcPr>
            <w:tcW w:w="1435" w:type="dxa"/>
            <w:vAlign w:val="center"/>
          </w:tcPr>
          <w:p w14:paraId="7C85D3E1" w14:textId="010C603E" w:rsidR="000C49E5" w:rsidRDefault="000C49E5" w:rsidP="000C49E5">
            <w:pPr>
              <w:spacing w:after="0"/>
              <w:jc w:val="center"/>
            </w:pPr>
          </w:p>
        </w:tc>
      </w:tr>
      <w:tr w:rsidR="000C49E5" w14:paraId="760BF69E" w14:textId="77777777" w:rsidTr="000C49E5">
        <w:tc>
          <w:tcPr>
            <w:tcW w:w="715" w:type="dxa"/>
            <w:vAlign w:val="center"/>
          </w:tcPr>
          <w:p w14:paraId="6AC542EE" w14:textId="02696619" w:rsidR="000C49E5" w:rsidRPr="00901515" w:rsidRDefault="000C49E5" w:rsidP="000C49E5">
            <w:pPr>
              <w:spacing w:after="0"/>
              <w:jc w:val="center"/>
            </w:pPr>
            <w:r w:rsidRPr="00901515">
              <w:t>2</w:t>
            </w:r>
          </w:p>
        </w:tc>
        <w:tc>
          <w:tcPr>
            <w:tcW w:w="3025" w:type="dxa"/>
            <w:vAlign w:val="center"/>
          </w:tcPr>
          <w:p w14:paraId="2CA5A171" w14:textId="0D6B6533" w:rsidR="000C49E5" w:rsidRPr="00FB684E" w:rsidRDefault="000C49E5" w:rsidP="000C49E5">
            <w:pPr>
              <w:spacing w:after="0"/>
              <w:jc w:val="center"/>
            </w:pPr>
            <w:r w:rsidRPr="00FB684E">
              <w:t>Sam Ko</w:t>
            </w:r>
          </w:p>
        </w:tc>
        <w:tc>
          <w:tcPr>
            <w:tcW w:w="2825" w:type="dxa"/>
            <w:vAlign w:val="center"/>
          </w:tcPr>
          <w:p w14:paraId="692F44FD" w14:textId="77777777" w:rsidR="000C49E5" w:rsidRDefault="000C49E5" w:rsidP="000C49E5">
            <w:pPr>
              <w:spacing w:after="0"/>
              <w:jc w:val="center"/>
            </w:pPr>
          </w:p>
        </w:tc>
        <w:tc>
          <w:tcPr>
            <w:tcW w:w="1350" w:type="dxa"/>
          </w:tcPr>
          <w:p w14:paraId="55768F0D" w14:textId="6F0CC6BA" w:rsidR="000C49E5" w:rsidRDefault="000C49E5" w:rsidP="000C49E5">
            <w:pPr>
              <w:spacing w:after="0"/>
              <w:jc w:val="center"/>
            </w:pPr>
            <w:r w:rsidRPr="003644F3">
              <w:t>4, 21</w:t>
            </w:r>
          </w:p>
        </w:tc>
        <w:tc>
          <w:tcPr>
            <w:tcW w:w="1435" w:type="dxa"/>
            <w:vAlign w:val="center"/>
          </w:tcPr>
          <w:p w14:paraId="405ACA34" w14:textId="77777777" w:rsidR="000C49E5" w:rsidRDefault="000C49E5" w:rsidP="000C49E5">
            <w:pPr>
              <w:spacing w:after="0"/>
              <w:jc w:val="center"/>
            </w:pPr>
          </w:p>
        </w:tc>
      </w:tr>
      <w:tr w:rsidR="000C49E5" w14:paraId="005EEA9A" w14:textId="77777777" w:rsidTr="000C49E5">
        <w:tc>
          <w:tcPr>
            <w:tcW w:w="715" w:type="dxa"/>
            <w:vAlign w:val="center"/>
          </w:tcPr>
          <w:p w14:paraId="44010169" w14:textId="207E8967" w:rsidR="000C49E5" w:rsidRPr="00901515" w:rsidRDefault="000C49E5" w:rsidP="000C49E5">
            <w:pPr>
              <w:spacing w:after="0"/>
              <w:jc w:val="center"/>
            </w:pPr>
            <w:r w:rsidRPr="00901515">
              <w:t>3</w:t>
            </w:r>
          </w:p>
        </w:tc>
        <w:tc>
          <w:tcPr>
            <w:tcW w:w="3025" w:type="dxa"/>
            <w:vAlign w:val="center"/>
          </w:tcPr>
          <w:p w14:paraId="759FF647" w14:textId="4D815FA1" w:rsidR="000C49E5" w:rsidRPr="00FB684E" w:rsidRDefault="000C49E5" w:rsidP="000C49E5">
            <w:pPr>
              <w:spacing w:after="0"/>
              <w:jc w:val="center"/>
            </w:pPr>
            <w:r w:rsidRPr="00FB684E">
              <w:t>Herb Fredricksen</w:t>
            </w:r>
          </w:p>
        </w:tc>
        <w:tc>
          <w:tcPr>
            <w:tcW w:w="2825" w:type="dxa"/>
            <w:vAlign w:val="center"/>
          </w:tcPr>
          <w:p w14:paraId="14B7F988" w14:textId="77777777" w:rsidR="000C49E5" w:rsidRDefault="000C49E5" w:rsidP="000C49E5">
            <w:pPr>
              <w:spacing w:after="0"/>
              <w:jc w:val="center"/>
            </w:pPr>
          </w:p>
        </w:tc>
        <w:tc>
          <w:tcPr>
            <w:tcW w:w="1350" w:type="dxa"/>
          </w:tcPr>
          <w:p w14:paraId="70EC9412" w14:textId="5830CC46" w:rsidR="000C49E5" w:rsidRDefault="000C49E5" w:rsidP="000C49E5">
            <w:pPr>
              <w:spacing w:after="0"/>
              <w:jc w:val="center"/>
            </w:pPr>
            <w:r w:rsidRPr="003644F3">
              <w:t>1, 4</w:t>
            </w:r>
          </w:p>
        </w:tc>
        <w:tc>
          <w:tcPr>
            <w:tcW w:w="1435" w:type="dxa"/>
            <w:vAlign w:val="center"/>
          </w:tcPr>
          <w:p w14:paraId="3EF9632F" w14:textId="77777777" w:rsidR="000C49E5" w:rsidRDefault="000C49E5" w:rsidP="000C49E5">
            <w:pPr>
              <w:spacing w:after="0"/>
              <w:jc w:val="center"/>
            </w:pPr>
          </w:p>
        </w:tc>
      </w:tr>
      <w:tr w:rsidR="000C49E5" w14:paraId="238719DE" w14:textId="77777777" w:rsidTr="000C49E5">
        <w:tc>
          <w:tcPr>
            <w:tcW w:w="715" w:type="dxa"/>
            <w:vAlign w:val="center"/>
          </w:tcPr>
          <w:p w14:paraId="4DADAAAC" w14:textId="4A84F322" w:rsidR="000C49E5" w:rsidRPr="00901515" w:rsidRDefault="000C49E5" w:rsidP="000C49E5">
            <w:pPr>
              <w:spacing w:after="0"/>
              <w:jc w:val="center"/>
            </w:pPr>
            <w:r>
              <w:t>4</w:t>
            </w:r>
          </w:p>
        </w:tc>
        <w:tc>
          <w:tcPr>
            <w:tcW w:w="3025" w:type="dxa"/>
            <w:vAlign w:val="center"/>
          </w:tcPr>
          <w:p w14:paraId="1A796061" w14:textId="0AA38975" w:rsidR="000C49E5" w:rsidRPr="00FB684E" w:rsidRDefault="000C49E5" w:rsidP="000C49E5">
            <w:pPr>
              <w:spacing w:after="0"/>
              <w:jc w:val="center"/>
            </w:pPr>
            <w:r w:rsidRPr="00FB684E">
              <w:t>Tom M</w:t>
            </w:r>
          </w:p>
        </w:tc>
        <w:tc>
          <w:tcPr>
            <w:tcW w:w="2825" w:type="dxa"/>
            <w:vAlign w:val="center"/>
          </w:tcPr>
          <w:p w14:paraId="3D731F30" w14:textId="77777777" w:rsidR="000C49E5" w:rsidRDefault="000C49E5" w:rsidP="000C49E5">
            <w:pPr>
              <w:spacing w:after="0"/>
              <w:jc w:val="center"/>
            </w:pPr>
          </w:p>
        </w:tc>
        <w:tc>
          <w:tcPr>
            <w:tcW w:w="1350" w:type="dxa"/>
          </w:tcPr>
          <w:p w14:paraId="048045E3" w14:textId="63197943" w:rsidR="000C49E5" w:rsidRDefault="000C49E5" w:rsidP="000C49E5">
            <w:pPr>
              <w:spacing w:after="0"/>
              <w:jc w:val="center"/>
            </w:pPr>
            <w:r w:rsidRPr="003644F3">
              <w:t>5</w:t>
            </w:r>
          </w:p>
        </w:tc>
        <w:tc>
          <w:tcPr>
            <w:tcW w:w="1435" w:type="dxa"/>
            <w:vAlign w:val="center"/>
          </w:tcPr>
          <w:p w14:paraId="4805D9F3" w14:textId="77777777" w:rsidR="000C49E5" w:rsidRDefault="000C49E5" w:rsidP="000C49E5">
            <w:pPr>
              <w:spacing w:after="0"/>
              <w:jc w:val="center"/>
            </w:pPr>
          </w:p>
        </w:tc>
      </w:tr>
      <w:tr w:rsidR="000C49E5" w14:paraId="2BD25DB9" w14:textId="77777777" w:rsidTr="000C49E5">
        <w:tc>
          <w:tcPr>
            <w:tcW w:w="715" w:type="dxa"/>
            <w:vAlign w:val="center"/>
          </w:tcPr>
          <w:p w14:paraId="10F82448" w14:textId="4CF51A61" w:rsidR="000C49E5" w:rsidRPr="00901515" w:rsidRDefault="000C49E5" w:rsidP="000C49E5">
            <w:pPr>
              <w:spacing w:after="0"/>
              <w:jc w:val="center"/>
            </w:pPr>
            <w:r>
              <w:t>5</w:t>
            </w:r>
          </w:p>
        </w:tc>
        <w:tc>
          <w:tcPr>
            <w:tcW w:w="3025" w:type="dxa"/>
            <w:vAlign w:val="center"/>
          </w:tcPr>
          <w:p w14:paraId="1A948E56" w14:textId="702447A7" w:rsidR="000C49E5" w:rsidRPr="00FB684E" w:rsidRDefault="000C49E5" w:rsidP="000C49E5">
            <w:pPr>
              <w:spacing w:after="0"/>
              <w:jc w:val="center"/>
            </w:pPr>
            <w:r w:rsidRPr="00FB684E">
              <w:t>Hein Zaw</w:t>
            </w:r>
          </w:p>
        </w:tc>
        <w:tc>
          <w:tcPr>
            <w:tcW w:w="2825" w:type="dxa"/>
            <w:vAlign w:val="center"/>
          </w:tcPr>
          <w:p w14:paraId="50254B37" w14:textId="77777777" w:rsidR="000C49E5" w:rsidRDefault="000C49E5" w:rsidP="000C49E5">
            <w:pPr>
              <w:spacing w:after="0"/>
              <w:jc w:val="center"/>
            </w:pPr>
          </w:p>
        </w:tc>
        <w:tc>
          <w:tcPr>
            <w:tcW w:w="1350" w:type="dxa"/>
          </w:tcPr>
          <w:p w14:paraId="41C34BE1" w14:textId="634DE564" w:rsidR="000C49E5" w:rsidRDefault="000C49E5" w:rsidP="000C49E5">
            <w:pPr>
              <w:spacing w:after="0"/>
              <w:jc w:val="center"/>
            </w:pPr>
            <w:r w:rsidRPr="003644F3">
              <w:t>5</w:t>
            </w:r>
          </w:p>
        </w:tc>
        <w:tc>
          <w:tcPr>
            <w:tcW w:w="1435" w:type="dxa"/>
            <w:vAlign w:val="center"/>
          </w:tcPr>
          <w:p w14:paraId="7C42DAD7" w14:textId="77777777" w:rsidR="000C49E5" w:rsidRDefault="000C49E5" w:rsidP="000C49E5">
            <w:pPr>
              <w:spacing w:after="0"/>
              <w:jc w:val="center"/>
            </w:pPr>
          </w:p>
        </w:tc>
      </w:tr>
      <w:tr w:rsidR="000C49E5" w14:paraId="1B92C2EC" w14:textId="77777777" w:rsidTr="000C49E5">
        <w:tc>
          <w:tcPr>
            <w:tcW w:w="715" w:type="dxa"/>
            <w:vAlign w:val="center"/>
          </w:tcPr>
          <w:p w14:paraId="4062402C" w14:textId="271B4570" w:rsidR="000C49E5" w:rsidRPr="00901515" w:rsidRDefault="000C49E5" w:rsidP="000C49E5">
            <w:pPr>
              <w:spacing w:after="0"/>
              <w:jc w:val="center"/>
            </w:pPr>
            <w:r>
              <w:t>6</w:t>
            </w:r>
          </w:p>
        </w:tc>
        <w:tc>
          <w:tcPr>
            <w:tcW w:w="3025" w:type="dxa"/>
            <w:vAlign w:val="center"/>
          </w:tcPr>
          <w:p w14:paraId="1444BA25" w14:textId="6448AD34" w:rsidR="000C49E5" w:rsidRPr="00FB684E" w:rsidRDefault="000C49E5" w:rsidP="000C49E5">
            <w:pPr>
              <w:spacing w:after="0"/>
              <w:jc w:val="center"/>
            </w:pPr>
            <w:r w:rsidRPr="00FB684E">
              <w:t>Sushil Thapa</w:t>
            </w:r>
          </w:p>
        </w:tc>
        <w:tc>
          <w:tcPr>
            <w:tcW w:w="2825" w:type="dxa"/>
            <w:vAlign w:val="center"/>
          </w:tcPr>
          <w:p w14:paraId="2BA5CEF8" w14:textId="77777777" w:rsidR="000C49E5" w:rsidRDefault="000C49E5" w:rsidP="000C49E5">
            <w:pPr>
              <w:spacing w:after="0"/>
              <w:jc w:val="center"/>
            </w:pPr>
          </w:p>
        </w:tc>
        <w:tc>
          <w:tcPr>
            <w:tcW w:w="1350" w:type="dxa"/>
          </w:tcPr>
          <w:p w14:paraId="1301DC69" w14:textId="3E66164E" w:rsidR="000C49E5" w:rsidRDefault="000C49E5" w:rsidP="000C49E5">
            <w:pPr>
              <w:spacing w:after="0"/>
              <w:jc w:val="center"/>
            </w:pPr>
            <w:r w:rsidRPr="003644F3">
              <w:t>17</w:t>
            </w:r>
          </w:p>
        </w:tc>
        <w:tc>
          <w:tcPr>
            <w:tcW w:w="1435" w:type="dxa"/>
            <w:vAlign w:val="center"/>
          </w:tcPr>
          <w:p w14:paraId="4971533A" w14:textId="77777777" w:rsidR="000C49E5" w:rsidRDefault="000C49E5" w:rsidP="000C49E5">
            <w:pPr>
              <w:spacing w:after="0"/>
              <w:jc w:val="center"/>
            </w:pPr>
          </w:p>
        </w:tc>
      </w:tr>
      <w:tr w:rsidR="000C49E5" w14:paraId="438B818F" w14:textId="77777777" w:rsidTr="000C49E5">
        <w:tc>
          <w:tcPr>
            <w:tcW w:w="715" w:type="dxa"/>
            <w:vAlign w:val="center"/>
          </w:tcPr>
          <w:p w14:paraId="7FB2A7C5" w14:textId="2DA3A35F" w:rsidR="000C49E5" w:rsidRPr="00901515" w:rsidRDefault="000C49E5" w:rsidP="000C49E5">
            <w:pPr>
              <w:spacing w:after="0"/>
              <w:jc w:val="center"/>
            </w:pPr>
            <w:r>
              <w:t>7</w:t>
            </w:r>
          </w:p>
        </w:tc>
        <w:tc>
          <w:tcPr>
            <w:tcW w:w="3025" w:type="dxa"/>
            <w:vAlign w:val="center"/>
          </w:tcPr>
          <w:p w14:paraId="03DB3D49" w14:textId="22BAA769" w:rsidR="000C49E5" w:rsidRPr="00FB684E" w:rsidRDefault="000C49E5" w:rsidP="000C49E5">
            <w:pPr>
              <w:spacing w:after="0"/>
              <w:jc w:val="center"/>
            </w:pPr>
            <w:r w:rsidRPr="00FB684E">
              <w:t>Bethany Rohdy</w:t>
            </w:r>
          </w:p>
        </w:tc>
        <w:tc>
          <w:tcPr>
            <w:tcW w:w="2825" w:type="dxa"/>
            <w:vAlign w:val="center"/>
          </w:tcPr>
          <w:p w14:paraId="0CCAD1CB" w14:textId="77777777" w:rsidR="000C49E5" w:rsidRDefault="000C49E5" w:rsidP="000C49E5">
            <w:pPr>
              <w:spacing w:after="0"/>
              <w:jc w:val="center"/>
            </w:pPr>
          </w:p>
        </w:tc>
        <w:tc>
          <w:tcPr>
            <w:tcW w:w="1350" w:type="dxa"/>
          </w:tcPr>
          <w:p w14:paraId="5BDF1C08" w14:textId="6D72742B" w:rsidR="000C49E5" w:rsidRDefault="000C49E5" w:rsidP="000C49E5">
            <w:pPr>
              <w:spacing w:after="0"/>
              <w:jc w:val="center"/>
            </w:pPr>
            <w:r w:rsidRPr="003644F3">
              <w:t>4, 5, 15</w:t>
            </w:r>
          </w:p>
        </w:tc>
        <w:tc>
          <w:tcPr>
            <w:tcW w:w="1435" w:type="dxa"/>
            <w:vAlign w:val="center"/>
          </w:tcPr>
          <w:p w14:paraId="19433D18" w14:textId="77777777" w:rsidR="000C49E5" w:rsidRDefault="000C49E5" w:rsidP="000C49E5">
            <w:pPr>
              <w:spacing w:after="0"/>
              <w:jc w:val="center"/>
            </w:pPr>
          </w:p>
        </w:tc>
      </w:tr>
      <w:tr w:rsidR="000C49E5" w14:paraId="2303F39E" w14:textId="77777777" w:rsidTr="000C49E5">
        <w:tc>
          <w:tcPr>
            <w:tcW w:w="715" w:type="dxa"/>
            <w:vAlign w:val="center"/>
          </w:tcPr>
          <w:p w14:paraId="59F61B7F" w14:textId="62B5C6C6" w:rsidR="000C49E5" w:rsidRPr="00901515" w:rsidRDefault="000C49E5" w:rsidP="000C49E5">
            <w:pPr>
              <w:spacing w:after="0"/>
              <w:jc w:val="center"/>
            </w:pPr>
            <w:r>
              <w:t>8</w:t>
            </w:r>
          </w:p>
        </w:tc>
        <w:tc>
          <w:tcPr>
            <w:tcW w:w="3025" w:type="dxa"/>
            <w:vAlign w:val="center"/>
          </w:tcPr>
          <w:p w14:paraId="5189BB17" w14:textId="33AF6AEC" w:rsidR="000C49E5" w:rsidRPr="00FB684E" w:rsidRDefault="000C49E5" w:rsidP="000C49E5">
            <w:pPr>
              <w:spacing w:after="0"/>
              <w:jc w:val="center"/>
            </w:pPr>
            <w:hyperlink r:id="rId53" w:tgtFrame="_blank" w:history="1">
              <w:r w:rsidRPr="000F0E98">
                <w:rPr>
                  <w:rStyle w:val="Hyperlink"/>
                  <w:color w:val="auto"/>
                </w:rPr>
                <w:t>model@exchangenet.net</w:t>
              </w:r>
            </w:hyperlink>
          </w:p>
        </w:tc>
        <w:tc>
          <w:tcPr>
            <w:tcW w:w="2825" w:type="dxa"/>
            <w:vAlign w:val="center"/>
          </w:tcPr>
          <w:p w14:paraId="2BDB4709" w14:textId="77777777" w:rsidR="000C49E5" w:rsidRDefault="000C49E5" w:rsidP="000C49E5">
            <w:pPr>
              <w:spacing w:after="0"/>
              <w:jc w:val="center"/>
            </w:pPr>
          </w:p>
        </w:tc>
        <w:tc>
          <w:tcPr>
            <w:tcW w:w="1350" w:type="dxa"/>
          </w:tcPr>
          <w:p w14:paraId="1640EA68" w14:textId="5ADF7A8C" w:rsidR="000C49E5" w:rsidRDefault="000C49E5" w:rsidP="000C49E5">
            <w:pPr>
              <w:spacing w:after="0"/>
              <w:jc w:val="center"/>
            </w:pPr>
            <w:r w:rsidRPr="003644F3">
              <w:t>1</w:t>
            </w:r>
          </w:p>
        </w:tc>
        <w:tc>
          <w:tcPr>
            <w:tcW w:w="1435" w:type="dxa"/>
            <w:vAlign w:val="center"/>
          </w:tcPr>
          <w:p w14:paraId="536D4BDB" w14:textId="77777777" w:rsidR="000C49E5" w:rsidRDefault="000C49E5" w:rsidP="000C49E5">
            <w:pPr>
              <w:spacing w:after="0"/>
              <w:jc w:val="center"/>
            </w:pPr>
          </w:p>
        </w:tc>
      </w:tr>
      <w:tr w:rsidR="000C49E5" w14:paraId="779E1F34" w14:textId="77777777" w:rsidTr="000C49E5">
        <w:tc>
          <w:tcPr>
            <w:tcW w:w="715" w:type="dxa"/>
            <w:vAlign w:val="center"/>
          </w:tcPr>
          <w:p w14:paraId="69A5ACD1" w14:textId="16D3BEB2" w:rsidR="000C49E5" w:rsidRPr="00901515" w:rsidRDefault="000C49E5" w:rsidP="000C49E5">
            <w:pPr>
              <w:spacing w:after="0"/>
              <w:jc w:val="center"/>
            </w:pPr>
            <w:r>
              <w:t>9</w:t>
            </w:r>
          </w:p>
        </w:tc>
        <w:tc>
          <w:tcPr>
            <w:tcW w:w="3025" w:type="dxa"/>
            <w:vAlign w:val="center"/>
          </w:tcPr>
          <w:p w14:paraId="13E3C584" w14:textId="5C88FA69" w:rsidR="000C49E5" w:rsidRPr="00FB684E" w:rsidRDefault="000C49E5" w:rsidP="000C49E5">
            <w:pPr>
              <w:spacing w:after="0"/>
              <w:jc w:val="center"/>
            </w:pPr>
            <w:r w:rsidRPr="00FB684E">
              <w:t>John Nassar</w:t>
            </w:r>
          </w:p>
        </w:tc>
        <w:tc>
          <w:tcPr>
            <w:tcW w:w="2825" w:type="dxa"/>
            <w:vAlign w:val="center"/>
          </w:tcPr>
          <w:p w14:paraId="241D0889" w14:textId="77777777" w:rsidR="000C49E5" w:rsidRDefault="000C49E5" w:rsidP="000C49E5">
            <w:pPr>
              <w:spacing w:after="0"/>
              <w:jc w:val="center"/>
            </w:pPr>
          </w:p>
        </w:tc>
        <w:tc>
          <w:tcPr>
            <w:tcW w:w="1350" w:type="dxa"/>
          </w:tcPr>
          <w:p w14:paraId="08DD305D" w14:textId="4A6D4079" w:rsidR="000C49E5" w:rsidRDefault="000C49E5" w:rsidP="000C49E5">
            <w:pPr>
              <w:spacing w:after="0"/>
              <w:jc w:val="center"/>
            </w:pPr>
            <w:r w:rsidRPr="003644F3">
              <w:t>4, 5, 12, 18</w:t>
            </w:r>
          </w:p>
        </w:tc>
        <w:tc>
          <w:tcPr>
            <w:tcW w:w="1435" w:type="dxa"/>
            <w:vAlign w:val="center"/>
          </w:tcPr>
          <w:p w14:paraId="289502EE" w14:textId="77777777" w:rsidR="000C49E5" w:rsidRDefault="000C49E5" w:rsidP="000C49E5">
            <w:pPr>
              <w:spacing w:after="0"/>
              <w:jc w:val="center"/>
            </w:pPr>
          </w:p>
        </w:tc>
      </w:tr>
      <w:tr w:rsidR="000C49E5" w14:paraId="5918E9B7" w14:textId="77777777" w:rsidTr="000C49E5">
        <w:tc>
          <w:tcPr>
            <w:tcW w:w="715" w:type="dxa"/>
            <w:vAlign w:val="center"/>
          </w:tcPr>
          <w:p w14:paraId="486DF697" w14:textId="321C277B" w:rsidR="000C49E5" w:rsidRPr="00901515" w:rsidRDefault="000C49E5" w:rsidP="000C49E5">
            <w:pPr>
              <w:spacing w:after="0"/>
              <w:jc w:val="center"/>
            </w:pPr>
            <w:r>
              <w:t>10</w:t>
            </w:r>
          </w:p>
        </w:tc>
        <w:tc>
          <w:tcPr>
            <w:tcW w:w="3025" w:type="dxa"/>
            <w:vAlign w:val="center"/>
          </w:tcPr>
          <w:p w14:paraId="3D99CCDB" w14:textId="78A34AC6" w:rsidR="000C49E5" w:rsidRPr="00FB684E" w:rsidRDefault="000C49E5" w:rsidP="000C49E5">
            <w:pPr>
              <w:spacing w:after="0"/>
              <w:jc w:val="center"/>
            </w:pPr>
            <w:r w:rsidRPr="00FB684E">
              <w:t>Dan Joseph</w:t>
            </w:r>
          </w:p>
        </w:tc>
        <w:tc>
          <w:tcPr>
            <w:tcW w:w="2825" w:type="dxa"/>
            <w:vAlign w:val="center"/>
          </w:tcPr>
          <w:p w14:paraId="5054CAC5" w14:textId="77777777" w:rsidR="000C49E5" w:rsidRDefault="000C49E5" w:rsidP="000C49E5">
            <w:pPr>
              <w:spacing w:after="0"/>
              <w:jc w:val="center"/>
            </w:pPr>
          </w:p>
        </w:tc>
        <w:tc>
          <w:tcPr>
            <w:tcW w:w="1350" w:type="dxa"/>
          </w:tcPr>
          <w:p w14:paraId="5FF3BFE8" w14:textId="5C4F4636" w:rsidR="000C49E5" w:rsidRDefault="000C49E5" w:rsidP="000C49E5">
            <w:pPr>
              <w:spacing w:after="0"/>
              <w:jc w:val="center"/>
            </w:pPr>
            <w:r w:rsidRPr="003644F3">
              <w:t>4, 6, 15</w:t>
            </w:r>
          </w:p>
        </w:tc>
        <w:tc>
          <w:tcPr>
            <w:tcW w:w="1435" w:type="dxa"/>
            <w:vAlign w:val="center"/>
          </w:tcPr>
          <w:p w14:paraId="2516070B" w14:textId="77777777" w:rsidR="000C49E5" w:rsidRDefault="000C49E5" w:rsidP="000C49E5">
            <w:pPr>
              <w:spacing w:after="0"/>
              <w:jc w:val="center"/>
            </w:pPr>
          </w:p>
        </w:tc>
      </w:tr>
      <w:tr w:rsidR="000C49E5" w14:paraId="5F6D32DF" w14:textId="77777777" w:rsidTr="000C49E5">
        <w:tc>
          <w:tcPr>
            <w:tcW w:w="715" w:type="dxa"/>
            <w:vAlign w:val="center"/>
          </w:tcPr>
          <w:p w14:paraId="2BCAFE94" w14:textId="69EE2727" w:rsidR="000C49E5" w:rsidRPr="00901515" w:rsidRDefault="000C49E5" w:rsidP="000C49E5">
            <w:pPr>
              <w:spacing w:after="0"/>
              <w:jc w:val="center"/>
            </w:pPr>
            <w:r>
              <w:t>11</w:t>
            </w:r>
          </w:p>
        </w:tc>
        <w:tc>
          <w:tcPr>
            <w:tcW w:w="3025" w:type="dxa"/>
            <w:vAlign w:val="center"/>
          </w:tcPr>
          <w:p w14:paraId="2595393A" w14:textId="74A665FC" w:rsidR="000C49E5" w:rsidRPr="00FB684E" w:rsidRDefault="000C49E5" w:rsidP="000C49E5">
            <w:pPr>
              <w:spacing w:after="0"/>
              <w:jc w:val="center"/>
            </w:pPr>
            <w:r w:rsidRPr="00FB684E">
              <w:t>David Burdick</w:t>
            </w:r>
          </w:p>
        </w:tc>
        <w:tc>
          <w:tcPr>
            <w:tcW w:w="2825" w:type="dxa"/>
            <w:vAlign w:val="center"/>
          </w:tcPr>
          <w:p w14:paraId="68C12828" w14:textId="47DEC2B3" w:rsidR="000C49E5" w:rsidRDefault="000C49E5" w:rsidP="000C49E5">
            <w:pPr>
              <w:spacing w:after="0"/>
              <w:jc w:val="center"/>
            </w:pPr>
            <w:r w:rsidRPr="00920861">
              <w:t>Sustainable Steps </w:t>
            </w:r>
          </w:p>
        </w:tc>
        <w:tc>
          <w:tcPr>
            <w:tcW w:w="1350" w:type="dxa"/>
          </w:tcPr>
          <w:p w14:paraId="552E6850" w14:textId="684560CE" w:rsidR="000C49E5" w:rsidRDefault="000C49E5" w:rsidP="000C49E5">
            <w:pPr>
              <w:spacing w:after="0"/>
              <w:jc w:val="center"/>
            </w:pPr>
            <w:r w:rsidRPr="003644F3">
              <w:t>8</w:t>
            </w:r>
          </w:p>
        </w:tc>
        <w:tc>
          <w:tcPr>
            <w:tcW w:w="1435" w:type="dxa"/>
            <w:vAlign w:val="center"/>
          </w:tcPr>
          <w:p w14:paraId="7064A079" w14:textId="77777777" w:rsidR="000C49E5" w:rsidRDefault="000C49E5" w:rsidP="000C49E5">
            <w:pPr>
              <w:spacing w:after="0"/>
              <w:jc w:val="center"/>
            </w:pPr>
          </w:p>
        </w:tc>
      </w:tr>
      <w:tr w:rsidR="000C49E5" w14:paraId="09029221" w14:textId="77777777" w:rsidTr="000C49E5">
        <w:tc>
          <w:tcPr>
            <w:tcW w:w="715" w:type="dxa"/>
            <w:vAlign w:val="center"/>
          </w:tcPr>
          <w:p w14:paraId="7B458B05" w14:textId="7E5EA7C3" w:rsidR="000C49E5" w:rsidRPr="00901515" w:rsidRDefault="000C49E5" w:rsidP="000C49E5">
            <w:pPr>
              <w:spacing w:after="0"/>
              <w:jc w:val="center"/>
            </w:pPr>
            <w:r>
              <w:t>12</w:t>
            </w:r>
          </w:p>
        </w:tc>
        <w:tc>
          <w:tcPr>
            <w:tcW w:w="3025" w:type="dxa"/>
            <w:vAlign w:val="center"/>
          </w:tcPr>
          <w:p w14:paraId="35F3423E" w14:textId="3875DA80" w:rsidR="000C49E5" w:rsidRPr="00FB684E" w:rsidRDefault="000C49E5" w:rsidP="000C49E5">
            <w:pPr>
              <w:spacing w:after="0"/>
              <w:jc w:val="center"/>
            </w:pPr>
            <w:r w:rsidRPr="00FB684E">
              <w:t>Steve Mitchell</w:t>
            </w:r>
          </w:p>
        </w:tc>
        <w:tc>
          <w:tcPr>
            <w:tcW w:w="2825" w:type="dxa"/>
            <w:vAlign w:val="center"/>
          </w:tcPr>
          <w:p w14:paraId="50410F14" w14:textId="2A15FBDE" w:rsidR="000C49E5" w:rsidRDefault="000C49E5" w:rsidP="000C49E5">
            <w:pPr>
              <w:spacing w:after="0"/>
              <w:jc w:val="center"/>
            </w:pPr>
            <w:r w:rsidRPr="00C40BFF">
              <w:t>Eurocar Sales Corporation</w:t>
            </w:r>
          </w:p>
        </w:tc>
        <w:tc>
          <w:tcPr>
            <w:tcW w:w="1350" w:type="dxa"/>
          </w:tcPr>
          <w:p w14:paraId="6AEC41D6" w14:textId="489F9AD9" w:rsidR="000C49E5" w:rsidRDefault="000C49E5" w:rsidP="000C49E5">
            <w:pPr>
              <w:spacing w:after="0"/>
              <w:jc w:val="center"/>
            </w:pPr>
            <w:r w:rsidRPr="003644F3">
              <w:t>16</w:t>
            </w:r>
          </w:p>
        </w:tc>
        <w:tc>
          <w:tcPr>
            <w:tcW w:w="1435" w:type="dxa"/>
            <w:vAlign w:val="center"/>
          </w:tcPr>
          <w:p w14:paraId="04A6AB34" w14:textId="77777777" w:rsidR="000C49E5" w:rsidRDefault="000C49E5" w:rsidP="000C49E5">
            <w:pPr>
              <w:spacing w:after="0"/>
              <w:jc w:val="center"/>
            </w:pPr>
          </w:p>
        </w:tc>
      </w:tr>
      <w:tr w:rsidR="000C49E5" w14:paraId="67D9DDDB" w14:textId="77777777" w:rsidTr="000C49E5">
        <w:tc>
          <w:tcPr>
            <w:tcW w:w="715" w:type="dxa"/>
            <w:vAlign w:val="center"/>
          </w:tcPr>
          <w:p w14:paraId="0653ADC6" w14:textId="3BDD3D18" w:rsidR="000C49E5" w:rsidRDefault="000C49E5" w:rsidP="000C49E5">
            <w:pPr>
              <w:spacing w:after="0"/>
              <w:jc w:val="center"/>
            </w:pPr>
            <w:r>
              <w:t>13</w:t>
            </w:r>
          </w:p>
        </w:tc>
        <w:tc>
          <w:tcPr>
            <w:tcW w:w="3025" w:type="dxa"/>
            <w:vAlign w:val="center"/>
          </w:tcPr>
          <w:p w14:paraId="533E308A" w14:textId="5FC4AC08" w:rsidR="000C49E5" w:rsidRPr="00FB684E" w:rsidRDefault="000C49E5" w:rsidP="000C49E5">
            <w:pPr>
              <w:spacing w:after="0"/>
              <w:jc w:val="center"/>
            </w:pPr>
            <w:r w:rsidRPr="00FB684E">
              <w:t>Dave and Kirsten Potter</w:t>
            </w:r>
          </w:p>
        </w:tc>
        <w:tc>
          <w:tcPr>
            <w:tcW w:w="2825" w:type="dxa"/>
            <w:vAlign w:val="center"/>
          </w:tcPr>
          <w:p w14:paraId="13D8ED09" w14:textId="77777777" w:rsidR="000C49E5" w:rsidRDefault="000C49E5" w:rsidP="000C49E5">
            <w:pPr>
              <w:spacing w:after="0"/>
              <w:jc w:val="center"/>
            </w:pPr>
          </w:p>
        </w:tc>
        <w:tc>
          <w:tcPr>
            <w:tcW w:w="1350" w:type="dxa"/>
          </w:tcPr>
          <w:p w14:paraId="040A3004" w14:textId="2E0452C5" w:rsidR="000C49E5" w:rsidRDefault="000C49E5" w:rsidP="000C49E5">
            <w:pPr>
              <w:spacing w:after="0"/>
              <w:jc w:val="center"/>
            </w:pPr>
            <w:r w:rsidRPr="003644F3">
              <w:t>1</w:t>
            </w:r>
          </w:p>
        </w:tc>
        <w:tc>
          <w:tcPr>
            <w:tcW w:w="1435" w:type="dxa"/>
            <w:vAlign w:val="center"/>
          </w:tcPr>
          <w:p w14:paraId="15E0B058" w14:textId="77777777" w:rsidR="000C49E5" w:rsidRDefault="000C49E5" w:rsidP="000C49E5">
            <w:pPr>
              <w:spacing w:after="0"/>
              <w:jc w:val="center"/>
            </w:pPr>
          </w:p>
        </w:tc>
      </w:tr>
      <w:tr w:rsidR="000C49E5" w14:paraId="526963AA" w14:textId="77777777" w:rsidTr="000C49E5">
        <w:tc>
          <w:tcPr>
            <w:tcW w:w="715" w:type="dxa"/>
            <w:vAlign w:val="center"/>
          </w:tcPr>
          <w:p w14:paraId="2C211C1C" w14:textId="6D24C6C3" w:rsidR="000C49E5" w:rsidRDefault="000C49E5" w:rsidP="000C49E5">
            <w:pPr>
              <w:spacing w:after="0"/>
              <w:jc w:val="center"/>
            </w:pPr>
            <w:r>
              <w:t>14</w:t>
            </w:r>
          </w:p>
        </w:tc>
        <w:tc>
          <w:tcPr>
            <w:tcW w:w="3025" w:type="dxa"/>
            <w:vAlign w:val="center"/>
          </w:tcPr>
          <w:p w14:paraId="0D403A30" w14:textId="57F83BE5" w:rsidR="000C49E5" w:rsidRPr="00FB684E" w:rsidRDefault="000C49E5" w:rsidP="000C49E5">
            <w:pPr>
              <w:spacing w:after="0"/>
              <w:jc w:val="center"/>
            </w:pPr>
            <w:r w:rsidRPr="00FB684E">
              <w:t>Edward Wolfe</w:t>
            </w:r>
          </w:p>
        </w:tc>
        <w:tc>
          <w:tcPr>
            <w:tcW w:w="2825" w:type="dxa"/>
            <w:vAlign w:val="center"/>
          </w:tcPr>
          <w:p w14:paraId="7404F902" w14:textId="77777777" w:rsidR="000C49E5" w:rsidRDefault="000C49E5" w:rsidP="000C49E5">
            <w:pPr>
              <w:spacing w:after="0"/>
              <w:jc w:val="center"/>
            </w:pPr>
          </w:p>
        </w:tc>
        <w:tc>
          <w:tcPr>
            <w:tcW w:w="1350" w:type="dxa"/>
          </w:tcPr>
          <w:p w14:paraId="7DD1BD0E" w14:textId="76E82488" w:rsidR="000C49E5" w:rsidRDefault="000C49E5" w:rsidP="000C49E5">
            <w:pPr>
              <w:spacing w:after="0"/>
              <w:jc w:val="center"/>
            </w:pPr>
            <w:r w:rsidRPr="003644F3">
              <w:t>2</w:t>
            </w:r>
          </w:p>
        </w:tc>
        <w:tc>
          <w:tcPr>
            <w:tcW w:w="1435" w:type="dxa"/>
            <w:vAlign w:val="center"/>
          </w:tcPr>
          <w:p w14:paraId="724EC1B0" w14:textId="77777777" w:rsidR="000C49E5" w:rsidRDefault="000C49E5" w:rsidP="000C49E5">
            <w:pPr>
              <w:spacing w:after="0"/>
              <w:jc w:val="center"/>
            </w:pPr>
          </w:p>
        </w:tc>
      </w:tr>
      <w:tr w:rsidR="000C49E5" w14:paraId="72588F26" w14:textId="77777777" w:rsidTr="000C49E5">
        <w:tc>
          <w:tcPr>
            <w:tcW w:w="715" w:type="dxa"/>
            <w:vAlign w:val="center"/>
          </w:tcPr>
          <w:p w14:paraId="30214BCC" w14:textId="27818EBB" w:rsidR="000C49E5" w:rsidRDefault="000C49E5" w:rsidP="000C49E5">
            <w:pPr>
              <w:spacing w:after="0"/>
              <w:jc w:val="center"/>
            </w:pPr>
            <w:r>
              <w:t>15</w:t>
            </w:r>
          </w:p>
        </w:tc>
        <w:tc>
          <w:tcPr>
            <w:tcW w:w="3025" w:type="dxa"/>
            <w:vAlign w:val="center"/>
          </w:tcPr>
          <w:p w14:paraId="08659F30" w14:textId="24F06B87" w:rsidR="000C49E5" w:rsidRPr="00FB684E" w:rsidRDefault="000C49E5" w:rsidP="000C49E5">
            <w:pPr>
              <w:spacing w:after="0"/>
              <w:jc w:val="center"/>
            </w:pPr>
            <w:r w:rsidRPr="00FB684E">
              <w:t> Joel Marsh</w:t>
            </w:r>
          </w:p>
        </w:tc>
        <w:tc>
          <w:tcPr>
            <w:tcW w:w="2825" w:type="dxa"/>
            <w:vAlign w:val="center"/>
          </w:tcPr>
          <w:p w14:paraId="3D98B241" w14:textId="77777777" w:rsidR="000C49E5" w:rsidRDefault="000C49E5" w:rsidP="000C49E5">
            <w:pPr>
              <w:spacing w:after="0"/>
              <w:jc w:val="center"/>
            </w:pPr>
          </w:p>
        </w:tc>
        <w:tc>
          <w:tcPr>
            <w:tcW w:w="1350" w:type="dxa"/>
          </w:tcPr>
          <w:p w14:paraId="25FB3BD6" w14:textId="42CE74DC" w:rsidR="000C49E5" w:rsidRDefault="000C49E5" w:rsidP="000C49E5">
            <w:pPr>
              <w:spacing w:after="0"/>
              <w:jc w:val="center"/>
            </w:pPr>
            <w:r w:rsidRPr="003644F3">
              <w:t>12</w:t>
            </w:r>
          </w:p>
        </w:tc>
        <w:tc>
          <w:tcPr>
            <w:tcW w:w="1435" w:type="dxa"/>
            <w:vAlign w:val="center"/>
          </w:tcPr>
          <w:p w14:paraId="32333A83" w14:textId="77777777" w:rsidR="000C49E5" w:rsidRDefault="000C49E5" w:rsidP="000C49E5">
            <w:pPr>
              <w:spacing w:after="0"/>
              <w:jc w:val="center"/>
            </w:pPr>
          </w:p>
        </w:tc>
      </w:tr>
      <w:tr w:rsidR="000C49E5" w14:paraId="010652EA" w14:textId="77777777" w:rsidTr="000C49E5">
        <w:tc>
          <w:tcPr>
            <w:tcW w:w="715" w:type="dxa"/>
            <w:vAlign w:val="center"/>
          </w:tcPr>
          <w:p w14:paraId="4A78A3A8" w14:textId="3FBAC8D1" w:rsidR="000C49E5" w:rsidRDefault="000C49E5" w:rsidP="000C49E5">
            <w:pPr>
              <w:spacing w:after="0"/>
              <w:jc w:val="center"/>
            </w:pPr>
            <w:r>
              <w:t>16</w:t>
            </w:r>
          </w:p>
        </w:tc>
        <w:tc>
          <w:tcPr>
            <w:tcW w:w="3025" w:type="dxa"/>
            <w:vAlign w:val="center"/>
          </w:tcPr>
          <w:p w14:paraId="112B51CE" w14:textId="62DC4FBD" w:rsidR="000C49E5" w:rsidRDefault="000C49E5" w:rsidP="000C49E5">
            <w:pPr>
              <w:spacing w:after="0"/>
              <w:jc w:val="center"/>
            </w:pPr>
            <w:r>
              <w:t xml:space="preserve">Brett Morgan, Stu Green, </w:t>
            </w:r>
            <w:r w:rsidRPr="00E62A08">
              <w:t>Kristopher Fortin Grijalva</w:t>
            </w:r>
          </w:p>
        </w:tc>
        <w:tc>
          <w:tcPr>
            <w:tcW w:w="2825" w:type="dxa"/>
            <w:vAlign w:val="center"/>
          </w:tcPr>
          <w:p w14:paraId="45EE0348" w14:textId="1976F607" w:rsidR="000C49E5" w:rsidRDefault="000C49E5" w:rsidP="000C49E5">
            <w:pPr>
              <w:spacing w:after="0"/>
              <w:jc w:val="center"/>
            </w:pPr>
            <w:r>
              <w:t>Climate Solutions, Forth, Oregon Environmental Council</w:t>
            </w:r>
          </w:p>
        </w:tc>
        <w:tc>
          <w:tcPr>
            <w:tcW w:w="1350" w:type="dxa"/>
          </w:tcPr>
          <w:p w14:paraId="5700CAE1" w14:textId="0565F4B7" w:rsidR="000C49E5" w:rsidRDefault="000C49E5" w:rsidP="000C49E5">
            <w:pPr>
              <w:spacing w:after="0"/>
              <w:jc w:val="center"/>
            </w:pPr>
            <w:r w:rsidRPr="003644F3">
              <w:t>1, 3, 5, 7, 9, 10, 12, 22</w:t>
            </w:r>
          </w:p>
        </w:tc>
        <w:tc>
          <w:tcPr>
            <w:tcW w:w="1435" w:type="dxa"/>
            <w:vAlign w:val="center"/>
          </w:tcPr>
          <w:p w14:paraId="5473FEE4" w14:textId="77777777" w:rsidR="000C49E5" w:rsidRDefault="000C49E5" w:rsidP="000C49E5">
            <w:pPr>
              <w:spacing w:after="0"/>
              <w:jc w:val="center"/>
            </w:pPr>
          </w:p>
        </w:tc>
      </w:tr>
      <w:tr w:rsidR="000C49E5" w14:paraId="4C78C2F5" w14:textId="77777777" w:rsidTr="000C49E5">
        <w:tc>
          <w:tcPr>
            <w:tcW w:w="715" w:type="dxa"/>
            <w:vAlign w:val="center"/>
          </w:tcPr>
          <w:p w14:paraId="6AA78591" w14:textId="3C56EED9" w:rsidR="000C49E5" w:rsidRDefault="000C49E5" w:rsidP="000C49E5">
            <w:pPr>
              <w:spacing w:after="0"/>
              <w:jc w:val="center"/>
            </w:pPr>
            <w:r>
              <w:t>17</w:t>
            </w:r>
          </w:p>
        </w:tc>
        <w:tc>
          <w:tcPr>
            <w:tcW w:w="3025" w:type="dxa"/>
            <w:vAlign w:val="center"/>
          </w:tcPr>
          <w:p w14:paraId="37BBEC1C" w14:textId="50AB6360" w:rsidR="000C49E5" w:rsidRPr="00A662C6" w:rsidRDefault="000C49E5" w:rsidP="000C49E5">
            <w:pPr>
              <w:spacing w:after="0"/>
              <w:jc w:val="center"/>
            </w:pPr>
            <w:r w:rsidRPr="00A662C6">
              <w:t>Ben Park</w:t>
            </w:r>
          </w:p>
        </w:tc>
        <w:tc>
          <w:tcPr>
            <w:tcW w:w="2825" w:type="dxa"/>
            <w:vAlign w:val="center"/>
          </w:tcPr>
          <w:p w14:paraId="3F5DCAB5" w14:textId="51A42B7B" w:rsidR="000C49E5" w:rsidRDefault="000C49E5" w:rsidP="000C49E5">
            <w:pPr>
              <w:spacing w:after="0"/>
              <w:jc w:val="center"/>
            </w:pPr>
            <w:r w:rsidRPr="00A11176">
              <w:t>Park Homes LLC </w:t>
            </w:r>
          </w:p>
        </w:tc>
        <w:tc>
          <w:tcPr>
            <w:tcW w:w="1350" w:type="dxa"/>
          </w:tcPr>
          <w:p w14:paraId="0C36681C" w14:textId="3369CD53" w:rsidR="000C49E5" w:rsidRDefault="000C49E5" w:rsidP="000C49E5">
            <w:pPr>
              <w:spacing w:after="0"/>
              <w:jc w:val="center"/>
            </w:pPr>
            <w:r w:rsidRPr="003644F3">
              <w:t>23</w:t>
            </w:r>
          </w:p>
        </w:tc>
        <w:tc>
          <w:tcPr>
            <w:tcW w:w="1435" w:type="dxa"/>
            <w:vAlign w:val="center"/>
          </w:tcPr>
          <w:p w14:paraId="1E44B24C" w14:textId="77777777" w:rsidR="000C49E5" w:rsidRDefault="000C49E5" w:rsidP="000C49E5">
            <w:pPr>
              <w:spacing w:after="0"/>
              <w:jc w:val="center"/>
            </w:pPr>
          </w:p>
        </w:tc>
      </w:tr>
      <w:tr w:rsidR="000C49E5" w14:paraId="1DF48742" w14:textId="77777777" w:rsidTr="000C49E5">
        <w:tc>
          <w:tcPr>
            <w:tcW w:w="715" w:type="dxa"/>
            <w:vAlign w:val="center"/>
          </w:tcPr>
          <w:p w14:paraId="4FDC176E" w14:textId="34C659CF" w:rsidR="000C49E5" w:rsidRDefault="000C49E5" w:rsidP="000C49E5">
            <w:pPr>
              <w:spacing w:after="0"/>
              <w:jc w:val="center"/>
            </w:pPr>
            <w:r>
              <w:t>18</w:t>
            </w:r>
          </w:p>
        </w:tc>
        <w:tc>
          <w:tcPr>
            <w:tcW w:w="3025" w:type="dxa"/>
            <w:vAlign w:val="center"/>
          </w:tcPr>
          <w:p w14:paraId="497BBC6A" w14:textId="539807FA" w:rsidR="000C49E5" w:rsidRPr="00A662C6" w:rsidRDefault="000C49E5" w:rsidP="000C49E5">
            <w:pPr>
              <w:spacing w:after="0"/>
              <w:jc w:val="center"/>
            </w:pPr>
            <w:r w:rsidRPr="002238F2">
              <w:t>Matthew Poulter</w:t>
            </w:r>
          </w:p>
        </w:tc>
        <w:tc>
          <w:tcPr>
            <w:tcW w:w="2825" w:type="dxa"/>
            <w:vAlign w:val="center"/>
          </w:tcPr>
          <w:p w14:paraId="2AF8061A" w14:textId="77777777" w:rsidR="000C49E5" w:rsidRDefault="000C49E5" w:rsidP="000C49E5">
            <w:pPr>
              <w:spacing w:after="0"/>
              <w:jc w:val="center"/>
            </w:pPr>
          </w:p>
        </w:tc>
        <w:tc>
          <w:tcPr>
            <w:tcW w:w="1350" w:type="dxa"/>
          </w:tcPr>
          <w:p w14:paraId="080ED3E3" w14:textId="7CF6AF82" w:rsidR="000C49E5" w:rsidRDefault="000C49E5" w:rsidP="000C49E5">
            <w:pPr>
              <w:spacing w:after="0"/>
              <w:jc w:val="center"/>
            </w:pPr>
            <w:r w:rsidRPr="003644F3">
              <w:t>14</w:t>
            </w:r>
          </w:p>
        </w:tc>
        <w:tc>
          <w:tcPr>
            <w:tcW w:w="1435" w:type="dxa"/>
            <w:vAlign w:val="center"/>
          </w:tcPr>
          <w:p w14:paraId="3BE36709" w14:textId="77777777" w:rsidR="000C49E5" w:rsidRDefault="000C49E5" w:rsidP="000C49E5">
            <w:pPr>
              <w:spacing w:after="0"/>
              <w:jc w:val="center"/>
            </w:pPr>
          </w:p>
        </w:tc>
      </w:tr>
      <w:tr w:rsidR="000C49E5" w14:paraId="2A0049DF" w14:textId="77777777" w:rsidTr="000C49E5">
        <w:tc>
          <w:tcPr>
            <w:tcW w:w="715" w:type="dxa"/>
            <w:vAlign w:val="center"/>
          </w:tcPr>
          <w:p w14:paraId="48F5B14A" w14:textId="6AFC6970" w:rsidR="000C49E5" w:rsidRDefault="000C49E5" w:rsidP="000C49E5">
            <w:pPr>
              <w:spacing w:after="0"/>
              <w:jc w:val="center"/>
            </w:pPr>
            <w:r>
              <w:t>19</w:t>
            </w:r>
          </w:p>
        </w:tc>
        <w:tc>
          <w:tcPr>
            <w:tcW w:w="3025" w:type="dxa"/>
            <w:vAlign w:val="center"/>
          </w:tcPr>
          <w:p w14:paraId="149F3435" w14:textId="5B8B5EF5" w:rsidR="000C49E5" w:rsidRPr="00A662C6" w:rsidRDefault="000C49E5" w:rsidP="000C49E5">
            <w:pPr>
              <w:spacing w:after="0"/>
              <w:jc w:val="center"/>
            </w:pPr>
            <w:r w:rsidRPr="002238F2">
              <w:t>David King</w:t>
            </w:r>
          </w:p>
        </w:tc>
        <w:tc>
          <w:tcPr>
            <w:tcW w:w="2825" w:type="dxa"/>
            <w:vAlign w:val="center"/>
          </w:tcPr>
          <w:p w14:paraId="3AA2A44E" w14:textId="77777777" w:rsidR="000C49E5" w:rsidRDefault="000C49E5" w:rsidP="000C49E5">
            <w:pPr>
              <w:spacing w:after="0"/>
              <w:jc w:val="center"/>
            </w:pPr>
          </w:p>
        </w:tc>
        <w:tc>
          <w:tcPr>
            <w:tcW w:w="1350" w:type="dxa"/>
          </w:tcPr>
          <w:p w14:paraId="0C861004" w14:textId="1EB7FD93" w:rsidR="000C49E5" w:rsidRDefault="000C49E5" w:rsidP="000C49E5">
            <w:pPr>
              <w:spacing w:after="0"/>
              <w:jc w:val="center"/>
            </w:pPr>
            <w:r w:rsidRPr="003644F3">
              <w:t>5, 7, 10, 19</w:t>
            </w:r>
          </w:p>
        </w:tc>
        <w:tc>
          <w:tcPr>
            <w:tcW w:w="1435" w:type="dxa"/>
            <w:vAlign w:val="center"/>
          </w:tcPr>
          <w:p w14:paraId="0E212E77" w14:textId="77777777" w:rsidR="000C49E5" w:rsidRDefault="000C49E5" w:rsidP="000C49E5">
            <w:pPr>
              <w:spacing w:after="0"/>
              <w:jc w:val="center"/>
            </w:pPr>
          </w:p>
        </w:tc>
      </w:tr>
      <w:tr w:rsidR="000C49E5" w14:paraId="5A3258B2" w14:textId="77777777" w:rsidTr="000C49E5">
        <w:tc>
          <w:tcPr>
            <w:tcW w:w="715" w:type="dxa"/>
            <w:vAlign w:val="center"/>
          </w:tcPr>
          <w:p w14:paraId="681EC427" w14:textId="78421ADC" w:rsidR="000C49E5" w:rsidRDefault="000C49E5" w:rsidP="000C49E5">
            <w:pPr>
              <w:spacing w:after="0"/>
              <w:jc w:val="center"/>
            </w:pPr>
            <w:r>
              <w:t>20</w:t>
            </w:r>
          </w:p>
        </w:tc>
        <w:tc>
          <w:tcPr>
            <w:tcW w:w="3025" w:type="dxa"/>
            <w:vAlign w:val="center"/>
          </w:tcPr>
          <w:p w14:paraId="7F580BB1" w14:textId="01870C03" w:rsidR="000C49E5" w:rsidRPr="00A662C6" w:rsidRDefault="000C49E5" w:rsidP="000C49E5">
            <w:pPr>
              <w:spacing w:after="0"/>
              <w:jc w:val="center"/>
            </w:pPr>
            <w:r w:rsidRPr="002238F2">
              <w:t>Keith Walker</w:t>
            </w:r>
          </w:p>
        </w:tc>
        <w:tc>
          <w:tcPr>
            <w:tcW w:w="2825" w:type="dxa"/>
            <w:vAlign w:val="center"/>
          </w:tcPr>
          <w:p w14:paraId="6FC58B58" w14:textId="77777777" w:rsidR="000C49E5" w:rsidRDefault="000C49E5" w:rsidP="000C49E5">
            <w:pPr>
              <w:spacing w:after="0"/>
              <w:jc w:val="center"/>
            </w:pPr>
          </w:p>
        </w:tc>
        <w:tc>
          <w:tcPr>
            <w:tcW w:w="1350" w:type="dxa"/>
          </w:tcPr>
          <w:p w14:paraId="087FAD87" w14:textId="1387A0E2" w:rsidR="000C49E5" w:rsidRDefault="000C49E5" w:rsidP="000C49E5">
            <w:pPr>
              <w:spacing w:after="0"/>
              <w:jc w:val="center"/>
            </w:pPr>
            <w:r w:rsidRPr="003644F3">
              <w:t>5, 10, 11, 20</w:t>
            </w:r>
          </w:p>
        </w:tc>
        <w:tc>
          <w:tcPr>
            <w:tcW w:w="1435" w:type="dxa"/>
            <w:vAlign w:val="center"/>
          </w:tcPr>
          <w:p w14:paraId="2530BF94" w14:textId="77777777" w:rsidR="000C49E5" w:rsidRDefault="000C49E5" w:rsidP="000C49E5">
            <w:pPr>
              <w:spacing w:after="0"/>
              <w:jc w:val="center"/>
            </w:pPr>
          </w:p>
        </w:tc>
      </w:tr>
      <w:tr w:rsidR="000C49E5" w14:paraId="5DCB665B" w14:textId="77777777" w:rsidTr="000C49E5">
        <w:tc>
          <w:tcPr>
            <w:tcW w:w="715" w:type="dxa"/>
            <w:vAlign w:val="center"/>
          </w:tcPr>
          <w:p w14:paraId="58818CE3" w14:textId="47EA52CF" w:rsidR="000C49E5" w:rsidRDefault="000C49E5" w:rsidP="000C49E5">
            <w:pPr>
              <w:spacing w:after="0"/>
              <w:jc w:val="center"/>
            </w:pPr>
            <w:r>
              <w:t>21</w:t>
            </w:r>
          </w:p>
        </w:tc>
        <w:tc>
          <w:tcPr>
            <w:tcW w:w="3025" w:type="dxa"/>
            <w:vAlign w:val="center"/>
          </w:tcPr>
          <w:p w14:paraId="135EB9F4" w14:textId="2855CA6D" w:rsidR="000C49E5" w:rsidRPr="005C43D9" w:rsidRDefault="000C49E5" w:rsidP="000C49E5">
            <w:pPr>
              <w:spacing w:after="0"/>
              <w:jc w:val="center"/>
            </w:pPr>
            <w:r w:rsidRPr="005C43D9">
              <w:t>Phil Barnhart</w:t>
            </w:r>
            <w:r>
              <w:t>,</w:t>
            </w:r>
            <w:r w:rsidRPr="005C43D9">
              <w:t>  </w:t>
            </w:r>
          </w:p>
          <w:p w14:paraId="7D06D3B3" w14:textId="1015A946" w:rsidR="000C49E5" w:rsidRPr="00A662C6" w:rsidRDefault="000C49E5" w:rsidP="000C49E5">
            <w:pPr>
              <w:spacing w:after="0"/>
              <w:jc w:val="center"/>
            </w:pPr>
            <w:r w:rsidRPr="005C43D9">
              <w:t>Shawn Tucker, Chris Chandler</w:t>
            </w:r>
            <w:r>
              <w:t xml:space="preserve">, </w:t>
            </w:r>
            <w:r w:rsidRPr="002238F2">
              <w:t xml:space="preserve">Charlie Loeb, </w:t>
            </w:r>
            <w:r w:rsidRPr="005C43D9">
              <w:t>Kurt Willcox</w:t>
            </w:r>
          </w:p>
        </w:tc>
        <w:tc>
          <w:tcPr>
            <w:tcW w:w="2825" w:type="dxa"/>
            <w:vAlign w:val="center"/>
          </w:tcPr>
          <w:p w14:paraId="09F4882C" w14:textId="6D5E78B7" w:rsidR="000C49E5" w:rsidRDefault="000C49E5" w:rsidP="000C49E5">
            <w:pPr>
              <w:spacing w:after="0"/>
              <w:jc w:val="center"/>
            </w:pPr>
            <w:r w:rsidRPr="00D63D1E">
              <w:t>Emerald Valley Electric Vehicle Association</w:t>
            </w:r>
          </w:p>
        </w:tc>
        <w:tc>
          <w:tcPr>
            <w:tcW w:w="1350" w:type="dxa"/>
          </w:tcPr>
          <w:p w14:paraId="0518A321" w14:textId="5533C595" w:rsidR="000C49E5" w:rsidRDefault="000C49E5" w:rsidP="000C49E5">
            <w:pPr>
              <w:spacing w:after="0"/>
              <w:jc w:val="center"/>
            </w:pPr>
            <w:r w:rsidRPr="003644F3">
              <w:t>3, 7</w:t>
            </w:r>
          </w:p>
        </w:tc>
        <w:tc>
          <w:tcPr>
            <w:tcW w:w="1435" w:type="dxa"/>
            <w:vAlign w:val="center"/>
          </w:tcPr>
          <w:p w14:paraId="1D36E3BC" w14:textId="77777777" w:rsidR="000C49E5" w:rsidRDefault="000C49E5" w:rsidP="000C49E5">
            <w:pPr>
              <w:spacing w:after="0"/>
              <w:jc w:val="center"/>
            </w:pPr>
          </w:p>
        </w:tc>
      </w:tr>
      <w:tr w:rsidR="000C49E5" w14:paraId="63568A1E" w14:textId="77777777" w:rsidTr="000C49E5">
        <w:tc>
          <w:tcPr>
            <w:tcW w:w="715" w:type="dxa"/>
            <w:vAlign w:val="center"/>
          </w:tcPr>
          <w:p w14:paraId="0844A3FC" w14:textId="0120846F" w:rsidR="000C49E5" w:rsidRDefault="000C49E5" w:rsidP="000C49E5">
            <w:pPr>
              <w:spacing w:after="0"/>
              <w:jc w:val="center"/>
            </w:pPr>
            <w:r>
              <w:t>22</w:t>
            </w:r>
          </w:p>
        </w:tc>
        <w:tc>
          <w:tcPr>
            <w:tcW w:w="3025" w:type="dxa"/>
            <w:vAlign w:val="center"/>
          </w:tcPr>
          <w:p w14:paraId="4C53A3C2" w14:textId="615990F1" w:rsidR="000C49E5" w:rsidRDefault="000C49E5" w:rsidP="000C49E5">
            <w:pPr>
              <w:spacing w:after="0"/>
              <w:jc w:val="center"/>
            </w:pPr>
            <w:r>
              <w:t>Brett Morgan</w:t>
            </w:r>
          </w:p>
        </w:tc>
        <w:tc>
          <w:tcPr>
            <w:tcW w:w="2825" w:type="dxa"/>
            <w:vAlign w:val="center"/>
          </w:tcPr>
          <w:p w14:paraId="3FBE1F92" w14:textId="77355FB2" w:rsidR="000C49E5" w:rsidRDefault="000C49E5" w:rsidP="000C49E5">
            <w:pPr>
              <w:spacing w:after="0"/>
              <w:jc w:val="center"/>
            </w:pPr>
            <w:r>
              <w:t>Climate Solutions</w:t>
            </w:r>
          </w:p>
        </w:tc>
        <w:tc>
          <w:tcPr>
            <w:tcW w:w="1350" w:type="dxa"/>
          </w:tcPr>
          <w:p w14:paraId="7BCDF290" w14:textId="3E2FC9E8" w:rsidR="000C49E5" w:rsidRDefault="000C49E5" w:rsidP="000C49E5">
            <w:pPr>
              <w:spacing w:after="0"/>
              <w:jc w:val="center"/>
            </w:pPr>
            <w:r w:rsidRPr="003644F3">
              <w:t>1, 3, 10</w:t>
            </w:r>
          </w:p>
        </w:tc>
        <w:tc>
          <w:tcPr>
            <w:tcW w:w="1435" w:type="dxa"/>
            <w:vAlign w:val="center"/>
          </w:tcPr>
          <w:p w14:paraId="26DF65F1" w14:textId="7D5F4AAE" w:rsidR="000C49E5" w:rsidRDefault="000C49E5" w:rsidP="000C49E5">
            <w:pPr>
              <w:spacing w:after="0"/>
              <w:jc w:val="center"/>
            </w:pPr>
            <w:r>
              <w:t>1</w:t>
            </w:r>
          </w:p>
        </w:tc>
      </w:tr>
      <w:tr w:rsidR="000C49E5" w14:paraId="374F7B9D" w14:textId="77777777" w:rsidTr="000C49E5">
        <w:tc>
          <w:tcPr>
            <w:tcW w:w="715" w:type="dxa"/>
            <w:vAlign w:val="center"/>
          </w:tcPr>
          <w:p w14:paraId="09FD8A40" w14:textId="7A893441" w:rsidR="000C49E5" w:rsidRDefault="000C49E5" w:rsidP="000C49E5">
            <w:pPr>
              <w:spacing w:after="0"/>
              <w:jc w:val="center"/>
            </w:pPr>
            <w:r>
              <w:t>23</w:t>
            </w:r>
          </w:p>
        </w:tc>
        <w:tc>
          <w:tcPr>
            <w:tcW w:w="3025" w:type="dxa"/>
            <w:vAlign w:val="center"/>
          </w:tcPr>
          <w:p w14:paraId="5EAD7B8F" w14:textId="321EC86B" w:rsidR="000C49E5" w:rsidRDefault="000C49E5" w:rsidP="000C49E5">
            <w:pPr>
              <w:spacing w:after="0"/>
              <w:jc w:val="center"/>
            </w:pPr>
            <w:r w:rsidRPr="00117020">
              <w:t>Andrew Michael</w:t>
            </w:r>
          </w:p>
        </w:tc>
        <w:tc>
          <w:tcPr>
            <w:tcW w:w="2825" w:type="dxa"/>
            <w:vAlign w:val="center"/>
          </w:tcPr>
          <w:p w14:paraId="406A13A3" w14:textId="77777777" w:rsidR="000C49E5" w:rsidRDefault="000C49E5" w:rsidP="000C49E5">
            <w:pPr>
              <w:spacing w:after="0"/>
              <w:jc w:val="center"/>
            </w:pPr>
          </w:p>
        </w:tc>
        <w:tc>
          <w:tcPr>
            <w:tcW w:w="1350" w:type="dxa"/>
          </w:tcPr>
          <w:p w14:paraId="40802344" w14:textId="4A61AEE2" w:rsidR="000C49E5" w:rsidRDefault="000C49E5" w:rsidP="000C49E5">
            <w:pPr>
              <w:spacing w:after="0"/>
              <w:jc w:val="center"/>
            </w:pPr>
            <w:r w:rsidRPr="003644F3">
              <w:t>5</w:t>
            </w:r>
          </w:p>
        </w:tc>
        <w:tc>
          <w:tcPr>
            <w:tcW w:w="1435" w:type="dxa"/>
            <w:vAlign w:val="center"/>
          </w:tcPr>
          <w:p w14:paraId="0ED5B362" w14:textId="48368541" w:rsidR="000C49E5" w:rsidRDefault="000C49E5" w:rsidP="000C49E5">
            <w:pPr>
              <w:spacing w:after="0"/>
              <w:jc w:val="center"/>
            </w:pPr>
            <w:r>
              <w:t>1</w:t>
            </w:r>
          </w:p>
        </w:tc>
      </w:tr>
      <w:tr w:rsidR="000C49E5" w14:paraId="296C989F" w14:textId="77777777" w:rsidTr="000C49E5">
        <w:tc>
          <w:tcPr>
            <w:tcW w:w="715" w:type="dxa"/>
            <w:vAlign w:val="center"/>
          </w:tcPr>
          <w:p w14:paraId="7F45F4AC" w14:textId="560962A0" w:rsidR="000C49E5" w:rsidRDefault="000C49E5" w:rsidP="000C49E5">
            <w:pPr>
              <w:spacing w:after="0"/>
              <w:jc w:val="center"/>
            </w:pPr>
            <w:r>
              <w:t>24</w:t>
            </w:r>
          </w:p>
        </w:tc>
        <w:tc>
          <w:tcPr>
            <w:tcW w:w="3025" w:type="dxa"/>
            <w:vAlign w:val="center"/>
          </w:tcPr>
          <w:p w14:paraId="39C864FE" w14:textId="5E24009A" w:rsidR="000C49E5" w:rsidRDefault="000C49E5" w:rsidP="000C49E5">
            <w:pPr>
              <w:spacing w:after="0"/>
              <w:jc w:val="center"/>
            </w:pPr>
            <w:r w:rsidRPr="00DE4C93">
              <w:t>Kristopher Fortin Grijalva</w:t>
            </w:r>
          </w:p>
        </w:tc>
        <w:tc>
          <w:tcPr>
            <w:tcW w:w="2825" w:type="dxa"/>
            <w:vAlign w:val="center"/>
          </w:tcPr>
          <w:p w14:paraId="57D73D83" w14:textId="1D68F2BF" w:rsidR="000C49E5" w:rsidRDefault="000C49E5" w:rsidP="000C49E5">
            <w:pPr>
              <w:spacing w:after="0"/>
              <w:jc w:val="center"/>
            </w:pPr>
            <w:r w:rsidRPr="00577403">
              <w:t>Oregon Environmental Council</w:t>
            </w:r>
          </w:p>
        </w:tc>
        <w:tc>
          <w:tcPr>
            <w:tcW w:w="1350" w:type="dxa"/>
          </w:tcPr>
          <w:p w14:paraId="775FB13D" w14:textId="207EF9A2" w:rsidR="000C49E5" w:rsidRDefault="000C49E5" w:rsidP="000C49E5">
            <w:pPr>
              <w:spacing w:after="0"/>
              <w:jc w:val="center"/>
            </w:pPr>
            <w:r w:rsidRPr="003644F3">
              <w:t>1, 3, 10, 22, 24</w:t>
            </w:r>
          </w:p>
        </w:tc>
        <w:tc>
          <w:tcPr>
            <w:tcW w:w="1435" w:type="dxa"/>
            <w:vAlign w:val="center"/>
          </w:tcPr>
          <w:p w14:paraId="2D1F6B85" w14:textId="1A7025FB" w:rsidR="000C49E5" w:rsidRDefault="000C49E5" w:rsidP="000C49E5">
            <w:pPr>
              <w:spacing w:after="0"/>
              <w:jc w:val="center"/>
            </w:pPr>
            <w:r>
              <w:t>2</w:t>
            </w:r>
          </w:p>
        </w:tc>
      </w:tr>
    </w:tbl>
    <w:p w14:paraId="0904D487" w14:textId="521A4B04" w:rsidR="00ED47E6" w:rsidRDefault="00ED47E6" w:rsidP="00563365">
      <w:pPr>
        <w:pStyle w:val="Heading1"/>
      </w:pPr>
      <w:bookmarkStart w:id="96" w:name="_Toc226361792"/>
      <w:r>
        <w:lastRenderedPageBreak/>
        <w:t>Implementation</w:t>
      </w:r>
      <w:bookmarkEnd w:id="96"/>
    </w:p>
    <w:p w14:paraId="259BC713" w14:textId="5FB9C6D2" w:rsidR="00ED47E6" w:rsidRDefault="00ED47E6" w:rsidP="00563365">
      <w:pPr>
        <w:pStyle w:val="Heading2"/>
      </w:pPr>
      <w:bookmarkStart w:id="97" w:name="_Toc226361793"/>
      <w:r>
        <w:t>Notification</w:t>
      </w:r>
      <w:bookmarkEnd w:id="97"/>
    </w:p>
    <w:p w14:paraId="40F6EB79" w14:textId="12E6D8CF" w:rsidR="00ED47E6" w:rsidRDefault="34AF6233" w:rsidP="56DB1F18">
      <w:pPr>
        <w:rPr>
          <w:rFonts w:eastAsia="Arial" w:cs="Arial"/>
          <w:color w:val="000000" w:themeColor="text1"/>
        </w:rPr>
      </w:pPr>
      <w:r>
        <w:t xml:space="preserve">The proposed rules would become effective upon filing on approximately </w:t>
      </w:r>
      <w:r w:rsidR="1DE037D0" w:rsidRPr="006D31E0">
        <w:t>Ma</w:t>
      </w:r>
      <w:r w:rsidRPr="006D31E0">
        <w:t>y</w:t>
      </w:r>
      <w:r w:rsidR="1DE037D0" w:rsidRPr="006D31E0">
        <w:t xml:space="preserve"> 19, 2026</w:t>
      </w:r>
      <w:r w:rsidRPr="006D31E0">
        <w:t>.</w:t>
      </w:r>
      <w:r>
        <w:t xml:space="preserve"> </w:t>
      </w:r>
      <w:r w:rsidR="2E8D0177" w:rsidRPr="56DB1F18">
        <w:rPr>
          <w:rFonts w:eastAsia="Arial" w:cs="Arial"/>
          <w:color w:val="000000" w:themeColor="text1"/>
        </w:rPr>
        <w:t xml:space="preserve">The affected parties include: </w:t>
      </w:r>
    </w:p>
    <w:p w14:paraId="025184B0" w14:textId="3713FFD9" w:rsidR="00ED47E6" w:rsidRDefault="2E8D0177" w:rsidP="2AA20FF4">
      <w:pPr>
        <w:pStyle w:val="ListParagraph"/>
        <w:numPr>
          <w:ilvl w:val="0"/>
          <w:numId w:val="36"/>
        </w:numPr>
        <w:rPr>
          <w:rFonts w:eastAsia="Arial" w:cs="Arial"/>
          <w:color w:val="000000" w:themeColor="text1"/>
          <w:szCs w:val="22"/>
        </w:rPr>
      </w:pPr>
      <w:r w:rsidRPr="2AA20FF4">
        <w:rPr>
          <w:rFonts w:eastAsia="Arial" w:cs="Arial"/>
          <w:color w:val="000000" w:themeColor="text1"/>
          <w:szCs w:val="22"/>
        </w:rPr>
        <w:t>Vehicle manufacturers</w:t>
      </w:r>
    </w:p>
    <w:p w14:paraId="1983210C" w14:textId="18CD0254" w:rsidR="00ED47E6" w:rsidRDefault="2E8D0177" w:rsidP="2AA20FF4">
      <w:pPr>
        <w:pStyle w:val="ListParagraph"/>
        <w:numPr>
          <w:ilvl w:val="0"/>
          <w:numId w:val="36"/>
        </w:numPr>
        <w:rPr>
          <w:rFonts w:eastAsia="Arial" w:cs="Arial"/>
          <w:color w:val="000000" w:themeColor="text1"/>
          <w:szCs w:val="22"/>
        </w:rPr>
      </w:pPr>
      <w:r w:rsidRPr="2AA20FF4">
        <w:rPr>
          <w:rFonts w:eastAsia="Arial" w:cs="Arial"/>
          <w:color w:val="000000" w:themeColor="text1"/>
          <w:szCs w:val="22"/>
        </w:rPr>
        <w:t>Vehicle dealerships and industry groups</w:t>
      </w:r>
    </w:p>
    <w:p w14:paraId="3A041FD2" w14:textId="06DC6C52" w:rsidR="00ED47E6" w:rsidRDefault="2E8D0177" w:rsidP="2AA20FF4">
      <w:pPr>
        <w:pStyle w:val="ListParagraph"/>
        <w:numPr>
          <w:ilvl w:val="0"/>
          <w:numId w:val="36"/>
        </w:numPr>
        <w:rPr>
          <w:rFonts w:eastAsia="Arial" w:cs="Arial"/>
          <w:color w:val="000000" w:themeColor="text1"/>
          <w:szCs w:val="22"/>
        </w:rPr>
      </w:pPr>
      <w:r w:rsidRPr="2AA20FF4">
        <w:rPr>
          <w:rFonts w:eastAsia="Arial" w:cs="Arial"/>
          <w:color w:val="000000" w:themeColor="text1"/>
          <w:szCs w:val="22"/>
        </w:rPr>
        <w:t>Purchasers of new or used light-duty vehicles and/or new medium- and heavy-duty vehicles</w:t>
      </w:r>
    </w:p>
    <w:p w14:paraId="1ADBE49B" w14:textId="45571C32" w:rsidR="00ED47E6" w:rsidRDefault="2E8D0177" w:rsidP="2AA20FF4">
      <w:pPr>
        <w:pStyle w:val="ListParagraph"/>
        <w:numPr>
          <w:ilvl w:val="0"/>
          <w:numId w:val="36"/>
        </w:numPr>
        <w:rPr>
          <w:rFonts w:eastAsia="Arial" w:cs="Arial"/>
          <w:color w:val="000000" w:themeColor="text1"/>
          <w:szCs w:val="22"/>
        </w:rPr>
      </w:pPr>
      <w:r w:rsidRPr="2AA20FF4">
        <w:rPr>
          <w:rFonts w:eastAsia="Arial" w:cs="Arial"/>
          <w:color w:val="000000" w:themeColor="text1"/>
          <w:szCs w:val="22"/>
        </w:rPr>
        <w:t>The public / environmental groups / community-based organizations</w:t>
      </w:r>
    </w:p>
    <w:p w14:paraId="017F042E" w14:textId="7C93D7DA" w:rsidR="00ED47E6" w:rsidRDefault="2E8D0177" w:rsidP="2AA20FF4">
      <w:pPr>
        <w:pStyle w:val="ListParagraph"/>
        <w:numPr>
          <w:ilvl w:val="0"/>
          <w:numId w:val="36"/>
        </w:numPr>
        <w:rPr>
          <w:rFonts w:eastAsia="Arial" w:cs="Arial"/>
          <w:color w:val="000000" w:themeColor="text1"/>
          <w:szCs w:val="22"/>
        </w:rPr>
      </w:pPr>
      <w:r w:rsidRPr="2AA20FF4">
        <w:rPr>
          <w:rFonts w:eastAsia="Arial" w:cs="Arial"/>
          <w:color w:val="000000" w:themeColor="text1"/>
          <w:szCs w:val="22"/>
        </w:rPr>
        <w:t xml:space="preserve">Utilities and other organizations that work with fleets and businesses to electrify or purchase light-, medium- and heavy-duty vehicles are indirectly affected by the rules. </w:t>
      </w:r>
    </w:p>
    <w:p w14:paraId="131B0049" w14:textId="29C1B455" w:rsidR="00ED47E6" w:rsidRDefault="00ED47E6" w:rsidP="2AA20FF4">
      <w:pPr>
        <w:pStyle w:val="ListParagraph"/>
        <w:ind w:hanging="360"/>
      </w:pPr>
    </w:p>
    <w:p w14:paraId="29C61C28" w14:textId="10BA6D94" w:rsidR="57A53F59" w:rsidRDefault="57A53F59" w:rsidP="0960D5C2">
      <w:r>
        <w:t>DEQ would notify affected parties by GovDelivery notification, direct emails to industry contacts and interested parties and by updating its web page to reflect the changes.</w:t>
      </w:r>
    </w:p>
    <w:p w14:paraId="15DCC63A" w14:textId="77777777" w:rsidR="00ED47E6" w:rsidRDefault="00ED47E6" w:rsidP="002A6C74">
      <w:pPr>
        <w:pStyle w:val="Heading2"/>
      </w:pPr>
      <w:bookmarkStart w:id="98" w:name="_Toc226361794"/>
      <w:r>
        <w:t>Compliance and enforcement</w:t>
      </w:r>
      <w:bookmarkEnd w:id="98"/>
    </w:p>
    <w:p w14:paraId="29FBEC83" w14:textId="1DBD797B" w:rsidR="7EE185F9" w:rsidRDefault="0D0E9851" w:rsidP="2AA20FF4">
      <w:r w:rsidRPr="5ADB3238">
        <w:rPr>
          <w:rFonts w:eastAsia="Arial" w:cs="Arial"/>
        </w:rPr>
        <w:t>As</w:t>
      </w:r>
      <w:r w:rsidR="7EE185F9" w:rsidRPr="5ADB3238">
        <w:rPr>
          <w:rFonts w:eastAsia="Arial" w:cs="Arial"/>
        </w:rPr>
        <w:t xml:space="preserve"> there is no requirement to participate in OCVRP or the ZERO Fleet Rebate program, no specific notifications are planned regarding compliance and enforcement.</w:t>
      </w:r>
    </w:p>
    <w:p w14:paraId="417964ED" w14:textId="77777777" w:rsidR="00ED47E6" w:rsidRDefault="00ED47E6" w:rsidP="002A6C74">
      <w:pPr>
        <w:pStyle w:val="Heading2"/>
      </w:pPr>
      <w:bookmarkStart w:id="99" w:name="_Toc226361795"/>
      <w:r>
        <w:t>Measuring, sampling, monitoring and reporting</w:t>
      </w:r>
      <w:bookmarkEnd w:id="99"/>
    </w:p>
    <w:p w14:paraId="11FA9E4A" w14:textId="1AE2CAE7" w:rsidR="4DC57ADF" w:rsidRDefault="4DC57ADF" w:rsidP="2AA20FF4">
      <w:r w:rsidRPr="2AA20FF4">
        <w:rPr>
          <w:rFonts w:eastAsia="Arial" w:cs="Arial"/>
          <w:szCs w:val="22"/>
        </w:rPr>
        <w:t>These rules do not impose new measuring, sampling, monitoring or reporting requirements and there is no requirement to participate in OCVRP or the ZERO Fleet Rebate program, so no specific notifications are planned for these elements.</w:t>
      </w:r>
    </w:p>
    <w:p w14:paraId="07C7934D" w14:textId="77777777" w:rsidR="00ED47E6" w:rsidRDefault="00ED47E6" w:rsidP="002A6C74">
      <w:pPr>
        <w:pStyle w:val="Heading2"/>
      </w:pPr>
      <w:bookmarkStart w:id="100" w:name="_Toc226361796"/>
      <w:r>
        <w:t>Systems</w:t>
      </w:r>
      <w:bookmarkEnd w:id="100"/>
    </w:p>
    <w:p w14:paraId="0E6AA640" w14:textId="4B334872" w:rsidR="00ED47E6" w:rsidRDefault="03D90649" w:rsidP="00ED47E6">
      <w:r>
        <w:t xml:space="preserve">DEQ staff and contractors will update program websites and application portals within 30 days of rule adoptions and prior to </w:t>
      </w:r>
      <w:r w:rsidR="01316D21">
        <w:t xml:space="preserve">impacted applications being accepted. </w:t>
      </w:r>
    </w:p>
    <w:p w14:paraId="7C830670" w14:textId="77777777" w:rsidR="00ED47E6" w:rsidRDefault="00ED47E6" w:rsidP="002A6C74">
      <w:pPr>
        <w:pStyle w:val="Heading2"/>
      </w:pPr>
      <w:bookmarkStart w:id="101" w:name="_Toc226361797"/>
      <w:r>
        <w:t>Training</w:t>
      </w:r>
      <w:bookmarkEnd w:id="101"/>
    </w:p>
    <w:p w14:paraId="327F6A44" w14:textId="70A8A2BA" w:rsidR="274A72D8" w:rsidRDefault="274A72D8">
      <w:r>
        <w:t>DEQ staff and contractors will update program implementation manuals and communicate changes to participating dealers. OCVRP will update participating dealer trainings to include adopted rule changes</w:t>
      </w:r>
      <w:r w:rsidR="3C923AA7">
        <w:t>.</w:t>
      </w:r>
    </w:p>
    <w:p w14:paraId="52643789" w14:textId="51010A2E" w:rsidR="2AA20FF4" w:rsidRDefault="2AA20FF4"/>
    <w:p w14:paraId="1F6D1DBD" w14:textId="77777777" w:rsidR="00ED47E6" w:rsidRDefault="00ED47E6" w:rsidP="00ED47E6"/>
    <w:p w14:paraId="381A97AE" w14:textId="77777777" w:rsidR="00ED47E6" w:rsidRDefault="00ED47E6" w:rsidP="00ED47E6"/>
    <w:p w14:paraId="1C156015" w14:textId="36A81B37" w:rsidR="00563365" w:rsidRDefault="00ED47E6" w:rsidP="00C713B5">
      <w:r>
        <w:t> </w:t>
      </w:r>
    </w:p>
    <w:p w14:paraId="13D3EDE5" w14:textId="5C1B3D8E" w:rsidR="00ED47E6" w:rsidRDefault="00ED47E6" w:rsidP="00563365">
      <w:pPr>
        <w:pStyle w:val="Heading1"/>
      </w:pPr>
      <w:bookmarkStart w:id="102" w:name="_Toc226361798"/>
      <w:r>
        <w:lastRenderedPageBreak/>
        <w:t>Five-year review</w:t>
      </w:r>
      <w:bookmarkEnd w:id="102"/>
    </w:p>
    <w:p w14:paraId="4E705479" w14:textId="5CB87DB9" w:rsidR="00ED47E6" w:rsidRDefault="00ED47E6" w:rsidP="00563365">
      <w:pPr>
        <w:pStyle w:val="Heading3"/>
      </w:pPr>
      <w:bookmarkStart w:id="103" w:name="_Toc226361799"/>
      <w:r>
        <w:t>Requirement</w:t>
      </w:r>
      <w:bookmarkEnd w:id="103"/>
      <w:r>
        <w:t xml:space="preserve"> </w:t>
      </w:r>
      <w:r>
        <w:tab/>
        <w:t xml:space="preserve"> </w:t>
      </w:r>
    </w:p>
    <w:p w14:paraId="466590E1" w14:textId="41C46407" w:rsidR="00ED47E6" w:rsidRDefault="00ED47E6" w:rsidP="00ED47E6">
      <w:r>
        <w:t>Oregon law requires DEQ to review new rules within five years EQC</w:t>
      </w:r>
      <w:r w:rsidR="00250152">
        <w:t xml:space="preserve"> of</w:t>
      </w:r>
      <w:r>
        <w:t xml:space="preserve"> adopt</w:t>
      </w:r>
      <w:r w:rsidR="00250152">
        <w:t>ing</w:t>
      </w:r>
      <w:r>
        <w:t xml:space="preserve"> them. The law also exempts some rules from review. DEQ determined whether the rules described in this report are subject to the five-year review. DEQ based its analysis on the law in effect when EQC adopted these rules. </w:t>
      </w:r>
    </w:p>
    <w:p w14:paraId="4173E94C" w14:textId="77777777" w:rsidR="00ED47E6" w:rsidRDefault="00ED47E6" w:rsidP="00563365">
      <w:pPr>
        <w:pStyle w:val="Heading4"/>
      </w:pPr>
      <w:r>
        <w:t xml:space="preserve">Exemption from five-year rule review </w:t>
      </w:r>
    </w:p>
    <w:p w14:paraId="571B88D0" w14:textId="3689DB48" w:rsidR="00ED47E6" w:rsidRDefault="00ED47E6" w:rsidP="00ED47E6">
      <w:r>
        <w:t xml:space="preserve">The Administrative Procedures Act exempts </w:t>
      </w:r>
      <w:r w:rsidR="646BFF3D">
        <w:t>all</w:t>
      </w:r>
      <w:r>
        <w:t xml:space="preserve"> of the proposed rules from the five-year review because the proposed rules would:</w:t>
      </w:r>
    </w:p>
    <w:p w14:paraId="36E8AB89" w14:textId="44A4A0B5" w:rsidR="00ED47E6" w:rsidRDefault="00ED47E6" w:rsidP="00A341A1">
      <w:pPr>
        <w:pStyle w:val="ListParagraph"/>
        <w:numPr>
          <w:ilvl w:val="0"/>
          <w:numId w:val="38"/>
        </w:numPr>
      </w:pPr>
      <w:r>
        <w:t>Amend or repeal an existing rule. ORS 183.405(4).</w:t>
      </w:r>
    </w:p>
    <w:p w14:paraId="67943BE8" w14:textId="2E4CE2B7" w:rsidR="009F5BC9" w:rsidRPr="00C10858" w:rsidRDefault="00ED47E6" w:rsidP="009F5BC9">
      <w:pPr>
        <w:rPr>
          <w:b/>
          <w:bCs/>
          <w:color w:val="BF4E14" w:themeColor="accent2" w:themeShade="BF"/>
        </w:rPr>
      </w:pPr>
      <w:r>
        <w:t xml:space="preserve"> </w:t>
      </w:r>
    </w:p>
    <w:p w14:paraId="3E0D2C5A" w14:textId="77777777" w:rsidR="00B639BC" w:rsidRDefault="00B639BC" w:rsidP="00F50C5E">
      <w:pPr>
        <w:pStyle w:val="Heading2"/>
        <w:pBdr>
          <w:top w:val="single" w:sz="4" w:space="1" w:color="auto"/>
        </w:pBdr>
      </w:pPr>
      <w:bookmarkStart w:id="104" w:name="_Toc226361800"/>
    </w:p>
    <w:p w14:paraId="3CCB1E21" w14:textId="1BE868E7" w:rsidR="009F5BC9" w:rsidRDefault="009F5BC9" w:rsidP="00F50C5E">
      <w:pPr>
        <w:pStyle w:val="Heading2"/>
        <w:pBdr>
          <w:top w:val="single" w:sz="4" w:space="1" w:color="auto"/>
        </w:pBdr>
      </w:pPr>
      <w:r>
        <w:t>Non-discrimination statement</w:t>
      </w:r>
      <w:bookmarkEnd w:id="104"/>
    </w:p>
    <w:p w14:paraId="2782A265" w14:textId="4C3B72F7" w:rsidR="009F5BC9" w:rsidRDefault="009F5BC9" w:rsidP="00C10858">
      <w:r>
        <w:t xml:space="preserve">DEQ does not discriminate on the basis of race, color, national origin, disability, age, sex, religion, sexual orientation, gender identity, or marital status in the administration of its programs and activities. </w:t>
      </w:r>
    </w:p>
    <w:p w14:paraId="17065DCB" w14:textId="2FA1862E" w:rsidR="009F5BC9" w:rsidRPr="009F5BC9" w:rsidRDefault="009F5BC9" w:rsidP="009F5BC9">
      <w:r>
        <w:t xml:space="preserve">For translation or other formats, visit DEQ’s </w:t>
      </w:r>
      <w:hyperlink r:id="rId54" w:tooltip="Civil Rights and Environmental Justice page" w:history="1">
        <w:r w:rsidRPr="00C10858">
          <w:rPr>
            <w:rStyle w:val="Hyperlink"/>
          </w:rPr>
          <w:t>Civil Rights and Environmental Justice page</w:t>
        </w:r>
      </w:hyperlink>
      <w:r>
        <w:t>.</w:t>
      </w:r>
    </w:p>
    <w:sectPr w:rsidR="009F5BC9" w:rsidRPr="009F5BC9" w:rsidSect="00ED47E6">
      <w:footerReference w:type="default" r:id="rId5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5E7E1" w14:textId="77777777" w:rsidR="0057033F" w:rsidRDefault="0057033F" w:rsidP="00C10858">
      <w:pPr>
        <w:spacing w:after="0" w:line="240" w:lineRule="auto"/>
      </w:pPr>
      <w:r>
        <w:separator/>
      </w:r>
    </w:p>
  </w:endnote>
  <w:endnote w:type="continuationSeparator" w:id="0">
    <w:p w14:paraId="2812BBBA" w14:textId="77777777" w:rsidR="0057033F" w:rsidRDefault="0057033F" w:rsidP="00C10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8634752"/>
      <w:docPartObj>
        <w:docPartGallery w:val="Page Numbers (Bottom of Page)"/>
        <w:docPartUnique/>
      </w:docPartObj>
    </w:sdtPr>
    <w:sdtEndPr>
      <w:rPr>
        <w:noProof/>
        <w:sz w:val="20"/>
        <w:szCs w:val="20"/>
      </w:rPr>
    </w:sdtEndPr>
    <w:sdtContent>
      <w:p w14:paraId="084519CE" w14:textId="77777777" w:rsidR="00ED47E6" w:rsidRPr="00C10858" w:rsidRDefault="00ED47E6" w:rsidP="00C10858">
        <w:pPr>
          <w:pStyle w:val="Footer"/>
          <w:jc w:val="right"/>
          <w:rPr>
            <w:sz w:val="20"/>
            <w:szCs w:val="20"/>
          </w:rPr>
        </w:pPr>
        <w:r w:rsidRPr="00C10858">
          <w:rPr>
            <w:sz w:val="20"/>
            <w:szCs w:val="20"/>
          </w:rPr>
          <w:fldChar w:fldCharType="begin"/>
        </w:r>
        <w:r w:rsidRPr="00C10858">
          <w:rPr>
            <w:sz w:val="20"/>
            <w:szCs w:val="20"/>
          </w:rPr>
          <w:instrText xml:space="preserve"> PAGE   \* MERGEFORMAT </w:instrText>
        </w:r>
        <w:r w:rsidRPr="00C10858">
          <w:rPr>
            <w:sz w:val="20"/>
            <w:szCs w:val="20"/>
          </w:rPr>
          <w:fldChar w:fldCharType="separate"/>
        </w:r>
        <w:r w:rsidRPr="00C10858">
          <w:rPr>
            <w:noProof/>
            <w:sz w:val="20"/>
            <w:szCs w:val="20"/>
          </w:rPr>
          <w:t>2</w:t>
        </w:r>
        <w:r w:rsidRPr="00C10858">
          <w:rPr>
            <w:noProof/>
            <w:sz w:val="20"/>
            <w:szCs w:val="20"/>
          </w:rPr>
          <w:fldChar w:fldCharType="end"/>
        </w:r>
      </w:p>
    </w:sdtContent>
  </w:sdt>
  <w:p w14:paraId="6E88F31D" w14:textId="77777777" w:rsidR="00215E71" w:rsidRDefault="00215E7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03CA5" w14:textId="77777777" w:rsidR="0057033F" w:rsidRDefault="0057033F" w:rsidP="00C10858">
      <w:pPr>
        <w:spacing w:after="0" w:line="240" w:lineRule="auto"/>
      </w:pPr>
      <w:r>
        <w:separator/>
      </w:r>
    </w:p>
  </w:footnote>
  <w:footnote w:type="continuationSeparator" w:id="0">
    <w:p w14:paraId="00F06C8E" w14:textId="77777777" w:rsidR="0057033F" w:rsidRDefault="0057033F" w:rsidP="00C108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C2B"/>
    <w:multiLevelType w:val="hybridMultilevel"/>
    <w:tmpl w:val="FD681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99552F"/>
    <w:multiLevelType w:val="hybridMultilevel"/>
    <w:tmpl w:val="81760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961F5"/>
    <w:multiLevelType w:val="hybridMultilevel"/>
    <w:tmpl w:val="87FC7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343CF5"/>
    <w:multiLevelType w:val="hybridMultilevel"/>
    <w:tmpl w:val="D826B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D015E"/>
    <w:multiLevelType w:val="hybridMultilevel"/>
    <w:tmpl w:val="FC9EEB32"/>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31357B"/>
    <w:multiLevelType w:val="hybridMultilevel"/>
    <w:tmpl w:val="FC165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052E1"/>
    <w:multiLevelType w:val="multilevel"/>
    <w:tmpl w:val="1CC876B8"/>
    <w:numStyleLink w:val="StyleBulletedLatinCourierNewLeft075Hanging025"/>
  </w:abstractNum>
  <w:abstractNum w:abstractNumId="7" w15:restartNumberingAfterBreak="0">
    <w:nsid w:val="11911ECF"/>
    <w:multiLevelType w:val="multilevel"/>
    <w:tmpl w:val="57D4F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3918A1"/>
    <w:multiLevelType w:val="hybridMultilevel"/>
    <w:tmpl w:val="FFFFFFFF"/>
    <w:lvl w:ilvl="0" w:tplc="F2A070DE">
      <w:start w:val="1"/>
      <w:numFmt w:val="bullet"/>
      <w:lvlText w:val=""/>
      <w:lvlJc w:val="left"/>
      <w:pPr>
        <w:ind w:left="720" w:hanging="360"/>
      </w:pPr>
      <w:rPr>
        <w:rFonts w:ascii="Symbol" w:hAnsi="Symbol" w:hint="default"/>
      </w:rPr>
    </w:lvl>
    <w:lvl w:ilvl="1" w:tplc="500434DC">
      <w:start w:val="1"/>
      <w:numFmt w:val="bullet"/>
      <w:lvlText w:val="o"/>
      <w:lvlJc w:val="left"/>
      <w:pPr>
        <w:ind w:left="1440" w:hanging="360"/>
      </w:pPr>
      <w:rPr>
        <w:rFonts w:ascii="Courier New" w:hAnsi="Courier New" w:hint="default"/>
      </w:rPr>
    </w:lvl>
    <w:lvl w:ilvl="2" w:tplc="6DCA3D32">
      <w:start w:val="1"/>
      <w:numFmt w:val="bullet"/>
      <w:lvlText w:val=""/>
      <w:lvlJc w:val="left"/>
      <w:pPr>
        <w:ind w:left="2160" w:hanging="360"/>
      </w:pPr>
      <w:rPr>
        <w:rFonts w:ascii="Wingdings" w:hAnsi="Wingdings" w:hint="default"/>
      </w:rPr>
    </w:lvl>
    <w:lvl w:ilvl="3" w:tplc="FC68D498">
      <w:start w:val="1"/>
      <w:numFmt w:val="bullet"/>
      <w:lvlText w:val=""/>
      <w:lvlJc w:val="left"/>
      <w:pPr>
        <w:ind w:left="2880" w:hanging="360"/>
      </w:pPr>
      <w:rPr>
        <w:rFonts w:ascii="Symbol" w:hAnsi="Symbol" w:hint="default"/>
      </w:rPr>
    </w:lvl>
    <w:lvl w:ilvl="4" w:tplc="4D46D052">
      <w:start w:val="1"/>
      <w:numFmt w:val="bullet"/>
      <w:lvlText w:val="o"/>
      <w:lvlJc w:val="left"/>
      <w:pPr>
        <w:ind w:left="3600" w:hanging="360"/>
      </w:pPr>
      <w:rPr>
        <w:rFonts w:ascii="Courier New" w:hAnsi="Courier New" w:hint="default"/>
      </w:rPr>
    </w:lvl>
    <w:lvl w:ilvl="5" w:tplc="6A827980">
      <w:start w:val="1"/>
      <w:numFmt w:val="bullet"/>
      <w:lvlText w:val=""/>
      <w:lvlJc w:val="left"/>
      <w:pPr>
        <w:ind w:left="4320" w:hanging="360"/>
      </w:pPr>
      <w:rPr>
        <w:rFonts w:ascii="Wingdings" w:hAnsi="Wingdings" w:hint="default"/>
      </w:rPr>
    </w:lvl>
    <w:lvl w:ilvl="6" w:tplc="C9F41DDE">
      <w:start w:val="1"/>
      <w:numFmt w:val="bullet"/>
      <w:lvlText w:val=""/>
      <w:lvlJc w:val="left"/>
      <w:pPr>
        <w:ind w:left="5040" w:hanging="360"/>
      </w:pPr>
      <w:rPr>
        <w:rFonts w:ascii="Symbol" w:hAnsi="Symbol" w:hint="default"/>
      </w:rPr>
    </w:lvl>
    <w:lvl w:ilvl="7" w:tplc="152696FE">
      <w:start w:val="1"/>
      <w:numFmt w:val="bullet"/>
      <w:lvlText w:val="o"/>
      <w:lvlJc w:val="left"/>
      <w:pPr>
        <w:ind w:left="5760" w:hanging="360"/>
      </w:pPr>
      <w:rPr>
        <w:rFonts w:ascii="Courier New" w:hAnsi="Courier New" w:hint="default"/>
      </w:rPr>
    </w:lvl>
    <w:lvl w:ilvl="8" w:tplc="249A9F86">
      <w:start w:val="1"/>
      <w:numFmt w:val="bullet"/>
      <w:lvlText w:val=""/>
      <w:lvlJc w:val="left"/>
      <w:pPr>
        <w:ind w:left="6480" w:hanging="360"/>
      </w:pPr>
      <w:rPr>
        <w:rFonts w:ascii="Wingdings" w:hAnsi="Wingdings" w:hint="default"/>
      </w:rPr>
    </w:lvl>
  </w:abstractNum>
  <w:abstractNum w:abstractNumId="9" w15:restartNumberingAfterBreak="0">
    <w:nsid w:val="1621296B"/>
    <w:multiLevelType w:val="multilevel"/>
    <w:tmpl w:val="72BC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6657CB5"/>
    <w:multiLevelType w:val="hybridMultilevel"/>
    <w:tmpl w:val="FFFFFFFF"/>
    <w:lvl w:ilvl="0" w:tplc="42CAC7DC">
      <w:start w:val="1"/>
      <w:numFmt w:val="bullet"/>
      <w:lvlText w:val=""/>
      <w:lvlJc w:val="left"/>
      <w:pPr>
        <w:ind w:left="720" w:hanging="360"/>
      </w:pPr>
      <w:rPr>
        <w:rFonts w:ascii="Symbol" w:hAnsi="Symbol" w:hint="default"/>
      </w:rPr>
    </w:lvl>
    <w:lvl w:ilvl="1" w:tplc="FA94B6A6">
      <w:start w:val="1"/>
      <w:numFmt w:val="bullet"/>
      <w:lvlText w:val="o"/>
      <w:lvlJc w:val="left"/>
      <w:pPr>
        <w:ind w:left="1440" w:hanging="360"/>
      </w:pPr>
      <w:rPr>
        <w:rFonts w:ascii="Courier New" w:hAnsi="Courier New" w:hint="default"/>
      </w:rPr>
    </w:lvl>
    <w:lvl w:ilvl="2" w:tplc="AA32D89A">
      <w:start w:val="1"/>
      <w:numFmt w:val="bullet"/>
      <w:lvlText w:val=""/>
      <w:lvlJc w:val="left"/>
      <w:pPr>
        <w:ind w:left="2160" w:hanging="360"/>
      </w:pPr>
      <w:rPr>
        <w:rFonts w:ascii="Wingdings" w:hAnsi="Wingdings" w:hint="default"/>
      </w:rPr>
    </w:lvl>
    <w:lvl w:ilvl="3" w:tplc="1414B5EC">
      <w:start w:val="1"/>
      <w:numFmt w:val="bullet"/>
      <w:lvlText w:val=""/>
      <w:lvlJc w:val="left"/>
      <w:pPr>
        <w:ind w:left="2880" w:hanging="360"/>
      </w:pPr>
      <w:rPr>
        <w:rFonts w:ascii="Symbol" w:hAnsi="Symbol" w:hint="default"/>
      </w:rPr>
    </w:lvl>
    <w:lvl w:ilvl="4" w:tplc="CBBEE10E">
      <w:start w:val="1"/>
      <w:numFmt w:val="bullet"/>
      <w:lvlText w:val="o"/>
      <w:lvlJc w:val="left"/>
      <w:pPr>
        <w:ind w:left="3600" w:hanging="360"/>
      </w:pPr>
      <w:rPr>
        <w:rFonts w:ascii="Courier New" w:hAnsi="Courier New" w:hint="default"/>
      </w:rPr>
    </w:lvl>
    <w:lvl w:ilvl="5" w:tplc="92B81D50">
      <w:start w:val="1"/>
      <w:numFmt w:val="bullet"/>
      <w:lvlText w:val=""/>
      <w:lvlJc w:val="left"/>
      <w:pPr>
        <w:ind w:left="4320" w:hanging="360"/>
      </w:pPr>
      <w:rPr>
        <w:rFonts w:ascii="Wingdings" w:hAnsi="Wingdings" w:hint="default"/>
      </w:rPr>
    </w:lvl>
    <w:lvl w:ilvl="6" w:tplc="DCDA23D6">
      <w:start w:val="1"/>
      <w:numFmt w:val="bullet"/>
      <w:lvlText w:val=""/>
      <w:lvlJc w:val="left"/>
      <w:pPr>
        <w:ind w:left="5040" w:hanging="360"/>
      </w:pPr>
      <w:rPr>
        <w:rFonts w:ascii="Symbol" w:hAnsi="Symbol" w:hint="default"/>
      </w:rPr>
    </w:lvl>
    <w:lvl w:ilvl="7" w:tplc="3698AF2E">
      <w:start w:val="1"/>
      <w:numFmt w:val="bullet"/>
      <w:lvlText w:val="o"/>
      <w:lvlJc w:val="left"/>
      <w:pPr>
        <w:ind w:left="5760" w:hanging="360"/>
      </w:pPr>
      <w:rPr>
        <w:rFonts w:ascii="Courier New" w:hAnsi="Courier New" w:hint="default"/>
      </w:rPr>
    </w:lvl>
    <w:lvl w:ilvl="8" w:tplc="E48A4086">
      <w:start w:val="1"/>
      <w:numFmt w:val="bullet"/>
      <w:lvlText w:val=""/>
      <w:lvlJc w:val="left"/>
      <w:pPr>
        <w:ind w:left="6480" w:hanging="360"/>
      </w:pPr>
      <w:rPr>
        <w:rFonts w:ascii="Wingdings" w:hAnsi="Wingdings" w:hint="default"/>
      </w:rPr>
    </w:lvl>
  </w:abstractNum>
  <w:abstractNum w:abstractNumId="11" w15:restartNumberingAfterBreak="0">
    <w:nsid w:val="170719B0"/>
    <w:multiLevelType w:val="hybridMultilevel"/>
    <w:tmpl w:val="72FA7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635C44"/>
    <w:multiLevelType w:val="hybridMultilevel"/>
    <w:tmpl w:val="E8F21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C26B51"/>
    <w:multiLevelType w:val="hybridMultilevel"/>
    <w:tmpl w:val="F96AD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B431A1"/>
    <w:multiLevelType w:val="hybridMultilevel"/>
    <w:tmpl w:val="B010CC14"/>
    <w:lvl w:ilvl="0" w:tplc="04090001">
      <w:start w:val="1"/>
      <w:numFmt w:val="bullet"/>
      <w:lvlText w:val=""/>
      <w:lvlJc w:val="left"/>
      <w:pPr>
        <w:ind w:left="360" w:firstLine="0"/>
      </w:pPr>
      <w:rPr>
        <w:rFonts w:ascii="Symbol" w:hAnsi="Symbol" w:hint="default"/>
      </w:rPr>
    </w:lvl>
    <w:lvl w:ilvl="1" w:tplc="FFFFFFFF">
      <w:start w:val="1"/>
      <w:numFmt w:val="bullet"/>
      <w:lvlText w:val="o"/>
      <w:lvlJc w:val="left"/>
      <w:pPr>
        <w:ind w:left="360" w:firstLine="1440"/>
      </w:pPr>
      <w:rPr>
        <w:rFonts w:ascii="Courier New" w:hAnsi="Courier New" w:hint="default"/>
      </w:rPr>
    </w:lvl>
    <w:lvl w:ilvl="2" w:tplc="FFFFFFFF" w:tentative="1">
      <w:start w:val="1"/>
      <w:numFmt w:val="bullet"/>
      <w:lvlText w:val=""/>
      <w:lvlJc w:val="left"/>
      <w:pPr>
        <w:ind w:left="3540" w:hanging="360"/>
      </w:pPr>
      <w:rPr>
        <w:rFonts w:ascii="Wingdings" w:hAnsi="Wingdings" w:hint="default"/>
      </w:rPr>
    </w:lvl>
    <w:lvl w:ilvl="3" w:tplc="FFFFFFFF" w:tentative="1">
      <w:start w:val="1"/>
      <w:numFmt w:val="bullet"/>
      <w:lvlText w:val=""/>
      <w:lvlJc w:val="left"/>
      <w:pPr>
        <w:ind w:left="4260" w:hanging="360"/>
      </w:pPr>
      <w:rPr>
        <w:rFonts w:ascii="Symbol" w:hAnsi="Symbol" w:hint="default"/>
      </w:rPr>
    </w:lvl>
    <w:lvl w:ilvl="4" w:tplc="FFFFFFFF" w:tentative="1">
      <w:start w:val="1"/>
      <w:numFmt w:val="bullet"/>
      <w:lvlText w:val="o"/>
      <w:lvlJc w:val="left"/>
      <w:pPr>
        <w:ind w:left="4980" w:hanging="360"/>
      </w:pPr>
      <w:rPr>
        <w:rFonts w:ascii="Courier New" w:hAnsi="Courier New" w:cs="Courier New" w:hint="default"/>
      </w:rPr>
    </w:lvl>
    <w:lvl w:ilvl="5" w:tplc="FFFFFFFF" w:tentative="1">
      <w:start w:val="1"/>
      <w:numFmt w:val="bullet"/>
      <w:lvlText w:val=""/>
      <w:lvlJc w:val="left"/>
      <w:pPr>
        <w:ind w:left="5700" w:hanging="360"/>
      </w:pPr>
      <w:rPr>
        <w:rFonts w:ascii="Wingdings" w:hAnsi="Wingdings" w:hint="default"/>
      </w:rPr>
    </w:lvl>
    <w:lvl w:ilvl="6" w:tplc="FFFFFFFF" w:tentative="1">
      <w:start w:val="1"/>
      <w:numFmt w:val="bullet"/>
      <w:lvlText w:val=""/>
      <w:lvlJc w:val="left"/>
      <w:pPr>
        <w:ind w:left="6420" w:hanging="360"/>
      </w:pPr>
      <w:rPr>
        <w:rFonts w:ascii="Symbol" w:hAnsi="Symbol" w:hint="default"/>
      </w:rPr>
    </w:lvl>
    <w:lvl w:ilvl="7" w:tplc="FFFFFFFF" w:tentative="1">
      <w:start w:val="1"/>
      <w:numFmt w:val="bullet"/>
      <w:lvlText w:val="o"/>
      <w:lvlJc w:val="left"/>
      <w:pPr>
        <w:ind w:left="7140" w:hanging="360"/>
      </w:pPr>
      <w:rPr>
        <w:rFonts w:ascii="Courier New" w:hAnsi="Courier New" w:cs="Courier New" w:hint="default"/>
      </w:rPr>
    </w:lvl>
    <w:lvl w:ilvl="8" w:tplc="FFFFFFFF" w:tentative="1">
      <w:start w:val="1"/>
      <w:numFmt w:val="bullet"/>
      <w:lvlText w:val=""/>
      <w:lvlJc w:val="left"/>
      <w:pPr>
        <w:ind w:left="7860" w:hanging="360"/>
      </w:pPr>
      <w:rPr>
        <w:rFonts w:ascii="Wingdings" w:hAnsi="Wingdings" w:hint="default"/>
      </w:rPr>
    </w:lvl>
  </w:abstractNum>
  <w:abstractNum w:abstractNumId="15" w15:restartNumberingAfterBreak="0">
    <w:nsid w:val="23C21209"/>
    <w:multiLevelType w:val="hybridMultilevel"/>
    <w:tmpl w:val="A2983CB0"/>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D27ECA"/>
    <w:multiLevelType w:val="hybridMultilevel"/>
    <w:tmpl w:val="BD9466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F5694E"/>
    <w:multiLevelType w:val="hybridMultilevel"/>
    <w:tmpl w:val="B6601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5F459E"/>
    <w:multiLevelType w:val="hybridMultilevel"/>
    <w:tmpl w:val="17CAF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EF2F01"/>
    <w:multiLevelType w:val="hybridMultilevel"/>
    <w:tmpl w:val="EB5CA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EF33BA"/>
    <w:multiLevelType w:val="multilevel"/>
    <w:tmpl w:val="1CC876B8"/>
    <w:styleLink w:val="StyleBulletedLatinCourierNewLeft075Hanging025"/>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23D6E46"/>
    <w:multiLevelType w:val="hybridMultilevel"/>
    <w:tmpl w:val="6E58A5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3B7797"/>
    <w:multiLevelType w:val="hybridMultilevel"/>
    <w:tmpl w:val="6004F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2D0AB5"/>
    <w:multiLevelType w:val="multilevel"/>
    <w:tmpl w:val="1CC876B8"/>
    <w:numStyleLink w:val="StyleBulletedLatinCourierNewLeft075Hanging025"/>
  </w:abstractNum>
  <w:abstractNum w:abstractNumId="24" w15:restartNumberingAfterBreak="0">
    <w:nsid w:val="45452A6A"/>
    <w:multiLevelType w:val="hybridMultilevel"/>
    <w:tmpl w:val="D348F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83452D"/>
    <w:multiLevelType w:val="hybridMultilevel"/>
    <w:tmpl w:val="714CF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AF04D5"/>
    <w:multiLevelType w:val="hybridMultilevel"/>
    <w:tmpl w:val="FE4A1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B63EAC"/>
    <w:multiLevelType w:val="hybridMultilevel"/>
    <w:tmpl w:val="A5622384"/>
    <w:lvl w:ilvl="0" w:tplc="6AF0190C">
      <w:start w:val="3"/>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204C7B"/>
    <w:multiLevelType w:val="hybridMultilevel"/>
    <w:tmpl w:val="ACEA1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E75BBB"/>
    <w:multiLevelType w:val="multilevel"/>
    <w:tmpl w:val="A98E4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1177613"/>
    <w:multiLevelType w:val="hybridMultilevel"/>
    <w:tmpl w:val="0EA07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5A2B92"/>
    <w:multiLevelType w:val="multilevel"/>
    <w:tmpl w:val="1CC876B8"/>
    <w:numStyleLink w:val="StyleBulletedLatinCourierNewLeft075Hanging025"/>
  </w:abstractNum>
  <w:abstractNum w:abstractNumId="32" w15:restartNumberingAfterBreak="0">
    <w:nsid w:val="6D941AF4"/>
    <w:multiLevelType w:val="hybridMultilevel"/>
    <w:tmpl w:val="530EB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AC6DE8"/>
    <w:multiLevelType w:val="hybridMultilevel"/>
    <w:tmpl w:val="59348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ED5D93"/>
    <w:multiLevelType w:val="multilevel"/>
    <w:tmpl w:val="475AC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38F09D4"/>
    <w:multiLevelType w:val="hybridMultilevel"/>
    <w:tmpl w:val="95345E92"/>
    <w:lvl w:ilvl="0" w:tplc="FFFFFFFF">
      <w:start w:val="1"/>
      <w:numFmt w:val="bullet"/>
      <w:lvlText w:val="•"/>
      <w:lvlJc w:val="left"/>
      <w:pPr>
        <w:ind w:left="1080" w:hanging="72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057CFA"/>
    <w:multiLevelType w:val="hybridMultilevel"/>
    <w:tmpl w:val="FFFFFFFF"/>
    <w:lvl w:ilvl="0" w:tplc="AE14CF7C">
      <w:start w:val="1"/>
      <w:numFmt w:val="bullet"/>
      <w:lvlText w:val=""/>
      <w:lvlJc w:val="left"/>
      <w:pPr>
        <w:ind w:left="720" w:hanging="360"/>
      </w:pPr>
      <w:rPr>
        <w:rFonts w:ascii="Symbol" w:hAnsi="Symbol" w:hint="default"/>
      </w:rPr>
    </w:lvl>
    <w:lvl w:ilvl="1" w:tplc="5C104114">
      <w:start w:val="1"/>
      <w:numFmt w:val="bullet"/>
      <w:lvlText w:val="o"/>
      <w:lvlJc w:val="left"/>
      <w:pPr>
        <w:ind w:left="1440" w:hanging="360"/>
      </w:pPr>
      <w:rPr>
        <w:rFonts w:ascii="Symbol" w:hAnsi="Symbol" w:hint="default"/>
      </w:rPr>
    </w:lvl>
    <w:lvl w:ilvl="2" w:tplc="299C88A0">
      <w:start w:val="1"/>
      <w:numFmt w:val="bullet"/>
      <w:lvlText w:val=""/>
      <w:lvlJc w:val="left"/>
      <w:pPr>
        <w:ind w:left="2160" w:hanging="360"/>
      </w:pPr>
      <w:rPr>
        <w:rFonts w:ascii="Symbol" w:hAnsi="Symbol" w:hint="default"/>
      </w:rPr>
    </w:lvl>
    <w:lvl w:ilvl="3" w:tplc="DC0AFDCA">
      <w:start w:val="1"/>
      <w:numFmt w:val="bullet"/>
      <w:lvlText w:val=""/>
      <w:lvlJc w:val="left"/>
      <w:pPr>
        <w:ind w:left="2880" w:hanging="360"/>
      </w:pPr>
      <w:rPr>
        <w:rFonts w:ascii="Symbol" w:hAnsi="Symbol" w:hint="default"/>
      </w:rPr>
    </w:lvl>
    <w:lvl w:ilvl="4" w:tplc="D016584A">
      <w:start w:val="1"/>
      <w:numFmt w:val="bullet"/>
      <w:lvlText w:val="o"/>
      <w:lvlJc w:val="left"/>
      <w:pPr>
        <w:ind w:left="3600" w:hanging="360"/>
      </w:pPr>
      <w:rPr>
        <w:rFonts w:ascii="Courier New" w:hAnsi="Courier New" w:hint="default"/>
      </w:rPr>
    </w:lvl>
    <w:lvl w:ilvl="5" w:tplc="8A10304A">
      <w:start w:val="1"/>
      <w:numFmt w:val="bullet"/>
      <w:lvlText w:val=""/>
      <w:lvlJc w:val="left"/>
      <w:pPr>
        <w:ind w:left="4320" w:hanging="360"/>
      </w:pPr>
      <w:rPr>
        <w:rFonts w:ascii="Wingdings" w:hAnsi="Wingdings" w:hint="default"/>
      </w:rPr>
    </w:lvl>
    <w:lvl w:ilvl="6" w:tplc="03204F76">
      <w:start w:val="1"/>
      <w:numFmt w:val="bullet"/>
      <w:lvlText w:val=""/>
      <w:lvlJc w:val="left"/>
      <w:pPr>
        <w:ind w:left="5040" w:hanging="360"/>
      </w:pPr>
      <w:rPr>
        <w:rFonts w:ascii="Symbol" w:hAnsi="Symbol" w:hint="default"/>
      </w:rPr>
    </w:lvl>
    <w:lvl w:ilvl="7" w:tplc="F970C7F2">
      <w:start w:val="1"/>
      <w:numFmt w:val="bullet"/>
      <w:lvlText w:val="o"/>
      <w:lvlJc w:val="left"/>
      <w:pPr>
        <w:ind w:left="5760" w:hanging="360"/>
      </w:pPr>
      <w:rPr>
        <w:rFonts w:ascii="Courier New" w:hAnsi="Courier New" w:hint="default"/>
      </w:rPr>
    </w:lvl>
    <w:lvl w:ilvl="8" w:tplc="07EA0B98">
      <w:start w:val="1"/>
      <w:numFmt w:val="bullet"/>
      <w:lvlText w:val=""/>
      <w:lvlJc w:val="left"/>
      <w:pPr>
        <w:ind w:left="6480" w:hanging="360"/>
      </w:pPr>
      <w:rPr>
        <w:rFonts w:ascii="Wingdings" w:hAnsi="Wingdings" w:hint="default"/>
      </w:rPr>
    </w:lvl>
  </w:abstractNum>
  <w:abstractNum w:abstractNumId="37" w15:restartNumberingAfterBreak="0">
    <w:nsid w:val="7EEC7D75"/>
    <w:multiLevelType w:val="hybridMultilevel"/>
    <w:tmpl w:val="C2CCA1D2"/>
    <w:lvl w:ilvl="0" w:tplc="79646ABE">
      <w:start w:val="1"/>
      <w:numFmt w:val="bullet"/>
      <w:lvlText w:val=""/>
      <w:lvlJc w:val="left"/>
      <w:pPr>
        <w:ind w:left="720" w:hanging="360"/>
      </w:pPr>
      <w:rPr>
        <w:rFonts w:ascii="Symbol" w:hAnsi="Symbol" w:hint="default"/>
        <w:color w:val="000000" w:themeColor="text1"/>
      </w:rPr>
    </w:lvl>
    <w:lvl w:ilvl="1" w:tplc="6BCCF2C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2522540">
    <w:abstractNumId w:val="16"/>
  </w:num>
  <w:num w:numId="2" w16cid:durableId="1367103080">
    <w:abstractNumId w:val="11"/>
  </w:num>
  <w:num w:numId="3" w16cid:durableId="838084003">
    <w:abstractNumId w:val="13"/>
  </w:num>
  <w:num w:numId="4" w16cid:durableId="222377823">
    <w:abstractNumId w:val="32"/>
  </w:num>
  <w:num w:numId="5" w16cid:durableId="978996276">
    <w:abstractNumId w:val="21"/>
  </w:num>
  <w:num w:numId="6" w16cid:durableId="500702748">
    <w:abstractNumId w:val="26"/>
  </w:num>
  <w:num w:numId="7" w16cid:durableId="1817143491">
    <w:abstractNumId w:val="30"/>
  </w:num>
  <w:num w:numId="8" w16cid:durableId="20984004">
    <w:abstractNumId w:val="37"/>
  </w:num>
  <w:num w:numId="9" w16cid:durableId="1350108525">
    <w:abstractNumId w:val="24"/>
  </w:num>
  <w:num w:numId="10" w16cid:durableId="954865725">
    <w:abstractNumId w:val="1"/>
  </w:num>
  <w:num w:numId="11" w16cid:durableId="521476379">
    <w:abstractNumId w:val="27"/>
  </w:num>
  <w:num w:numId="12" w16cid:durableId="1817800764">
    <w:abstractNumId w:val="35"/>
  </w:num>
  <w:num w:numId="13" w16cid:durableId="1427264911">
    <w:abstractNumId w:val="12"/>
  </w:num>
  <w:num w:numId="14" w16cid:durableId="2000385925">
    <w:abstractNumId w:val="3"/>
  </w:num>
  <w:num w:numId="15" w16cid:durableId="1809736454">
    <w:abstractNumId w:val="17"/>
  </w:num>
  <w:num w:numId="16" w16cid:durableId="962811289">
    <w:abstractNumId w:val="2"/>
  </w:num>
  <w:num w:numId="17" w16cid:durableId="1853907900">
    <w:abstractNumId w:val="28"/>
  </w:num>
  <w:num w:numId="18" w16cid:durableId="1339967078">
    <w:abstractNumId w:val="5"/>
  </w:num>
  <w:num w:numId="19" w16cid:durableId="1047678036">
    <w:abstractNumId w:val="0"/>
  </w:num>
  <w:num w:numId="20" w16cid:durableId="930509893">
    <w:abstractNumId w:val="19"/>
  </w:num>
  <w:num w:numId="21" w16cid:durableId="912933254">
    <w:abstractNumId w:val="9"/>
  </w:num>
  <w:num w:numId="22" w16cid:durableId="1218932035">
    <w:abstractNumId w:val="34"/>
  </w:num>
  <w:num w:numId="23" w16cid:durableId="709234038">
    <w:abstractNumId w:val="29"/>
  </w:num>
  <w:num w:numId="24" w16cid:durableId="1456630897">
    <w:abstractNumId w:val="7"/>
  </w:num>
  <w:num w:numId="25" w16cid:durableId="2001888163">
    <w:abstractNumId w:val="4"/>
  </w:num>
  <w:num w:numId="26" w16cid:durableId="1738824995">
    <w:abstractNumId w:val="15"/>
  </w:num>
  <w:num w:numId="27" w16cid:durableId="803814914">
    <w:abstractNumId w:val="20"/>
  </w:num>
  <w:num w:numId="28" w16cid:durableId="1342510077">
    <w:abstractNumId w:val="25"/>
  </w:num>
  <w:num w:numId="29" w16cid:durableId="876820146">
    <w:abstractNumId w:val="6"/>
  </w:num>
  <w:num w:numId="30" w16cid:durableId="309022763">
    <w:abstractNumId w:val="22"/>
  </w:num>
  <w:num w:numId="31" w16cid:durableId="802162126">
    <w:abstractNumId w:val="14"/>
  </w:num>
  <w:num w:numId="32" w16cid:durableId="959802152">
    <w:abstractNumId w:val="18"/>
  </w:num>
  <w:num w:numId="33" w16cid:durableId="1892031392">
    <w:abstractNumId w:val="33"/>
  </w:num>
  <w:num w:numId="34" w16cid:durableId="1060985460">
    <w:abstractNumId w:val="31"/>
  </w:num>
  <w:num w:numId="35" w16cid:durableId="1418403303">
    <w:abstractNumId w:val="23"/>
  </w:num>
  <w:num w:numId="36" w16cid:durableId="1017849090">
    <w:abstractNumId w:val="10"/>
  </w:num>
  <w:num w:numId="37" w16cid:durableId="179005186">
    <w:abstractNumId w:val="36"/>
  </w:num>
  <w:num w:numId="38" w16cid:durableId="19389789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BC9"/>
    <w:rsid w:val="00002096"/>
    <w:rsid w:val="00013AAF"/>
    <w:rsid w:val="000215BE"/>
    <w:rsid w:val="00024D01"/>
    <w:rsid w:val="0003300F"/>
    <w:rsid w:val="000414AC"/>
    <w:rsid w:val="00050B23"/>
    <w:rsid w:val="0005251A"/>
    <w:rsid w:val="00062B82"/>
    <w:rsid w:val="00065B81"/>
    <w:rsid w:val="00065FFA"/>
    <w:rsid w:val="00072A7C"/>
    <w:rsid w:val="0007355B"/>
    <w:rsid w:val="00074AC0"/>
    <w:rsid w:val="00077E86"/>
    <w:rsid w:val="0008300D"/>
    <w:rsid w:val="00095D51"/>
    <w:rsid w:val="000A37ED"/>
    <w:rsid w:val="000A3955"/>
    <w:rsid w:val="000B61B9"/>
    <w:rsid w:val="000B6CEF"/>
    <w:rsid w:val="000B73E1"/>
    <w:rsid w:val="000C0F9E"/>
    <w:rsid w:val="000C49E5"/>
    <w:rsid w:val="000C6369"/>
    <w:rsid w:val="000C70CE"/>
    <w:rsid w:val="000D51B5"/>
    <w:rsid w:val="000D6656"/>
    <w:rsid w:val="000E2D92"/>
    <w:rsid w:val="000E3C58"/>
    <w:rsid w:val="000F0E98"/>
    <w:rsid w:val="000F1E95"/>
    <w:rsid w:val="000F2AEC"/>
    <w:rsid w:val="000F533C"/>
    <w:rsid w:val="001073D1"/>
    <w:rsid w:val="0010774C"/>
    <w:rsid w:val="00113A43"/>
    <w:rsid w:val="00117020"/>
    <w:rsid w:val="00124D9A"/>
    <w:rsid w:val="00125759"/>
    <w:rsid w:val="00133655"/>
    <w:rsid w:val="0013683C"/>
    <w:rsid w:val="00140D18"/>
    <w:rsid w:val="0014302F"/>
    <w:rsid w:val="00143BEC"/>
    <w:rsid w:val="0015174E"/>
    <w:rsid w:val="00155EEB"/>
    <w:rsid w:val="0017292C"/>
    <w:rsid w:val="00174AB9"/>
    <w:rsid w:val="00187EE7"/>
    <w:rsid w:val="0019003D"/>
    <w:rsid w:val="00193BC6"/>
    <w:rsid w:val="0019692D"/>
    <w:rsid w:val="001B0224"/>
    <w:rsid w:val="001B5F67"/>
    <w:rsid w:val="001C1F3F"/>
    <w:rsid w:val="001D04FC"/>
    <w:rsid w:val="001D3B39"/>
    <w:rsid w:val="001D6E56"/>
    <w:rsid w:val="001E3F38"/>
    <w:rsid w:val="001E4589"/>
    <w:rsid w:val="001E4B5F"/>
    <w:rsid w:val="001F1F59"/>
    <w:rsid w:val="001F3539"/>
    <w:rsid w:val="00200037"/>
    <w:rsid w:val="00200239"/>
    <w:rsid w:val="0020533F"/>
    <w:rsid w:val="002111B3"/>
    <w:rsid w:val="00215E71"/>
    <w:rsid w:val="00216871"/>
    <w:rsid w:val="0022017B"/>
    <w:rsid w:val="00220B0C"/>
    <w:rsid w:val="002238F2"/>
    <w:rsid w:val="0022594B"/>
    <w:rsid w:val="00236BE5"/>
    <w:rsid w:val="0024606E"/>
    <w:rsid w:val="00247061"/>
    <w:rsid w:val="002477F5"/>
    <w:rsid w:val="00250152"/>
    <w:rsid w:val="00250426"/>
    <w:rsid w:val="00251FD3"/>
    <w:rsid w:val="00252011"/>
    <w:rsid w:val="002540C1"/>
    <w:rsid w:val="0025547A"/>
    <w:rsid w:val="002600ED"/>
    <w:rsid w:val="00261D4C"/>
    <w:rsid w:val="0026506A"/>
    <w:rsid w:val="002745D4"/>
    <w:rsid w:val="002761E7"/>
    <w:rsid w:val="00286AD8"/>
    <w:rsid w:val="002911AF"/>
    <w:rsid w:val="00295BBC"/>
    <w:rsid w:val="002A25AF"/>
    <w:rsid w:val="002A4FC2"/>
    <w:rsid w:val="002A500F"/>
    <w:rsid w:val="002A6C74"/>
    <w:rsid w:val="002B4404"/>
    <w:rsid w:val="002B4A4A"/>
    <w:rsid w:val="002C3261"/>
    <w:rsid w:val="002D1D58"/>
    <w:rsid w:val="002D2347"/>
    <w:rsid w:val="002D2C70"/>
    <w:rsid w:val="002E1047"/>
    <w:rsid w:val="002E4BCF"/>
    <w:rsid w:val="002E4C94"/>
    <w:rsid w:val="002E61B8"/>
    <w:rsid w:val="002E6D07"/>
    <w:rsid w:val="002F0266"/>
    <w:rsid w:val="002F03F6"/>
    <w:rsid w:val="002F13B7"/>
    <w:rsid w:val="002F168B"/>
    <w:rsid w:val="002F3E8B"/>
    <w:rsid w:val="002F51DB"/>
    <w:rsid w:val="002F6A14"/>
    <w:rsid w:val="003002C6"/>
    <w:rsid w:val="0030695E"/>
    <w:rsid w:val="00313270"/>
    <w:rsid w:val="00322577"/>
    <w:rsid w:val="00323240"/>
    <w:rsid w:val="003261C0"/>
    <w:rsid w:val="003276D3"/>
    <w:rsid w:val="00332E9D"/>
    <w:rsid w:val="0033471C"/>
    <w:rsid w:val="00341023"/>
    <w:rsid w:val="00342637"/>
    <w:rsid w:val="003463F4"/>
    <w:rsid w:val="003477A4"/>
    <w:rsid w:val="00356B99"/>
    <w:rsid w:val="00360658"/>
    <w:rsid w:val="00360F53"/>
    <w:rsid w:val="00361F8D"/>
    <w:rsid w:val="003643FB"/>
    <w:rsid w:val="00367B33"/>
    <w:rsid w:val="00377294"/>
    <w:rsid w:val="0038163A"/>
    <w:rsid w:val="00383132"/>
    <w:rsid w:val="00385498"/>
    <w:rsid w:val="003A0596"/>
    <w:rsid w:val="003A26BD"/>
    <w:rsid w:val="003A6C23"/>
    <w:rsid w:val="003B467A"/>
    <w:rsid w:val="003B7F67"/>
    <w:rsid w:val="003D2C12"/>
    <w:rsid w:val="003D2EAA"/>
    <w:rsid w:val="003D3594"/>
    <w:rsid w:val="003D3A2B"/>
    <w:rsid w:val="003D5A25"/>
    <w:rsid w:val="003F771A"/>
    <w:rsid w:val="003F7909"/>
    <w:rsid w:val="004102D6"/>
    <w:rsid w:val="00410CC6"/>
    <w:rsid w:val="00432967"/>
    <w:rsid w:val="00432981"/>
    <w:rsid w:val="00432C76"/>
    <w:rsid w:val="0044250C"/>
    <w:rsid w:val="00444E20"/>
    <w:rsid w:val="004555AD"/>
    <w:rsid w:val="0045661C"/>
    <w:rsid w:val="0046526A"/>
    <w:rsid w:val="0047354F"/>
    <w:rsid w:val="00473D81"/>
    <w:rsid w:val="00486B61"/>
    <w:rsid w:val="004874AE"/>
    <w:rsid w:val="00493F57"/>
    <w:rsid w:val="0049436E"/>
    <w:rsid w:val="00495F61"/>
    <w:rsid w:val="004A3AD0"/>
    <w:rsid w:val="004B6901"/>
    <w:rsid w:val="004C0977"/>
    <w:rsid w:val="004C5D7E"/>
    <w:rsid w:val="004D2BED"/>
    <w:rsid w:val="004E1E29"/>
    <w:rsid w:val="004E20F9"/>
    <w:rsid w:val="004E71E8"/>
    <w:rsid w:val="0050028E"/>
    <w:rsid w:val="00502BA3"/>
    <w:rsid w:val="005066D1"/>
    <w:rsid w:val="00514135"/>
    <w:rsid w:val="00515287"/>
    <w:rsid w:val="00531061"/>
    <w:rsid w:val="0053417D"/>
    <w:rsid w:val="00535E0C"/>
    <w:rsid w:val="005519C2"/>
    <w:rsid w:val="00551DBE"/>
    <w:rsid w:val="005537F5"/>
    <w:rsid w:val="00553A26"/>
    <w:rsid w:val="00563365"/>
    <w:rsid w:val="0057033F"/>
    <w:rsid w:val="00577403"/>
    <w:rsid w:val="005779F8"/>
    <w:rsid w:val="00593EBE"/>
    <w:rsid w:val="005B098D"/>
    <w:rsid w:val="005B0DF2"/>
    <w:rsid w:val="005C3E2C"/>
    <w:rsid w:val="005C43D9"/>
    <w:rsid w:val="005D7908"/>
    <w:rsid w:val="005E1467"/>
    <w:rsid w:val="005E2281"/>
    <w:rsid w:val="005E3BAB"/>
    <w:rsid w:val="005E62D4"/>
    <w:rsid w:val="005F0159"/>
    <w:rsid w:val="005F1A4A"/>
    <w:rsid w:val="005F3268"/>
    <w:rsid w:val="005F329B"/>
    <w:rsid w:val="00604B42"/>
    <w:rsid w:val="006122CB"/>
    <w:rsid w:val="00615ED8"/>
    <w:rsid w:val="00616702"/>
    <w:rsid w:val="006259C4"/>
    <w:rsid w:val="00636F62"/>
    <w:rsid w:val="00642D27"/>
    <w:rsid w:val="0065077A"/>
    <w:rsid w:val="0065114E"/>
    <w:rsid w:val="006544CB"/>
    <w:rsid w:val="006618FD"/>
    <w:rsid w:val="00661D72"/>
    <w:rsid w:val="00667410"/>
    <w:rsid w:val="00667660"/>
    <w:rsid w:val="00675550"/>
    <w:rsid w:val="006759F6"/>
    <w:rsid w:val="00680549"/>
    <w:rsid w:val="006811D5"/>
    <w:rsid w:val="00683F4A"/>
    <w:rsid w:val="00686907"/>
    <w:rsid w:val="006A18BF"/>
    <w:rsid w:val="006A25F5"/>
    <w:rsid w:val="006A48FD"/>
    <w:rsid w:val="006A6B35"/>
    <w:rsid w:val="006A73BC"/>
    <w:rsid w:val="006B7D5D"/>
    <w:rsid w:val="006C1B06"/>
    <w:rsid w:val="006C6B85"/>
    <w:rsid w:val="006C7546"/>
    <w:rsid w:val="006C7999"/>
    <w:rsid w:val="006D0CD1"/>
    <w:rsid w:val="006D31E0"/>
    <w:rsid w:val="006D6F3A"/>
    <w:rsid w:val="006E1BF4"/>
    <w:rsid w:val="006E228F"/>
    <w:rsid w:val="006F701D"/>
    <w:rsid w:val="0070129F"/>
    <w:rsid w:val="007012AF"/>
    <w:rsid w:val="0071210E"/>
    <w:rsid w:val="00714C65"/>
    <w:rsid w:val="00721358"/>
    <w:rsid w:val="00725F6D"/>
    <w:rsid w:val="00731957"/>
    <w:rsid w:val="0073523C"/>
    <w:rsid w:val="007353E1"/>
    <w:rsid w:val="00740DD9"/>
    <w:rsid w:val="00746E69"/>
    <w:rsid w:val="0075239D"/>
    <w:rsid w:val="007547E7"/>
    <w:rsid w:val="00776358"/>
    <w:rsid w:val="0077688B"/>
    <w:rsid w:val="007808F8"/>
    <w:rsid w:val="007819DC"/>
    <w:rsid w:val="00783ECC"/>
    <w:rsid w:val="0078663D"/>
    <w:rsid w:val="00792FCC"/>
    <w:rsid w:val="007A28DA"/>
    <w:rsid w:val="007A312C"/>
    <w:rsid w:val="007A7A17"/>
    <w:rsid w:val="007B175C"/>
    <w:rsid w:val="007B605F"/>
    <w:rsid w:val="007B69DC"/>
    <w:rsid w:val="007C251E"/>
    <w:rsid w:val="007D080A"/>
    <w:rsid w:val="007D2B9B"/>
    <w:rsid w:val="007D3D6F"/>
    <w:rsid w:val="007D4B4A"/>
    <w:rsid w:val="007D69DE"/>
    <w:rsid w:val="007E115D"/>
    <w:rsid w:val="007E5F3B"/>
    <w:rsid w:val="007E748B"/>
    <w:rsid w:val="007F15F2"/>
    <w:rsid w:val="007F242F"/>
    <w:rsid w:val="007F3807"/>
    <w:rsid w:val="007F62D5"/>
    <w:rsid w:val="008025E9"/>
    <w:rsid w:val="0080348B"/>
    <w:rsid w:val="00815EE6"/>
    <w:rsid w:val="00825862"/>
    <w:rsid w:val="00827F9E"/>
    <w:rsid w:val="008306B4"/>
    <w:rsid w:val="00833279"/>
    <w:rsid w:val="00844E01"/>
    <w:rsid w:val="0085220A"/>
    <w:rsid w:val="008537AB"/>
    <w:rsid w:val="00854045"/>
    <w:rsid w:val="008759BD"/>
    <w:rsid w:val="0087656B"/>
    <w:rsid w:val="008814C4"/>
    <w:rsid w:val="00883BDF"/>
    <w:rsid w:val="00890448"/>
    <w:rsid w:val="008910A3"/>
    <w:rsid w:val="00891861"/>
    <w:rsid w:val="00892CE5"/>
    <w:rsid w:val="0089724C"/>
    <w:rsid w:val="008A0507"/>
    <w:rsid w:val="008A10AC"/>
    <w:rsid w:val="008A1195"/>
    <w:rsid w:val="008A2D56"/>
    <w:rsid w:val="008A6CE4"/>
    <w:rsid w:val="008B11A4"/>
    <w:rsid w:val="008B1E28"/>
    <w:rsid w:val="008B471C"/>
    <w:rsid w:val="008C0DA4"/>
    <w:rsid w:val="008C1D7E"/>
    <w:rsid w:val="008C5C8C"/>
    <w:rsid w:val="008C6F05"/>
    <w:rsid w:val="008E0810"/>
    <w:rsid w:val="008E59AB"/>
    <w:rsid w:val="008F0B65"/>
    <w:rsid w:val="008F6679"/>
    <w:rsid w:val="00901515"/>
    <w:rsid w:val="00905188"/>
    <w:rsid w:val="00915114"/>
    <w:rsid w:val="00920861"/>
    <w:rsid w:val="0092404C"/>
    <w:rsid w:val="00924238"/>
    <w:rsid w:val="00926AB9"/>
    <w:rsid w:val="00934797"/>
    <w:rsid w:val="00944504"/>
    <w:rsid w:val="00953003"/>
    <w:rsid w:val="00957D85"/>
    <w:rsid w:val="00960204"/>
    <w:rsid w:val="009606E2"/>
    <w:rsid w:val="009704C2"/>
    <w:rsid w:val="00971D3F"/>
    <w:rsid w:val="00974EAD"/>
    <w:rsid w:val="00976EFC"/>
    <w:rsid w:val="0098202E"/>
    <w:rsid w:val="00983EA2"/>
    <w:rsid w:val="00984066"/>
    <w:rsid w:val="00996E3C"/>
    <w:rsid w:val="009A24C2"/>
    <w:rsid w:val="009A3A37"/>
    <w:rsid w:val="009B009E"/>
    <w:rsid w:val="009B06F2"/>
    <w:rsid w:val="009B3D44"/>
    <w:rsid w:val="009B5D12"/>
    <w:rsid w:val="009B793F"/>
    <w:rsid w:val="009C2689"/>
    <w:rsid w:val="009C5738"/>
    <w:rsid w:val="009C77F7"/>
    <w:rsid w:val="009D4955"/>
    <w:rsid w:val="009E227E"/>
    <w:rsid w:val="009E3F2E"/>
    <w:rsid w:val="009E454E"/>
    <w:rsid w:val="009E4AB6"/>
    <w:rsid w:val="009F5BC9"/>
    <w:rsid w:val="00A002DA"/>
    <w:rsid w:val="00A03516"/>
    <w:rsid w:val="00A055A1"/>
    <w:rsid w:val="00A055C1"/>
    <w:rsid w:val="00A11176"/>
    <w:rsid w:val="00A20A4E"/>
    <w:rsid w:val="00A21C6F"/>
    <w:rsid w:val="00A22BF2"/>
    <w:rsid w:val="00A341A1"/>
    <w:rsid w:val="00A36BE6"/>
    <w:rsid w:val="00A37116"/>
    <w:rsid w:val="00A371A4"/>
    <w:rsid w:val="00A41262"/>
    <w:rsid w:val="00A42CFF"/>
    <w:rsid w:val="00A51803"/>
    <w:rsid w:val="00A52CCE"/>
    <w:rsid w:val="00A54B9E"/>
    <w:rsid w:val="00A54DEC"/>
    <w:rsid w:val="00A5591A"/>
    <w:rsid w:val="00A643C5"/>
    <w:rsid w:val="00A660FC"/>
    <w:rsid w:val="00A662C6"/>
    <w:rsid w:val="00A7288C"/>
    <w:rsid w:val="00A72D61"/>
    <w:rsid w:val="00A75742"/>
    <w:rsid w:val="00A778D2"/>
    <w:rsid w:val="00A82FA0"/>
    <w:rsid w:val="00A869E9"/>
    <w:rsid w:val="00A90B15"/>
    <w:rsid w:val="00A9288D"/>
    <w:rsid w:val="00A96D6D"/>
    <w:rsid w:val="00AA1C61"/>
    <w:rsid w:val="00AA2033"/>
    <w:rsid w:val="00AB43CC"/>
    <w:rsid w:val="00AB442B"/>
    <w:rsid w:val="00AB6552"/>
    <w:rsid w:val="00AB7AEA"/>
    <w:rsid w:val="00AC1474"/>
    <w:rsid w:val="00AC75F6"/>
    <w:rsid w:val="00AC7940"/>
    <w:rsid w:val="00AD07EE"/>
    <w:rsid w:val="00AD111A"/>
    <w:rsid w:val="00AD1B98"/>
    <w:rsid w:val="00AD26F5"/>
    <w:rsid w:val="00AD40CA"/>
    <w:rsid w:val="00AD470A"/>
    <w:rsid w:val="00AD4A9D"/>
    <w:rsid w:val="00AD6A95"/>
    <w:rsid w:val="00AE2D8D"/>
    <w:rsid w:val="00AE33FB"/>
    <w:rsid w:val="00AE3ED9"/>
    <w:rsid w:val="00AE47DD"/>
    <w:rsid w:val="00AE5F33"/>
    <w:rsid w:val="00AE643C"/>
    <w:rsid w:val="00AF03E5"/>
    <w:rsid w:val="00AF3CB9"/>
    <w:rsid w:val="00AF4526"/>
    <w:rsid w:val="00AF5132"/>
    <w:rsid w:val="00AF53AD"/>
    <w:rsid w:val="00AF7536"/>
    <w:rsid w:val="00B02EDB"/>
    <w:rsid w:val="00B06A07"/>
    <w:rsid w:val="00B11193"/>
    <w:rsid w:val="00B12353"/>
    <w:rsid w:val="00B138A0"/>
    <w:rsid w:val="00B15ECA"/>
    <w:rsid w:val="00B1686B"/>
    <w:rsid w:val="00B201DA"/>
    <w:rsid w:val="00B2368D"/>
    <w:rsid w:val="00B41997"/>
    <w:rsid w:val="00B424FA"/>
    <w:rsid w:val="00B456D2"/>
    <w:rsid w:val="00B45E5B"/>
    <w:rsid w:val="00B46125"/>
    <w:rsid w:val="00B47552"/>
    <w:rsid w:val="00B54E00"/>
    <w:rsid w:val="00B60BD5"/>
    <w:rsid w:val="00B639BC"/>
    <w:rsid w:val="00B6506A"/>
    <w:rsid w:val="00B65ACB"/>
    <w:rsid w:val="00B742DB"/>
    <w:rsid w:val="00B75F25"/>
    <w:rsid w:val="00B7744B"/>
    <w:rsid w:val="00B7748A"/>
    <w:rsid w:val="00B77EE0"/>
    <w:rsid w:val="00B86CB6"/>
    <w:rsid w:val="00B93774"/>
    <w:rsid w:val="00BA56CF"/>
    <w:rsid w:val="00BB2F6F"/>
    <w:rsid w:val="00BB301B"/>
    <w:rsid w:val="00BB5528"/>
    <w:rsid w:val="00BC7879"/>
    <w:rsid w:val="00BD1C4C"/>
    <w:rsid w:val="00BD4B04"/>
    <w:rsid w:val="00BE51B8"/>
    <w:rsid w:val="00BF18B3"/>
    <w:rsid w:val="00BF2C05"/>
    <w:rsid w:val="00BF5A4A"/>
    <w:rsid w:val="00C03EEB"/>
    <w:rsid w:val="00C06CD2"/>
    <w:rsid w:val="00C10858"/>
    <w:rsid w:val="00C12FAE"/>
    <w:rsid w:val="00C12FE0"/>
    <w:rsid w:val="00C2103A"/>
    <w:rsid w:val="00C23584"/>
    <w:rsid w:val="00C25115"/>
    <w:rsid w:val="00C26BC1"/>
    <w:rsid w:val="00C275C3"/>
    <w:rsid w:val="00C35F35"/>
    <w:rsid w:val="00C360CA"/>
    <w:rsid w:val="00C40BFF"/>
    <w:rsid w:val="00C50271"/>
    <w:rsid w:val="00C5403B"/>
    <w:rsid w:val="00C57FDF"/>
    <w:rsid w:val="00C600EC"/>
    <w:rsid w:val="00C613B3"/>
    <w:rsid w:val="00C64984"/>
    <w:rsid w:val="00C65197"/>
    <w:rsid w:val="00C70359"/>
    <w:rsid w:val="00C713B5"/>
    <w:rsid w:val="00C7160C"/>
    <w:rsid w:val="00C72D50"/>
    <w:rsid w:val="00C730FC"/>
    <w:rsid w:val="00C76ABE"/>
    <w:rsid w:val="00C80A7C"/>
    <w:rsid w:val="00C84B69"/>
    <w:rsid w:val="00CA0427"/>
    <w:rsid w:val="00CA0C39"/>
    <w:rsid w:val="00CA3E76"/>
    <w:rsid w:val="00CA5A1B"/>
    <w:rsid w:val="00CA5DD2"/>
    <w:rsid w:val="00CA65EB"/>
    <w:rsid w:val="00CA7004"/>
    <w:rsid w:val="00CA7F1E"/>
    <w:rsid w:val="00CB07E3"/>
    <w:rsid w:val="00CB0D74"/>
    <w:rsid w:val="00CB42BD"/>
    <w:rsid w:val="00CC144B"/>
    <w:rsid w:val="00CC2C7F"/>
    <w:rsid w:val="00CC38F1"/>
    <w:rsid w:val="00CD0FAA"/>
    <w:rsid w:val="00CD38B4"/>
    <w:rsid w:val="00CD7987"/>
    <w:rsid w:val="00CE3EB6"/>
    <w:rsid w:val="00CE4B4E"/>
    <w:rsid w:val="00CE6B00"/>
    <w:rsid w:val="00CE6E6B"/>
    <w:rsid w:val="00CF77FC"/>
    <w:rsid w:val="00D04EA1"/>
    <w:rsid w:val="00D06F27"/>
    <w:rsid w:val="00D11894"/>
    <w:rsid w:val="00D1660C"/>
    <w:rsid w:val="00D2664E"/>
    <w:rsid w:val="00D314C6"/>
    <w:rsid w:val="00D31E01"/>
    <w:rsid w:val="00D36F5E"/>
    <w:rsid w:val="00D37223"/>
    <w:rsid w:val="00D5077D"/>
    <w:rsid w:val="00D60811"/>
    <w:rsid w:val="00D62265"/>
    <w:rsid w:val="00D634E8"/>
    <w:rsid w:val="00D63D1E"/>
    <w:rsid w:val="00D7158D"/>
    <w:rsid w:val="00D80464"/>
    <w:rsid w:val="00D91D82"/>
    <w:rsid w:val="00D9795B"/>
    <w:rsid w:val="00DA7354"/>
    <w:rsid w:val="00DB0B01"/>
    <w:rsid w:val="00DB39DF"/>
    <w:rsid w:val="00DB3E73"/>
    <w:rsid w:val="00DB7148"/>
    <w:rsid w:val="00DC54B8"/>
    <w:rsid w:val="00DE1A64"/>
    <w:rsid w:val="00DE4C93"/>
    <w:rsid w:val="00DE4F4D"/>
    <w:rsid w:val="00DE6BDF"/>
    <w:rsid w:val="00DF4FF1"/>
    <w:rsid w:val="00E00B02"/>
    <w:rsid w:val="00E10E82"/>
    <w:rsid w:val="00E12100"/>
    <w:rsid w:val="00E13227"/>
    <w:rsid w:val="00E2611D"/>
    <w:rsid w:val="00E271BA"/>
    <w:rsid w:val="00E314D6"/>
    <w:rsid w:val="00E31D01"/>
    <w:rsid w:val="00E34664"/>
    <w:rsid w:val="00E36F06"/>
    <w:rsid w:val="00E41F21"/>
    <w:rsid w:val="00E43D64"/>
    <w:rsid w:val="00E44DC6"/>
    <w:rsid w:val="00E457AB"/>
    <w:rsid w:val="00E46AE7"/>
    <w:rsid w:val="00E47CE1"/>
    <w:rsid w:val="00E50EA0"/>
    <w:rsid w:val="00E51142"/>
    <w:rsid w:val="00E612A8"/>
    <w:rsid w:val="00E622B0"/>
    <w:rsid w:val="00E62A08"/>
    <w:rsid w:val="00E66E7D"/>
    <w:rsid w:val="00E7163D"/>
    <w:rsid w:val="00E76DD4"/>
    <w:rsid w:val="00E83418"/>
    <w:rsid w:val="00E90EF5"/>
    <w:rsid w:val="00E90F7F"/>
    <w:rsid w:val="00E92590"/>
    <w:rsid w:val="00E93C38"/>
    <w:rsid w:val="00EB7071"/>
    <w:rsid w:val="00EC13B0"/>
    <w:rsid w:val="00EC2F9A"/>
    <w:rsid w:val="00ED3E89"/>
    <w:rsid w:val="00ED47E6"/>
    <w:rsid w:val="00ED55B3"/>
    <w:rsid w:val="00ED5CD2"/>
    <w:rsid w:val="00ED65F5"/>
    <w:rsid w:val="00EE0010"/>
    <w:rsid w:val="00EE34A1"/>
    <w:rsid w:val="00EE7ABC"/>
    <w:rsid w:val="00EF3E3E"/>
    <w:rsid w:val="00EF3FEB"/>
    <w:rsid w:val="00EF45E2"/>
    <w:rsid w:val="00EF76EE"/>
    <w:rsid w:val="00F006CC"/>
    <w:rsid w:val="00F071DD"/>
    <w:rsid w:val="00F10F7D"/>
    <w:rsid w:val="00F11B75"/>
    <w:rsid w:val="00F12227"/>
    <w:rsid w:val="00F15F3D"/>
    <w:rsid w:val="00F2545C"/>
    <w:rsid w:val="00F336ED"/>
    <w:rsid w:val="00F35DA4"/>
    <w:rsid w:val="00F40254"/>
    <w:rsid w:val="00F46494"/>
    <w:rsid w:val="00F50C5E"/>
    <w:rsid w:val="00F514F4"/>
    <w:rsid w:val="00F52786"/>
    <w:rsid w:val="00F5467C"/>
    <w:rsid w:val="00F57DD1"/>
    <w:rsid w:val="00F62A4B"/>
    <w:rsid w:val="00F636C1"/>
    <w:rsid w:val="00F66DD5"/>
    <w:rsid w:val="00F674B7"/>
    <w:rsid w:val="00F7408E"/>
    <w:rsid w:val="00F77760"/>
    <w:rsid w:val="00F810FD"/>
    <w:rsid w:val="00F81B90"/>
    <w:rsid w:val="00F838A9"/>
    <w:rsid w:val="00F8414F"/>
    <w:rsid w:val="00F924E1"/>
    <w:rsid w:val="00F933FD"/>
    <w:rsid w:val="00F95904"/>
    <w:rsid w:val="00F96A0A"/>
    <w:rsid w:val="00F97745"/>
    <w:rsid w:val="00FA105B"/>
    <w:rsid w:val="00FB0227"/>
    <w:rsid w:val="00FB15D6"/>
    <w:rsid w:val="00FB386E"/>
    <w:rsid w:val="00FB471C"/>
    <w:rsid w:val="00FB5FD5"/>
    <w:rsid w:val="00FB684E"/>
    <w:rsid w:val="00FC3207"/>
    <w:rsid w:val="00FC5106"/>
    <w:rsid w:val="00FC6936"/>
    <w:rsid w:val="00FD0151"/>
    <w:rsid w:val="00FD65D3"/>
    <w:rsid w:val="00FE6FD6"/>
    <w:rsid w:val="00FF1AB6"/>
    <w:rsid w:val="00FF1BE0"/>
    <w:rsid w:val="00FF1F55"/>
    <w:rsid w:val="00FF497B"/>
    <w:rsid w:val="01316D21"/>
    <w:rsid w:val="01A6195C"/>
    <w:rsid w:val="020F1E71"/>
    <w:rsid w:val="02C6E4D2"/>
    <w:rsid w:val="031CE022"/>
    <w:rsid w:val="03803EF6"/>
    <w:rsid w:val="03D90649"/>
    <w:rsid w:val="0471A85B"/>
    <w:rsid w:val="04949F2D"/>
    <w:rsid w:val="04F874DD"/>
    <w:rsid w:val="07D7EA71"/>
    <w:rsid w:val="080927C4"/>
    <w:rsid w:val="083DDD23"/>
    <w:rsid w:val="08462CFC"/>
    <w:rsid w:val="08A1EF51"/>
    <w:rsid w:val="08D79996"/>
    <w:rsid w:val="0960D5C2"/>
    <w:rsid w:val="09639399"/>
    <w:rsid w:val="09F5A389"/>
    <w:rsid w:val="0A0F03FD"/>
    <w:rsid w:val="0A147877"/>
    <w:rsid w:val="0A6B3BCF"/>
    <w:rsid w:val="0ADA8E2D"/>
    <w:rsid w:val="0AF46EF8"/>
    <w:rsid w:val="0C1716E5"/>
    <w:rsid w:val="0C795B12"/>
    <w:rsid w:val="0CADBDF9"/>
    <w:rsid w:val="0D0E9851"/>
    <w:rsid w:val="0D226C98"/>
    <w:rsid w:val="0E00F44B"/>
    <w:rsid w:val="0F42E673"/>
    <w:rsid w:val="0F75D1B9"/>
    <w:rsid w:val="1022D03C"/>
    <w:rsid w:val="1123C77E"/>
    <w:rsid w:val="116E83A1"/>
    <w:rsid w:val="11DF63B8"/>
    <w:rsid w:val="1267AFEC"/>
    <w:rsid w:val="12A44CD3"/>
    <w:rsid w:val="12A454FC"/>
    <w:rsid w:val="12B65FB4"/>
    <w:rsid w:val="13030ACE"/>
    <w:rsid w:val="13DA5FE4"/>
    <w:rsid w:val="141F73C9"/>
    <w:rsid w:val="1424FC8C"/>
    <w:rsid w:val="1571CA1F"/>
    <w:rsid w:val="15EF776E"/>
    <w:rsid w:val="16FDC7A0"/>
    <w:rsid w:val="17828BD7"/>
    <w:rsid w:val="17B0335A"/>
    <w:rsid w:val="17B921C2"/>
    <w:rsid w:val="17E38EA8"/>
    <w:rsid w:val="180DFC0D"/>
    <w:rsid w:val="193B0C53"/>
    <w:rsid w:val="194FDE1C"/>
    <w:rsid w:val="1B74C3DB"/>
    <w:rsid w:val="1BF3697C"/>
    <w:rsid w:val="1D22097D"/>
    <w:rsid w:val="1DC93DB3"/>
    <w:rsid w:val="1DE037D0"/>
    <w:rsid w:val="1EA5F098"/>
    <w:rsid w:val="1F04AE45"/>
    <w:rsid w:val="1FAFCA16"/>
    <w:rsid w:val="20560E6B"/>
    <w:rsid w:val="206D099D"/>
    <w:rsid w:val="212DA39E"/>
    <w:rsid w:val="21E54F92"/>
    <w:rsid w:val="2249C781"/>
    <w:rsid w:val="225754F8"/>
    <w:rsid w:val="22A47543"/>
    <w:rsid w:val="22AF5FF7"/>
    <w:rsid w:val="22D9C6C4"/>
    <w:rsid w:val="22FF20FE"/>
    <w:rsid w:val="2310EE10"/>
    <w:rsid w:val="2317129F"/>
    <w:rsid w:val="235C01EF"/>
    <w:rsid w:val="2411332B"/>
    <w:rsid w:val="245A3C4B"/>
    <w:rsid w:val="245CC467"/>
    <w:rsid w:val="253C47DF"/>
    <w:rsid w:val="25CB6561"/>
    <w:rsid w:val="25EC61EB"/>
    <w:rsid w:val="274A72D8"/>
    <w:rsid w:val="2751130B"/>
    <w:rsid w:val="2752975B"/>
    <w:rsid w:val="28447E10"/>
    <w:rsid w:val="29766D6C"/>
    <w:rsid w:val="29C82B2A"/>
    <w:rsid w:val="2A7E5503"/>
    <w:rsid w:val="2AA20FF4"/>
    <w:rsid w:val="2AD5DFB4"/>
    <w:rsid w:val="2B858AB1"/>
    <w:rsid w:val="2BC139D3"/>
    <w:rsid w:val="2C523DFC"/>
    <w:rsid w:val="2C6404AB"/>
    <w:rsid w:val="2C717AE6"/>
    <w:rsid w:val="2C73686A"/>
    <w:rsid w:val="2CB867AF"/>
    <w:rsid w:val="2DA01D06"/>
    <w:rsid w:val="2DAED8BF"/>
    <w:rsid w:val="2DB48AF1"/>
    <w:rsid w:val="2DC4B308"/>
    <w:rsid w:val="2DEAA813"/>
    <w:rsid w:val="2E46909B"/>
    <w:rsid w:val="2E8D0177"/>
    <w:rsid w:val="2FC9F7B9"/>
    <w:rsid w:val="2FCB8327"/>
    <w:rsid w:val="30D99D44"/>
    <w:rsid w:val="3224C034"/>
    <w:rsid w:val="32A1F88A"/>
    <w:rsid w:val="32AEC816"/>
    <w:rsid w:val="34176667"/>
    <w:rsid w:val="342CC16A"/>
    <w:rsid w:val="34AF6233"/>
    <w:rsid w:val="35983FEA"/>
    <w:rsid w:val="35B5039D"/>
    <w:rsid w:val="362F4F01"/>
    <w:rsid w:val="36AE4A61"/>
    <w:rsid w:val="36B40588"/>
    <w:rsid w:val="375271F3"/>
    <w:rsid w:val="37551C88"/>
    <w:rsid w:val="37FC187F"/>
    <w:rsid w:val="3869C5B0"/>
    <w:rsid w:val="38FBA4B0"/>
    <w:rsid w:val="39AFDA37"/>
    <w:rsid w:val="3A5452F9"/>
    <w:rsid w:val="3AA03884"/>
    <w:rsid w:val="3B9A342D"/>
    <w:rsid w:val="3BD0C0A2"/>
    <w:rsid w:val="3C7E7ADF"/>
    <w:rsid w:val="3C923AA7"/>
    <w:rsid w:val="3CCB7609"/>
    <w:rsid w:val="3D57A37A"/>
    <w:rsid w:val="3E4CECDF"/>
    <w:rsid w:val="3EB0160C"/>
    <w:rsid w:val="3F41C740"/>
    <w:rsid w:val="3F910F60"/>
    <w:rsid w:val="4008D28E"/>
    <w:rsid w:val="43494752"/>
    <w:rsid w:val="435EE97D"/>
    <w:rsid w:val="43B6B2BD"/>
    <w:rsid w:val="4607FCFE"/>
    <w:rsid w:val="464017CB"/>
    <w:rsid w:val="464B0A76"/>
    <w:rsid w:val="4698130D"/>
    <w:rsid w:val="47961CCE"/>
    <w:rsid w:val="48E1B60C"/>
    <w:rsid w:val="49C2529B"/>
    <w:rsid w:val="49C3685A"/>
    <w:rsid w:val="4A519C56"/>
    <w:rsid w:val="4B280EA6"/>
    <w:rsid w:val="4C2D6CF1"/>
    <w:rsid w:val="4DC57ADF"/>
    <w:rsid w:val="4E290C04"/>
    <w:rsid w:val="4E85410F"/>
    <w:rsid w:val="4EDFB3FD"/>
    <w:rsid w:val="4EE73D0D"/>
    <w:rsid w:val="4F641237"/>
    <w:rsid w:val="5174D337"/>
    <w:rsid w:val="5289B336"/>
    <w:rsid w:val="5292F81D"/>
    <w:rsid w:val="560F7742"/>
    <w:rsid w:val="56718118"/>
    <w:rsid w:val="567F5A3B"/>
    <w:rsid w:val="56DB1F18"/>
    <w:rsid w:val="57A53F59"/>
    <w:rsid w:val="57E96A75"/>
    <w:rsid w:val="57F0EC03"/>
    <w:rsid w:val="5900D882"/>
    <w:rsid w:val="5912AE41"/>
    <w:rsid w:val="5966E674"/>
    <w:rsid w:val="59A675DF"/>
    <w:rsid w:val="5A13FE5D"/>
    <w:rsid w:val="5A3EDD05"/>
    <w:rsid w:val="5A9E2F0B"/>
    <w:rsid w:val="5ADB3238"/>
    <w:rsid w:val="5C1CDC57"/>
    <w:rsid w:val="5C95A301"/>
    <w:rsid w:val="5DB2BB82"/>
    <w:rsid w:val="5E155F18"/>
    <w:rsid w:val="5E972D35"/>
    <w:rsid w:val="5EB19F2B"/>
    <w:rsid w:val="5EDCE310"/>
    <w:rsid w:val="5F1074AD"/>
    <w:rsid w:val="5F30A881"/>
    <w:rsid w:val="5FA577A6"/>
    <w:rsid w:val="5FAFC302"/>
    <w:rsid w:val="602E9FBF"/>
    <w:rsid w:val="603C76EF"/>
    <w:rsid w:val="606A0C33"/>
    <w:rsid w:val="6122ABCF"/>
    <w:rsid w:val="612C824F"/>
    <w:rsid w:val="61557310"/>
    <w:rsid w:val="6246E3EA"/>
    <w:rsid w:val="6377DFC9"/>
    <w:rsid w:val="646BFF3D"/>
    <w:rsid w:val="64F04CDE"/>
    <w:rsid w:val="65144343"/>
    <w:rsid w:val="6567B113"/>
    <w:rsid w:val="65CC471B"/>
    <w:rsid w:val="66E2ED43"/>
    <w:rsid w:val="679ED96B"/>
    <w:rsid w:val="67AF4059"/>
    <w:rsid w:val="68FF4DD2"/>
    <w:rsid w:val="6955B43F"/>
    <w:rsid w:val="69B163EB"/>
    <w:rsid w:val="69B7311C"/>
    <w:rsid w:val="69DBA420"/>
    <w:rsid w:val="6A16A46B"/>
    <w:rsid w:val="6A5520FE"/>
    <w:rsid w:val="6B96953B"/>
    <w:rsid w:val="6BB82651"/>
    <w:rsid w:val="6BD06016"/>
    <w:rsid w:val="6C9CB5D7"/>
    <w:rsid w:val="6CA7262E"/>
    <w:rsid w:val="70706632"/>
    <w:rsid w:val="70714D0D"/>
    <w:rsid w:val="7091DD66"/>
    <w:rsid w:val="709CB6A5"/>
    <w:rsid w:val="70C0FFBB"/>
    <w:rsid w:val="70C8FA52"/>
    <w:rsid w:val="72281038"/>
    <w:rsid w:val="73362453"/>
    <w:rsid w:val="734B0378"/>
    <w:rsid w:val="738E62A8"/>
    <w:rsid w:val="73A09212"/>
    <w:rsid w:val="74A5DC74"/>
    <w:rsid w:val="74A6AED7"/>
    <w:rsid w:val="762E05B1"/>
    <w:rsid w:val="76604CD1"/>
    <w:rsid w:val="767B0F18"/>
    <w:rsid w:val="770DD9B6"/>
    <w:rsid w:val="772A1F35"/>
    <w:rsid w:val="77DB9D81"/>
    <w:rsid w:val="78A3884B"/>
    <w:rsid w:val="78B5193A"/>
    <w:rsid w:val="78E3D55A"/>
    <w:rsid w:val="78FB2626"/>
    <w:rsid w:val="790537F9"/>
    <w:rsid w:val="798E7EC4"/>
    <w:rsid w:val="7AD550E4"/>
    <w:rsid w:val="7AF115EC"/>
    <w:rsid w:val="7BD9F410"/>
    <w:rsid w:val="7BF0E6C7"/>
    <w:rsid w:val="7D115B0B"/>
    <w:rsid w:val="7DA2B35D"/>
    <w:rsid w:val="7EA6B0A2"/>
    <w:rsid w:val="7EE185F9"/>
    <w:rsid w:val="7EEA069D"/>
    <w:rsid w:val="7F797CEA"/>
    <w:rsid w:val="7FB94A83"/>
    <w:rsid w:val="7FEDFC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7119E"/>
  <w15:chartTrackingRefBased/>
  <w15:docId w15:val="{2350DDA6-4926-4C1F-A363-DF185A345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003"/>
    <w:pPr>
      <w:spacing w:after="120"/>
    </w:pPr>
    <w:rPr>
      <w:rFonts w:ascii="Arial" w:hAnsi="Arial"/>
      <w:sz w:val="22"/>
    </w:rPr>
  </w:style>
  <w:style w:type="paragraph" w:styleId="Heading1">
    <w:name w:val="heading 1"/>
    <w:basedOn w:val="Normal"/>
    <w:next w:val="Normal"/>
    <w:link w:val="Heading1Char"/>
    <w:uiPriority w:val="9"/>
    <w:qFormat/>
    <w:rsid w:val="00953003"/>
    <w:pPr>
      <w:keepNext/>
      <w:keepLines/>
      <w:spacing w:before="120"/>
      <w:outlineLvl w:val="0"/>
    </w:pPr>
    <w:rPr>
      <w:rFonts w:eastAsiaTheme="majorEastAsia" w:cstheme="majorBidi"/>
      <w:b/>
      <w:color w:val="000000" w:themeColor="text1"/>
      <w:sz w:val="44"/>
      <w:szCs w:val="40"/>
    </w:rPr>
  </w:style>
  <w:style w:type="paragraph" w:styleId="Heading2">
    <w:name w:val="heading 2"/>
    <w:basedOn w:val="Normal"/>
    <w:next w:val="Normal"/>
    <w:link w:val="Heading2Char"/>
    <w:uiPriority w:val="9"/>
    <w:unhideWhenUsed/>
    <w:qFormat/>
    <w:rsid w:val="009F5BC9"/>
    <w:pPr>
      <w:keepNext/>
      <w:keepLines/>
      <w:outlineLvl w:val="1"/>
    </w:pPr>
    <w:rPr>
      <w:rFonts w:eastAsiaTheme="majorEastAsia" w:cstheme="majorBidi"/>
      <w:b/>
      <w:color w:val="000000" w:themeColor="text1"/>
      <w:sz w:val="32"/>
      <w:szCs w:val="32"/>
    </w:rPr>
  </w:style>
  <w:style w:type="paragraph" w:styleId="Heading3">
    <w:name w:val="heading 3"/>
    <w:basedOn w:val="Normal"/>
    <w:next w:val="Normal"/>
    <w:link w:val="Heading3Char"/>
    <w:uiPriority w:val="9"/>
    <w:unhideWhenUsed/>
    <w:qFormat/>
    <w:rsid w:val="00953003"/>
    <w:pPr>
      <w:keepNext/>
      <w:keepLines/>
      <w:spacing w:before="12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unhideWhenUsed/>
    <w:qFormat/>
    <w:rsid w:val="00953003"/>
    <w:pPr>
      <w:keepNext/>
      <w:keepLines/>
      <w:spacing w:before="120"/>
      <w:outlineLvl w:val="3"/>
    </w:pPr>
    <w:rPr>
      <w:rFonts w:eastAsiaTheme="majorEastAsia" w:cstheme="majorBidi"/>
      <w:b/>
      <w:iCs/>
      <w:color w:val="000000" w:themeColor="text1"/>
      <w:sz w:val="24"/>
    </w:rPr>
  </w:style>
  <w:style w:type="paragraph" w:styleId="Heading5">
    <w:name w:val="heading 5"/>
    <w:basedOn w:val="Normal"/>
    <w:next w:val="Normal"/>
    <w:link w:val="Heading5Char"/>
    <w:uiPriority w:val="9"/>
    <w:semiHidden/>
    <w:unhideWhenUsed/>
    <w:rsid w:val="009F5BC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F5BC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F5BC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F5BC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F5BC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el">
    <w:name w:val="Label"/>
    <w:basedOn w:val="Normal"/>
    <w:link w:val="LabelChar"/>
    <w:rsid w:val="00776358"/>
    <w:pPr>
      <w:spacing w:before="360" w:after="0" w:line="240" w:lineRule="auto"/>
      <w:ind w:left="2160"/>
      <w:outlineLvl w:val="1"/>
    </w:pPr>
    <w:rPr>
      <w:rFonts w:eastAsiaTheme="minorEastAsia" w:cs="Arial"/>
      <w:b/>
      <w:bCs/>
      <w:color w:val="FFFFFF" w:themeColor="background1"/>
      <w:kern w:val="20"/>
      <w:sz w:val="72"/>
      <w:szCs w:val="72"/>
      <w:lang w:val="en"/>
    </w:rPr>
  </w:style>
  <w:style w:type="character" w:customStyle="1" w:styleId="LabelChar">
    <w:name w:val="Label Char"/>
    <w:basedOn w:val="DefaultParagraphFont"/>
    <w:link w:val="Label"/>
    <w:rsid w:val="00776358"/>
    <w:rPr>
      <w:rFonts w:ascii="Arial" w:eastAsiaTheme="minorEastAsia" w:hAnsi="Arial" w:cs="Arial"/>
      <w:b/>
      <w:bCs/>
      <w:color w:val="FFFFFF" w:themeColor="background1"/>
      <w:kern w:val="20"/>
      <w:sz w:val="72"/>
      <w:szCs w:val="72"/>
      <w:lang w:val="en"/>
    </w:rPr>
  </w:style>
  <w:style w:type="paragraph" w:styleId="Title">
    <w:name w:val="Title"/>
    <w:basedOn w:val="Heading1"/>
    <w:next w:val="Normal"/>
    <w:link w:val="TitleChar"/>
    <w:autoRedefine/>
    <w:uiPriority w:val="10"/>
    <w:qFormat/>
    <w:rsid w:val="00ED47E6"/>
    <w:pPr>
      <w:spacing w:after="0"/>
    </w:pPr>
  </w:style>
  <w:style w:type="character" w:customStyle="1" w:styleId="TitleChar">
    <w:name w:val="Title Char"/>
    <w:basedOn w:val="DefaultParagraphFont"/>
    <w:link w:val="Title"/>
    <w:uiPriority w:val="10"/>
    <w:rsid w:val="00ED47E6"/>
    <w:rPr>
      <w:rFonts w:ascii="Arial" w:eastAsiaTheme="majorEastAsia" w:hAnsi="Arial" w:cstheme="majorBidi"/>
      <w:b/>
      <w:color w:val="000000" w:themeColor="text1"/>
      <w:sz w:val="44"/>
      <w:szCs w:val="40"/>
    </w:rPr>
  </w:style>
  <w:style w:type="paragraph" w:styleId="Subtitle">
    <w:name w:val="Subtitle"/>
    <w:basedOn w:val="Normal"/>
    <w:next w:val="Normal"/>
    <w:link w:val="SubtitleChar"/>
    <w:uiPriority w:val="11"/>
    <w:unhideWhenUsed/>
    <w:qFormat/>
    <w:rsid w:val="00ED47E6"/>
    <w:pPr>
      <w:numPr>
        <w:ilvl w:val="1"/>
      </w:numPr>
      <w:spacing w:line="240" w:lineRule="auto"/>
      <w:outlineLvl w:val="0"/>
    </w:pPr>
    <w:rPr>
      <w:rFonts w:eastAsiaTheme="minorEastAsia"/>
      <w:b/>
      <w:sz w:val="36"/>
      <w:szCs w:val="22"/>
    </w:rPr>
  </w:style>
  <w:style w:type="character" w:customStyle="1" w:styleId="SubtitleChar">
    <w:name w:val="Subtitle Char"/>
    <w:basedOn w:val="DefaultParagraphFont"/>
    <w:link w:val="Subtitle"/>
    <w:uiPriority w:val="11"/>
    <w:rsid w:val="00ED47E6"/>
    <w:rPr>
      <w:rFonts w:ascii="Arial" w:eastAsiaTheme="minorEastAsia" w:hAnsi="Arial"/>
      <w:b/>
      <w:sz w:val="36"/>
      <w:szCs w:val="22"/>
    </w:rPr>
  </w:style>
  <w:style w:type="paragraph" w:styleId="Caption">
    <w:name w:val="caption"/>
    <w:basedOn w:val="Normal"/>
    <w:next w:val="Normal"/>
    <w:uiPriority w:val="35"/>
    <w:unhideWhenUsed/>
    <w:qFormat/>
    <w:rsid w:val="00953003"/>
    <w:pPr>
      <w:spacing w:after="40" w:line="240" w:lineRule="auto"/>
    </w:pPr>
    <w:rPr>
      <w:rFonts w:cs="Arial"/>
      <w:b/>
      <w:iCs/>
      <w:color w:val="0E2841" w:themeColor="text2"/>
      <w:sz w:val="20"/>
      <w:szCs w:val="18"/>
    </w:rPr>
  </w:style>
  <w:style w:type="character" w:customStyle="1" w:styleId="Heading2Char">
    <w:name w:val="Heading 2 Char"/>
    <w:basedOn w:val="DefaultParagraphFont"/>
    <w:link w:val="Heading2"/>
    <w:uiPriority w:val="9"/>
    <w:rsid w:val="009F5BC9"/>
    <w:rPr>
      <w:rFonts w:ascii="Arial" w:eastAsiaTheme="majorEastAsia" w:hAnsi="Arial" w:cstheme="majorBidi"/>
      <w:b/>
      <w:color w:val="000000" w:themeColor="text1"/>
      <w:sz w:val="32"/>
      <w:szCs w:val="32"/>
    </w:rPr>
  </w:style>
  <w:style w:type="character" w:customStyle="1" w:styleId="Heading1Char">
    <w:name w:val="Heading 1 Char"/>
    <w:basedOn w:val="DefaultParagraphFont"/>
    <w:link w:val="Heading1"/>
    <w:uiPriority w:val="9"/>
    <w:rsid w:val="00953003"/>
    <w:rPr>
      <w:rFonts w:ascii="Arial" w:eastAsiaTheme="majorEastAsia" w:hAnsi="Arial" w:cstheme="majorBidi"/>
      <w:b/>
      <w:color w:val="000000" w:themeColor="text1"/>
      <w:sz w:val="44"/>
      <w:szCs w:val="40"/>
    </w:rPr>
  </w:style>
  <w:style w:type="character" w:customStyle="1" w:styleId="Heading3Char">
    <w:name w:val="Heading 3 Char"/>
    <w:basedOn w:val="DefaultParagraphFont"/>
    <w:link w:val="Heading3"/>
    <w:uiPriority w:val="9"/>
    <w:rsid w:val="00953003"/>
    <w:rPr>
      <w:rFonts w:ascii="Arial" w:eastAsiaTheme="majorEastAsia" w:hAnsi="Arial" w:cstheme="majorBidi"/>
      <w:b/>
      <w:color w:val="000000" w:themeColor="text1"/>
      <w:sz w:val="28"/>
      <w:szCs w:val="28"/>
    </w:rPr>
  </w:style>
  <w:style w:type="character" w:customStyle="1" w:styleId="Heading4Char">
    <w:name w:val="Heading 4 Char"/>
    <w:basedOn w:val="DefaultParagraphFont"/>
    <w:link w:val="Heading4"/>
    <w:uiPriority w:val="9"/>
    <w:rsid w:val="00953003"/>
    <w:rPr>
      <w:rFonts w:ascii="Arial" w:eastAsiaTheme="majorEastAsia" w:hAnsi="Arial" w:cstheme="majorBidi"/>
      <w:b/>
      <w:iCs/>
      <w:color w:val="000000" w:themeColor="text1"/>
    </w:rPr>
  </w:style>
  <w:style w:type="character" w:customStyle="1" w:styleId="Heading5Char">
    <w:name w:val="Heading 5 Char"/>
    <w:basedOn w:val="DefaultParagraphFont"/>
    <w:link w:val="Heading5"/>
    <w:uiPriority w:val="9"/>
    <w:semiHidden/>
    <w:rsid w:val="009F5BC9"/>
    <w:rPr>
      <w:rFonts w:eastAsiaTheme="majorEastAsia" w:cstheme="majorBidi"/>
      <w:color w:val="0F4761" w:themeColor="accent1" w:themeShade="BF"/>
      <w:sz w:val="22"/>
    </w:rPr>
  </w:style>
  <w:style w:type="character" w:customStyle="1" w:styleId="Heading6Char">
    <w:name w:val="Heading 6 Char"/>
    <w:basedOn w:val="DefaultParagraphFont"/>
    <w:link w:val="Heading6"/>
    <w:uiPriority w:val="9"/>
    <w:semiHidden/>
    <w:rsid w:val="009F5BC9"/>
    <w:rPr>
      <w:rFonts w:eastAsiaTheme="majorEastAsia" w:cstheme="majorBidi"/>
      <w:i/>
      <w:iCs/>
      <w:color w:val="595959" w:themeColor="text1" w:themeTint="A6"/>
      <w:sz w:val="22"/>
    </w:rPr>
  </w:style>
  <w:style w:type="character" w:customStyle="1" w:styleId="Heading7Char">
    <w:name w:val="Heading 7 Char"/>
    <w:basedOn w:val="DefaultParagraphFont"/>
    <w:link w:val="Heading7"/>
    <w:uiPriority w:val="9"/>
    <w:semiHidden/>
    <w:rsid w:val="009F5BC9"/>
    <w:rPr>
      <w:rFonts w:eastAsiaTheme="majorEastAsia" w:cstheme="majorBidi"/>
      <w:color w:val="595959" w:themeColor="text1" w:themeTint="A6"/>
      <w:sz w:val="22"/>
    </w:rPr>
  </w:style>
  <w:style w:type="character" w:customStyle="1" w:styleId="Heading8Char">
    <w:name w:val="Heading 8 Char"/>
    <w:basedOn w:val="DefaultParagraphFont"/>
    <w:link w:val="Heading8"/>
    <w:uiPriority w:val="9"/>
    <w:semiHidden/>
    <w:rsid w:val="009F5BC9"/>
    <w:rPr>
      <w:rFonts w:eastAsiaTheme="majorEastAsia" w:cstheme="majorBidi"/>
      <w:i/>
      <w:iCs/>
      <w:color w:val="272727" w:themeColor="text1" w:themeTint="D8"/>
      <w:sz w:val="22"/>
    </w:rPr>
  </w:style>
  <w:style w:type="character" w:customStyle="1" w:styleId="Heading9Char">
    <w:name w:val="Heading 9 Char"/>
    <w:basedOn w:val="DefaultParagraphFont"/>
    <w:link w:val="Heading9"/>
    <w:uiPriority w:val="9"/>
    <w:semiHidden/>
    <w:rsid w:val="009F5BC9"/>
    <w:rPr>
      <w:rFonts w:eastAsiaTheme="majorEastAsia" w:cstheme="majorBidi"/>
      <w:color w:val="272727" w:themeColor="text1" w:themeTint="D8"/>
      <w:sz w:val="22"/>
    </w:rPr>
  </w:style>
  <w:style w:type="paragraph" w:styleId="Quote">
    <w:name w:val="Quote"/>
    <w:basedOn w:val="Normal"/>
    <w:next w:val="Normal"/>
    <w:link w:val="QuoteChar"/>
    <w:uiPriority w:val="29"/>
    <w:rsid w:val="009F5BC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F5BC9"/>
    <w:rPr>
      <w:rFonts w:ascii="Arial" w:hAnsi="Arial"/>
      <w:i/>
      <w:iCs/>
      <w:color w:val="404040" w:themeColor="text1" w:themeTint="BF"/>
      <w:sz w:val="22"/>
    </w:rPr>
  </w:style>
  <w:style w:type="paragraph" w:styleId="ListParagraph">
    <w:name w:val="List Paragraph"/>
    <w:basedOn w:val="Normal"/>
    <w:uiPriority w:val="34"/>
    <w:qFormat/>
    <w:rsid w:val="009F5BC9"/>
    <w:pPr>
      <w:ind w:left="720"/>
      <w:contextualSpacing/>
    </w:pPr>
  </w:style>
  <w:style w:type="character" w:styleId="IntenseEmphasis">
    <w:name w:val="Intense Emphasis"/>
    <w:basedOn w:val="DefaultParagraphFont"/>
    <w:uiPriority w:val="21"/>
    <w:rsid w:val="009F5BC9"/>
    <w:rPr>
      <w:i/>
      <w:iCs/>
      <w:color w:val="0F4761" w:themeColor="accent1" w:themeShade="BF"/>
    </w:rPr>
  </w:style>
  <w:style w:type="paragraph" w:styleId="IntenseQuote">
    <w:name w:val="Intense Quote"/>
    <w:basedOn w:val="Normal"/>
    <w:next w:val="Normal"/>
    <w:link w:val="IntenseQuoteChar"/>
    <w:uiPriority w:val="30"/>
    <w:rsid w:val="009F5B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5BC9"/>
    <w:rPr>
      <w:rFonts w:ascii="Arial" w:hAnsi="Arial"/>
      <w:i/>
      <w:iCs/>
      <w:color w:val="0F4761" w:themeColor="accent1" w:themeShade="BF"/>
      <w:sz w:val="22"/>
    </w:rPr>
  </w:style>
  <w:style w:type="character" w:styleId="IntenseReference">
    <w:name w:val="Intense Reference"/>
    <w:basedOn w:val="DefaultParagraphFont"/>
    <w:uiPriority w:val="32"/>
    <w:rsid w:val="009F5BC9"/>
    <w:rPr>
      <w:b/>
      <w:bCs/>
      <w:smallCaps/>
      <w:color w:val="0F4761" w:themeColor="accent1" w:themeShade="BF"/>
      <w:spacing w:val="5"/>
    </w:rPr>
  </w:style>
  <w:style w:type="table" w:styleId="TableGrid">
    <w:name w:val="Table Grid"/>
    <w:basedOn w:val="TableNormal"/>
    <w:uiPriority w:val="39"/>
    <w:rsid w:val="009F5B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Normal"/>
    <w:link w:val="TableHeaderChar"/>
    <w:qFormat/>
    <w:rsid w:val="009F5BC9"/>
    <w:pPr>
      <w:spacing w:after="0" w:line="240" w:lineRule="auto"/>
      <w:jc w:val="center"/>
      <w:outlineLvl w:val="0"/>
    </w:pPr>
    <w:rPr>
      <w:rFonts w:eastAsia="Times New Roman" w:cs="Arial"/>
      <w:b/>
      <w:kern w:val="0"/>
      <w14:ligatures w14:val="none"/>
    </w:rPr>
  </w:style>
  <w:style w:type="character" w:customStyle="1" w:styleId="TableHeaderChar">
    <w:name w:val="Table Header Char"/>
    <w:basedOn w:val="DefaultParagraphFont"/>
    <w:link w:val="TableHeader"/>
    <w:rsid w:val="009F5BC9"/>
    <w:rPr>
      <w:rFonts w:ascii="Arial" w:eastAsia="Times New Roman" w:hAnsi="Arial" w:cs="Arial"/>
      <w:b/>
      <w:kern w:val="0"/>
      <w:sz w:val="22"/>
      <w14:ligatures w14:val="none"/>
    </w:rPr>
  </w:style>
  <w:style w:type="character" w:styleId="Hyperlink">
    <w:name w:val="Hyperlink"/>
    <w:basedOn w:val="DefaultParagraphFont"/>
    <w:uiPriority w:val="99"/>
    <w:unhideWhenUsed/>
    <w:rsid w:val="00C10858"/>
    <w:rPr>
      <w:color w:val="467886" w:themeColor="hyperlink"/>
      <w:u w:val="single"/>
    </w:rPr>
  </w:style>
  <w:style w:type="character" w:styleId="UnresolvedMention">
    <w:name w:val="Unresolved Mention"/>
    <w:basedOn w:val="DefaultParagraphFont"/>
    <w:uiPriority w:val="99"/>
    <w:semiHidden/>
    <w:unhideWhenUsed/>
    <w:rsid w:val="00C10858"/>
    <w:rPr>
      <w:color w:val="605E5C"/>
      <w:shd w:val="clear" w:color="auto" w:fill="E1DFDD"/>
    </w:rPr>
  </w:style>
  <w:style w:type="paragraph" w:styleId="Header">
    <w:name w:val="header"/>
    <w:basedOn w:val="Normal"/>
    <w:link w:val="HeaderChar"/>
    <w:uiPriority w:val="99"/>
    <w:unhideWhenUsed/>
    <w:rsid w:val="00C108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0858"/>
    <w:rPr>
      <w:rFonts w:ascii="Arial" w:hAnsi="Arial"/>
      <w:sz w:val="22"/>
    </w:rPr>
  </w:style>
  <w:style w:type="paragraph" w:styleId="Footer">
    <w:name w:val="footer"/>
    <w:basedOn w:val="Normal"/>
    <w:link w:val="FooterChar"/>
    <w:uiPriority w:val="99"/>
    <w:unhideWhenUsed/>
    <w:rsid w:val="00C108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0858"/>
    <w:rPr>
      <w:rFonts w:ascii="Arial" w:hAnsi="Arial"/>
      <w:sz w:val="22"/>
    </w:rPr>
  </w:style>
  <w:style w:type="paragraph" w:customStyle="1" w:styleId="instructions">
    <w:name w:val="instructions"/>
    <w:basedOn w:val="Normal"/>
    <w:next w:val="Normal"/>
    <w:link w:val="instructionsChar"/>
    <w:qFormat/>
    <w:rsid w:val="002A6C74"/>
    <w:pPr>
      <w:spacing w:before="120" w:line="240" w:lineRule="auto"/>
      <w:outlineLvl w:val="0"/>
    </w:pPr>
    <w:rPr>
      <w:rFonts w:cs="Times New Roman"/>
      <w:b/>
      <w:color w:val="BF4E14" w:themeColor="accent2" w:themeShade="BF"/>
      <w:kern w:val="0"/>
      <w14:ligatures w14:val="none"/>
    </w:rPr>
  </w:style>
  <w:style w:type="character" w:customStyle="1" w:styleId="instructionsChar">
    <w:name w:val="instructions Char"/>
    <w:basedOn w:val="DefaultParagraphFont"/>
    <w:link w:val="instructions"/>
    <w:rsid w:val="002A6C74"/>
    <w:rPr>
      <w:rFonts w:ascii="Arial" w:hAnsi="Arial" w:cs="Times New Roman"/>
      <w:b/>
      <w:color w:val="BF4E14" w:themeColor="accent2" w:themeShade="BF"/>
      <w:kern w:val="0"/>
      <w:sz w:val="22"/>
      <w14:ligatures w14:val="none"/>
    </w:rPr>
  </w:style>
  <w:style w:type="paragraph" w:styleId="TOCHeading">
    <w:name w:val="TOC Heading"/>
    <w:basedOn w:val="Heading1"/>
    <w:next w:val="Normal"/>
    <w:uiPriority w:val="39"/>
    <w:unhideWhenUsed/>
    <w:qFormat/>
    <w:rsid w:val="00ED47E6"/>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ED47E6"/>
    <w:pPr>
      <w:spacing w:after="100"/>
    </w:pPr>
  </w:style>
  <w:style w:type="paragraph" w:styleId="TOC2">
    <w:name w:val="toc 2"/>
    <w:basedOn w:val="Normal"/>
    <w:next w:val="Normal"/>
    <w:autoRedefine/>
    <w:uiPriority w:val="39"/>
    <w:unhideWhenUsed/>
    <w:rsid w:val="00ED47E6"/>
    <w:pPr>
      <w:spacing w:after="100"/>
      <w:ind w:left="220"/>
    </w:pPr>
  </w:style>
  <w:style w:type="paragraph" w:styleId="TOC3">
    <w:name w:val="toc 3"/>
    <w:basedOn w:val="Normal"/>
    <w:next w:val="Normal"/>
    <w:autoRedefine/>
    <w:uiPriority w:val="39"/>
    <w:unhideWhenUsed/>
    <w:rsid w:val="00252011"/>
    <w:pPr>
      <w:spacing w:after="100"/>
      <w:ind w:left="440"/>
    </w:pPr>
  </w:style>
  <w:style w:type="paragraph" w:styleId="Revision">
    <w:name w:val="Revision"/>
    <w:hidden/>
    <w:uiPriority w:val="99"/>
    <w:semiHidden/>
    <w:rsid w:val="00252011"/>
    <w:pPr>
      <w:spacing w:after="0" w:line="240" w:lineRule="auto"/>
    </w:pPr>
    <w:rPr>
      <w:rFonts w:ascii="Arial" w:hAnsi="Arial"/>
      <w:sz w:val="22"/>
    </w:rPr>
  </w:style>
  <w:style w:type="character" w:styleId="CommentReference">
    <w:name w:val="annotation reference"/>
    <w:basedOn w:val="DefaultParagraphFont"/>
    <w:uiPriority w:val="99"/>
    <w:semiHidden/>
    <w:unhideWhenUsed/>
    <w:rsid w:val="00C65197"/>
    <w:rPr>
      <w:sz w:val="16"/>
      <w:szCs w:val="16"/>
    </w:rPr>
  </w:style>
  <w:style w:type="paragraph" w:styleId="CommentText">
    <w:name w:val="annotation text"/>
    <w:basedOn w:val="Normal"/>
    <w:link w:val="CommentTextChar"/>
    <w:uiPriority w:val="99"/>
    <w:unhideWhenUsed/>
    <w:rsid w:val="00C65197"/>
    <w:pPr>
      <w:spacing w:line="240" w:lineRule="auto"/>
    </w:pPr>
    <w:rPr>
      <w:sz w:val="20"/>
      <w:szCs w:val="20"/>
    </w:rPr>
  </w:style>
  <w:style w:type="character" w:customStyle="1" w:styleId="CommentTextChar">
    <w:name w:val="Comment Text Char"/>
    <w:basedOn w:val="DefaultParagraphFont"/>
    <w:link w:val="CommentText"/>
    <w:uiPriority w:val="99"/>
    <w:rsid w:val="00C65197"/>
    <w:rPr>
      <w:rFonts w:ascii="Arial" w:hAnsi="Arial"/>
      <w:sz w:val="20"/>
      <w:szCs w:val="20"/>
    </w:rPr>
  </w:style>
  <w:style w:type="table" w:customStyle="1" w:styleId="TableGrid1">
    <w:name w:val="Table Grid1"/>
    <w:basedOn w:val="TableNormal"/>
    <w:next w:val="TableGrid"/>
    <w:uiPriority w:val="39"/>
    <w:rsid w:val="00C65197"/>
    <w:pPr>
      <w:spacing w:after="0" w:line="240" w:lineRule="auto"/>
      <w:ind w:left="2880"/>
    </w:pPr>
    <w:rPr>
      <w:rFonts w:ascii="Times New Roman" w:hAnsi="Times New Roman" w:cs="Times New Roman"/>
      <w:color w:val="000000"/>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332E9D"/>
    <w:pPr>
      <w:spacing w:after="0" w:line="240" w:lineRule="auto"/>
    </w:pPr>
    <w:rPr>
      <w:rFonts w:ascii="Calibri" w:hAnsi="Calibri"/>
      <w:kern w:val="0"/>
      <w:szCs w:val="21"/>
      <w14:ligatures w14:val="none"/>
    </w:rPr>
  </w:style>
  <w:style w:type="character" w:customStyle="1" w:styleId="PlainTextChar">
    <w:name w:val="Plain Text Char"/>
    <w:basedOn w:val="DefaultParagraphFont"/>
    <w:link w:val="PlainText"/>
    <w:uiPriority w:val="99"/>
    <w:rsid w:val="00332E9D"/>
    <w:rPr>
      <w:rFonts w:ascii="Calibri" w:hAnsi="Calibri"/>
      <w:kern w:val="0"/>
      <w:sz w:val="22"/>
      <w:szCs w:val="21"/>
      <w14:ligatures w14:val="none"/>
    </w:rPr>
  </w:style>
  <w:style w:type="paragraph" w:styleId="CommentSubject">
    <w:name w:val="annotation subject"/>
    <w:basedOn w:val="CommentText"/>
    <w:next w:val="CommentText"/>
    <w:link w:val="CommentSubjectChar"/>
    <w:uiPriority w:val="99"/>
    <w:semiHidden/>
    <w:unhideWhenUsed/>
    <w:rsid w:val="00BB301B"/>
    <w:rPr>
      <w:b/>
      <w:bCs/>
    </w:rPr>
  </w:style>
  <w:style w:type="character" w:customStyle="1" w:styleId="CommentSubjectChar">
    <w:name w:val="Comment Subject Char"/>
    <w:basedOn w:val="CommentTextChar"/>
    <w:link w:val="CommentSubject"/>
    <w:uiPriority w:val="99"/>
    <w:semiHidden/>
    <w:rsid w:val="00BB301B"/>
    <w:rPr>
      <w:rFonts w:ascii="Arial" w:hAnsi="Arial"/>
      <w:b/>
      <w:bCs/>
      <w:sz w:val="20"/>
      <w:szCs w:val="20"/>
    </w:rPr>
  </w:style>
  <w:style w:type="character" w:styleId="Mention">
    <w:name w:val="Mention"/>
    <w:basedOn w:val="DefaultParagraphFont"/>
    <w:uiPriority w:val="99"/>
    <w:unhideWhenUsed/>
    <w:rsid w:val="00BB301B"/>
    <w:rPr>
      <w:color w:val="2B579A"/>
      <w:shd w:val="clear" w:color="auto" w:fill="E1DFDD"/>
    </w:rPr>
  </w:style>
  <w:style w:type="paragraph" w:customStyle="1" w:styleId="Default">
    <w:name w:val="Default"/>
    <w:basedOn w:val="Normal"/>
    <w:rsid w:val="00251FD3"/>
    <w:pPr>
      <w:autoSpaceDE w:val="0"/>
      <w:autoSpaceDN w:val="0"/>
      <w:spacing w:after="0" w:line="240" w:lineRule="auto"/>
      <w:outlineLvl w:val="0"/>
    </w:pPr>
    <w:rPr>
      <w:rFonts w:ascii="Calibri" w:hAnsi="Calibri" w:cs="Calibri"/>
      <w:b/>
      <w:color w:val="000000"/>
      <w:kern w:val="0"/>
      <w14:ligatures w14:val="none"/>
    </w:rPr>
  </w:style>
  <w:style w:type="character" w:customStyle="1" w:styleId="normaltextrun">
    <w:name w:val="normaltextrun"/>
    <w:basedOn w:val="DefaultParagraphFont"/>
    <w:rsid w:val="00AB7AEA"/>
  </w:style>
  <w:style w:type="character" w:customStyle="1" w:styleId="eop">
    <w:name w:val="eop"/>
    <w:basedOn w:val="DefaultParagraphFont"/>
    <w:rsid w:val="00AB7AEA"/>
  </w:style>
  <w:style w:type="paragraph" w:customStyle="1" w:styleId="paragraph">
    <w:name w:val="paragraph"/>
    <w:basedOn w:val="Normal"/>
    <w:rsid w:val="00AB7AEA"/>
    <w:pPr>
      <w:spacing w:before="100" w:beforeAutospacing="1" w:after="100" w:afterAutospacing="1" w:line="240" w:lineRule="auto"/>
    </w:pPr>
    <w:rPr>
      <w:rFonts w:ascii="Times New Roman" w:eastAsia="Times New Roman" w:hAnsi="Times New Roman" w:cs="Times New Roman"/>
      <w:kern w:val="0"/>
      <w:sz w:val="24"/>
      <w14:ligatures w14:val="none"/>
    </w:rPr>
  </w:style>
  <w:style w:type="numbering" w:customStyle="1" w:styleId="StyleBulletedLatinCourierNewLeft075Hanging025">
    <w:name w:val="Style Bulleted (Latin) Courier New Left:  0.75&quot; Hanging:  0.25&quot;"/>
    <w:basedOn w:val="NoList"/>
    <w:rsid w:val="00AC1474"/>
    <w:pPr>
      <w:numPr>
        <w:numId w:val="27"/>
      </w:numPr>
    </w:pPr>
  </w:style>
  <w:style w:type="paragraph" w:styleId="TOC4">
    <w:name w:val="toc 4"/>
    <w:basedOn w:val="Normal"/>
    <w:next w:val="Normal"/>
    <w:autoRedefine/>
    <w:uiPriority w:val="39"/>
    <w:unhideWhenUsed/>
    <w:rsid w:val="00AF7536"/>
    <w:pPr>
      <w:spacing w:after="100"/>
      <w:ind w:left="720"/>
    </w:pPr>
    <w:rPr>
      <w:rFonts w:asciiTheme="minorHAnsi" w:eastAsiaTheme="minorEastAsia" w:hAnsiTheme="minorHAnsi"/>
      <w:sz w:val="24"/>
    </w:rPr>
  </w:style>
  <w:style w:type="paragraph" w:styleId="TOC5">
    <w:name w:val="toc 5"/>
    <w:basedOn w:val="Normal"/>
    <w:next w:val="Normal"/>
    <w:autoRedefine/>
    <w:uiPriority w:val="39"/>
    <w:unhideWhenUsed/>
    <w:rsid w:val="00AF7536"/>
    <w:pPr>
      <w:spacing w:after="100"/>
      <w:ind w:left="960"/>
    </w:pPr>
    <w:rPr>
      <w:rFonts w:asciiTheme="minorHAnsi" w:eastAsiaTheme="minorEastAsia" w:hAnsiTheme="minorHAnsi"/>
      <w:sz w:val="24"/>
    </w:rPr>
  </w:style>
  <w:style w:type="paragraph" w:styleId="TOC6">
    <w:name w:val="toc 6"/>
    <w:basedOn w:val="Normal"/>
    <w:next w:val="Normal"/>
    <w:autoRedefine/>
    <w:uiPriority w:val="39"/>
    <w:unhideWhenUsed/>
    <w:rsid w:val="00AF7536"/>
    <w:pPr>
      <w:spacing w:after="100"/>
      <w:ind w:left="1200"/>
    </w:pPr>
    <w:rPr>
      <w:rFonts w:asciiTheme="minorHAnsi" w:eastAsiaTheme="minorEastAsia" w:hAnsiTheme="minorHAnsi"/>
      <w:sz w:val="24"/>
    </w:rPr>
  </w:style>
  <w:style w:type="paragraph" w:styleId="TOC7">
    <w:name w:val="toc 7"/>
    <w:basedOn w:val="Normal"/>
    <w:next w:val="Normal"/>
    <w:autoRedefine/>
    <w:uiPriority w:val="39"/>
    <w:unhideWhenUsed/>
    <w:rsid w:val="00AF7536"/>
    <w:pPr>
      <w:spacing w:after="100"/>
      <w:ind w:left="1440"/>
    </w:pPr>
    <w:rPr>
      <w:rFonts w:asciiTheme="minorHAnsi" w:eastAsiaTheme="minorEastAsia" w:hAnsiTheme="minorHAnsi"/>
      <w:sz w:val="24"/>
    </w:rPr>
  </w:style>
  <w:style w:type="paragraph" w:styleId="TOC8">
    <w:name w:val="toc 8"/>
    <w:basedOn w:val="Normal"/>
    <w:next w:val="Normal"/>
    <w:autoRedefine/>
    <w:uiPriority w:val="39"/>
    <w:unhideWhenUsed/>
    <w:rsid w:val="00AF7536"/>
    <w:pPr>
      <w:spacing w:after="100"/>
      <w:ind w:left="1680"/>
    </w:pPr>
    <w:rPr>
      <w:rFonts w:asciiTheme="minorHAnsi" w:eastAsiaTheme="minorEastAsia" w:hAnsiTheme="minorHAnsi"/>
      <w:sz w:val="24"/>
    </w:rPr>
  </w:style>
  <w:style w:type="paragraph" w:styleId="TOC9">
    <w:name w:val="toc 9"/>
    <w:basedOn w:val="Normal"/>
    <w:next w:val="Normal"/>
    <w:autoRedefine/>
    <w:uiPriority w:val="39"/>
    <w:unhideWhenUsed/>
    <w:rsid w:val="00AF7536"/>
    <w:pPr>
      <w:spacing w:after="100"/>
      <w:ind w:left="1920"/>
    </w:pPr>
    <w:rPr>
      <w:rFonts w:asciiTheme="minorHAnsi" w:eastAsiaTheme="minorEastAsia"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23601">
      <w:bodyDiv w:val="1"/>
      <w:marLeft w:val="0"/>
      <w:marRight w:val="0"/>
      <w:marTop w:val="0"/>
      <w:marBottom w:val="0"/>
      <w:divBdr>
        <w:top w:val="none" w:sz="0" w:space="0" w:color="auto"/>
        <w:left w:val="none" w:sz="0" w:space="0" w:color="auto"/>
        <w:bottom w:val="none" w:sz="0" w:space="0" w:color="auto"/>
        <w:right w:val="none" w:sz="0" w:space="0" w:color="auto"/>
      </w:divBdr>
    </w:div>
    <w:div w:id="435295923">
      <w:bodyDiv w:val="1"/>
      <w:marLeft w:val="0"/>
      <w:marRight w:val="0"/>
      <w:marTop w:val="0"/>
      <w:marBottom w:val="0"/>
      <w:divBdr>
        <w:top w:val="none" w:sz="0" w:space="0" w:color="auto"/>
        <w:left w:val="none" w:sz="0" w:space="0" w:color="auto"/>
        <w:bottom w:val="none" w:sz="0" w:space="0" w:color="auto"/>
        <w:right w:val="none" w:sz="0" w:space="0" w:color="auto"/>
      </w:divBdr>
    </w:div>
    <w:div w:id="443381554">
      <w:bodyDiv w:val="1"/>
      <w:marLeft w:val="0"/>
      <w:marRight w:val="0"/>
      <w:marTop w:val="0"/>
      <w:marBottom w:val="0"/>
      <w:divBdr>
        <w:top w:val="none" w:sz="0" w:space="0" w:color="auto"/>
        <w:left w:val="none" w:sz="0" w:space="0" w:color="auto"/>
        <w:bottom w:val="none" w:sz="0" w:space="0" w:color="auto"/>
        <w:right w:val="none" w:sz="0" w:space="0" w:color="auto"/>
      </w:divBdr>
      <w:divsChild>
        <w:div w:id="259143041">
          <w:marLeft w:val="0"/>
          <w:marRight w:val="0"/>
          <w:marTop w:val="0"/>
          <w:marBottom w:val="0"/>
          <w:divBdr>
            <w:top w:val="none" w:sz="0" w:space="0" w:color="auto"/>
            <w:left w:val="none" w:sz="0" w:space="0" w:color="auto"/>
            <w:bottom w:val="none" w:sz="0" w:space="0" w:color="auto"/>
            <w:right w:val="none" w:sz="0" w:space="0" w:color="auto"/>
          </w:divBdr>
        </w:div>
        <w:div w:id="531529557">
          <w:marLeft w:val="0"/>
          <w:marRight w:val="0"/>
          <w:marTop w:val="0"/>
          <w:marBottom w:val="0"/>
          <w:divBdr>
            <w:top w:val="none" w:sz="0" w:space="0" w:color="auto"/>
            <w:left w:val="none" w:sz="0" w:space="0" w:color="auto"/>
            <w:bottom w:val="none" w:sz="0" w:space="0" w:color="auto"/>
            <w:right w:val="none" w:sz="0" w:space="0" w:color="auto"/>
          </w:divBdr>
        </w:div>
      </w:divsChild>
    </w:div>
    <w:div w:id="755051535">
      <w:bodyDiv w:val="1"/>
      <w:marLeft w:val="0"/>
      <w:marRight w:val="0"/>
      <w:marTop w:val="0"/>
      <w:marBottom w:val="0"/>
      <w:divBdr>
        <w:top w:val="none" w:sz="0" w:space="0" w:color="auto"/>
        <w:left w:val="none" w:sz="0" w:space="0" w:color="auto"/>
        <w:bottom w:val="none" w:sz="0" w:space="0" w:color="auto"/>
        <w:right w:val="none" w:sz="0" w:space="0" w:color="auto"/>
      </w:divBdr>
      <w:divsChild>
        <w:div w:id="1707594">
          <w:marLeft w:val="0"/>
          <w:marRight w:val="0"/>
          <w:marTop w:val="0"/>
          <w:marBottom w:val="0"/>
          <w:divBdr>
            <w:top w:val="none" w:sz="0" w:space="0" w:color="auto"/>
            <w:left w:val="none" w:sz="0" w:space="0" w:color="auto"/>
            <w:bottom w:val="none" w:sz="0" w:space="0" w:color="auto"/>
            <w:right w:val="none" w:sz="0" w:space="0" w:color="auto"/>
          </w:divBdr>
        </w:div>
        <w:div w:id="10351544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vrebate.oregon.gov/rebate-statistics" TargetMode="External"/><Relationship Id="rId18" Type="http://schemas.openxmlformats.org/officeDocument/2006/relationships/hyperlink" Target="https://iea.blob.core.windows.net/assets/7ea38b60-3033-42a6-9589-71134f4229f4/GlobalEVOutlook2025.pdf" TargetMode="External"/><Relationship Id="rId26" Type="http://schemas.openxmlformats.org/officeDocument/2006/relationships/hyperlink" Target="https://evinfo.net/2025/10/2026-will-be-the-year-of-the-used-ev-says-recurrent-ceo/" TargetMode="External"/><Relationship Id="rId39" Type="http://schemas.openxmlformats.org/officeDocument/2006/relationships/hyperlink" Target="https://secure.sos.state.or.us/oard/viewSingleRule.action;JSESSIONID_OARD=hP-DWzzy_h0TafUC0Jn8dJ3iTEbZ9QRGkWGMkS820fJwid0djabw!-1909286609?ruleVrsnRsn=325066" TargetMode="External"/><Relationship Id="rId21" Type="http://schemas.openxmlformats.org/officeDocument/2006/relationships/hyperlink" Target="https://www.recurrentauto.com/research/used-electric-vehicle-buying-report" TargetMode="External"/><Relationship Id="rId34" Type="http://schemas.openxmlformats.org/officeDocument/2006/relationships/hyperlink" Target="https://secure.sos.state.or.us/oard/viewSingleRule.action;JSESSIONID_OARD=hP-DWzzy_h0TafUC0Jn8dJ3iTEbZ9QRGkWGMkS820fJwid0djabw!-1909286609?ruleVrsnRsn=289524" TargetMode="External"/><Relationship Id="rId42" Type="http://schemas.openxmlformats.org/officeDocument/2006/relationships/hyperlink" Target="https://secure.sos.state.or.us/oard/viewSingleRule.action;JSESSIONID_OARD=hP-DWzzy_h0TafUC0Jn8dJ3iTEbZ9QRGkWGMkS820fJwid0djabw!-1909286609?ruleVrsnRsn=317730" TargetMode="External"/><Relationship Id="rId47" Type="http://schemas.openxmlformats.org/officeDocument/2006/relationships/hyperlink" Target="https://www.oregon.gov/deq/rulemaking/Pages/EVRebates2026.aspx" TargetMode="External"/><Relationship Id="rId50" Type="http://schemas.openxmlformats.org/officeDocument/2006/relationships/hyperlink" Target="https://www.oregonlaws.org/ors/183.335" TargetMode="External"/><Relationship Id="rId55"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atlaspolicy.com/wp-content/uploads/2025/10/Affordable-Vehicles-in-Decline.pdf" TargetMode="External"/><Relationship Id="rId29" Type="http://schemas.openxmlformats.org/officeDocument/2006/relationships/hyperlink" Target="https://www.edmunds.com/car-news/edmunds-q3-2025-insights-used-car-report.html" TargetMode="External"/><Relationship Id="rId11" Type="http://schemas.openxmlformats.org/officeDocument/2006/relationships/image" Target="media/image1.png"/><Relationship Id="rId24" Type="http://schemas.openxmlformats.org/officeDocument/2006/relationships/hyperlink" Target="https://afdc.energy.gov/vehicles/electric-emissions-sources" TargetMode="External"/><Relationship Id="rId32" Type="http://schemas.openxmlformats.org/officeDocument/2006/relationships/hyperlink" Target="https://secure.sos.state.or.us/oard/viewSingleRule.action;JSESSIONID_OARD=hP-DWzzy_h0TafUC0Jn8dJ3iTEbZ9QRGkWGMkS820fJwid0djabw!-1909286609?ruleVrsnRsn=289523" TargetMode="External"/><Relationship Id="rId37" Type="http://schemas.openxmlformats.org/officeDocument/2006/relationships/hyperlink" Target="https://secure.sos.state.or.us/oard/viewSingleRule.action;JSESSIONID_OARD=hP-DWzzy_h0TafUC0Jn8dJ3iTEbZ9QRGkWGMkS820fJwid0djabw!-1909286609?ruleVrsnRsn=317720" TargetMode="External"/><Relationship Id="rId40" Type="http://schemas.openxmlformats.org/officeDocument/2006/relationships/hyperlink" Target="https://secure.sos.state.or.us/oard/viewSingleRule.action;JSESSIONID_OARD=hP-DWzzy_h0TafUC0Jn8dJ3iTEbZ9QRGkWGMkS820fJwid0djabw!-1909286609?ruleVrsnRsn=317725" TargetMode="External"/><Relationship Id="rId45" Type="http://schemas.openxmlformats.org/officeDocument/2006/relationships/hyperlink" Target="https://www.oregon.gov/deq/rulemaking/Pages/EVRebates2026.aspx" TargetMode="External"/><Relationship Id="rId53" Type="http://schemas.openxmlformats.org/officeDocument/2006/relationships/hyperlink" Target="mailto:model@exchangenet.net" TargetMode="External"/><Relationship Id="rId5" Type="http://schemas.openxmlformats.org/officeDocument/2006/relationships/numbering" Target="numbering.xml"/><Relationship Id="rId19" Type="http://schemas.openxmlformats.org/officeDocument/2006/relationships/hyperlink" Target="https://iea.blob.core.windows.net/assets/7ea38b60-3033-42a6-9589-71134f4229f4/GlobalEVOutlook2025.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heicct.org/wp-content/uploads/2022/10/ev-cost-benefits-2035-oct22.pdf" TargetMode="External"/><Relationship Id="rId22" Type="http://schemas.openxmlformats.org/officeDocument/2006/relationships/hyperlink" Target="https://pluginamerica.org/survey/2025-ev-driver-survey/" TargetMode="External"/><Relationship Id="rId27" Type="http://schemas.openxmlformats.org/officeDocument/2006/relationships/hyperlink" Target="https://evinfo.net/2025/10/2026-will-be-the-year-of-the-used-ev-says-recurrent-ceo/" TargetMode="External"/><Relationship Id="rId30" Type="http://schemas.openxmlformats.org/officeDocument/2006/relationships/hyperlink" Target="https://secure.sos.state.or.us/oard/viewSingleRule.action;JSESSIONID_OARD=hP-DWzzy_h0TafUC0Jn8dJ3iTEbZ9QRGkWGMkS820fJwid0djabw!-1909286609?ruleVrsnRsn=325064" TargetMode="External"/><Relationship Id="rId35" Type="http://schemas.openxmlformats.org/officeDocument/2006/relationships/hyperlink" Target="https://secure.sos.state.or.us/oard/viewSingleRule.action;JSESSIONID_OARD=hP-DWzzy_h0TafUC0Jn8dJ3iTEbZ9QRGkWGMkS820fJwid0djabw!-1909286609?ruleVrsnRsn=289525" TargetMode="External"/><Relationship Id="rId43" Type="http://schemas.openxmlformats.org/officeDocument/2006/relationships/hyperlink" Target="https://secure.sos.state.or.us/oard/viewSingleRule.action;JSESSIONID_OARD=hP-DWzzy_h0TafUC0Jn8dJ3iTEbZ9QRGkWGMkS820fJwid0djabw!-1909286609?ruleVrsnRsn=317731" TargetMode="External"/><Relationship Id="rId48" Type="http://schemas.openxmlformats.org/officeDocument/2006/relationships/hyperlink" Target="https://www.oregonlegislature.gov/bills_laws/ors/ors183.html"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oregonlaws.org/ors/183.335" TargetMode="External"/><Relationship Id="rId3" Type="http://schemas.openxmlformats.org/officeDocument/2006/relationships/customXml" Target="../customXml/item3.xml"/><Relationship Id="rId12" Type="http://schemas.openxmlformats.org/officeDocument/2006/relationships/hyperlink" Target="https://evrebate.oregon.gov/rebate-statistics" TargetMode="External"/><Relationship Id="rId17" Type="http://schemas.openxmlformats.org/officeDocument/2006/relationships/hyperlink" Target="https://atlaspolicy.com/wp-content/uploads/2025/10/Affordable-Vehicles-in-Decline.pdf" TargetMode="External"/><Relationship Id="rId25" Type="http://schemas.openxmlformats.org/officeDocument/2006/relationships/hyperlink" Target="https://afdc.energy.gov/vehicles/electric-emissions-sources" TargetMode="External"/><Relationship Id="rId33" Type="http://schemas.openxmlformats.org/officeDocument/2006/relationships/hyperlink" Target="https://secure.sos.state.or.us/oard/viewSingleRule.action;JSESSIONID_OARD=hP-DWzzy_h0TafUC0Jn8dJ3iTEbZ9QRGkWGMkS820fJwid0djabw!-1909286609?ruleVrsnRsn=317718" TargetMode="External"/><Relationship Id="rId38" Type="http://schemas.openxmlformats.org/officeDocument/2006/relationships/hyperlink" Target="https://secure.sos.state.or.us/oard/viewSingleRule.action;JSESSIONID_OARD=hP-DWzzy_h0TafUC0Jn8dJ3iTEbZ9QRGkWGMkS820fJwid0djabw!-1909286609?ruleVrsnRsn=317721" TargetMode="External"/><Relationship Id="rId46" Type="http://schemas.openxmlformats.org/officeDocument/2006/relationships/hyperlink" Target="http://www.oregon.gov/deq/Get-Involved/Pages/Calendar.aspx" TargetMode="External"/><Relationship Id="rId20" Type="http://schemas.openxmlformats.org/officeDocument/2006/relationships/hyperlink" Target="https://www.recurrentauto.com/research/used-electric-vehicle-buying-report" TargetMode="External"/><Relationship Id="rId41" Type="http://schemas.openxmlformats.org/officeDocument/2006/relationships/hyperlink" Target="https://secure.sos.state.or.us/oard/viewSingleRule.action;JSESSIONID_OARD=hP-DWzzy_h0TafUC0Jn8dJ3iTEbZ9QRGkWGMkS820fJwid0djabw!-1909286609?ruleVrsnRsn=317729" TargetMode="External"/><Relationship Id="rId54" Type="http://schemas.openxmlformats.org/officeDocument/2006/relationships/hyperlink" Target="https://www.oregon.gov/deq/about-us/Pages/titleVIaccess.aspx"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theicct.org/wp-content/uploads/2022/10/ev-cost-benefits-2035-oct22.pdf" TargetMode="External"/><Relationship Id="rId23" Type="http://schemas.openxmlformats.org/officeDocument/2006/relationships/hyperlink" Target="https://pluginamerica.org/survey/2025-ev-driver-survey/" TargetMode="External"/><Relationship Id="rId28" Type="http://schemas.openxmlformats.org/officeDocument/2006/relationships/hyperlink" Target="https://www.edmunds.com/car-news/edmunds-q3-2025-insights-used-car-report.html" TargetMode="External"/><Relationship Id="rId36" Type="http://schemas.openxmlformats.org/officeDocument/2006/relationships/hyperlink" Target="https://secure.sos.state.or.us/oard/viewSingleRule.action;JSESSIONID_OARD=hP-DWzzy_h0TafUC0Jn8dJ3iTEbZ9QRGkWGMkS820fJwid0djabw!-1909286609?ruleVrsnRsn=317719" TargetMode="External"/><Relationship Id="rId49" Type="http://schemas.openxmlformats.org/officeDocument/2006/relationships/hyperlink" Target="http://www.oregon.gov/deq/Get-Involved/Pages/Calendar.aspx" TargetMode="Externa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secure.sos.state.or.us/oard/viewSingleRule.action;JSESSIONID_OARD=hP-DWzzy_h0TafUC0Jn8dJ3iTEbZ9QRGkWGMkS820fJwid0djabw!-1909286609?ruleVrsnRsn=325065" TargetMode="External"/><Relationship Id="rId44" Type="http://schemas.openxmlformats.org/officeDocument/2006/relationships/hyperlink" Target="https://qualityinfo.org/ewind?rt=1&amp;qcewOwnership=00&amp;qcewIndustrySuperSector=0000&amp;qcewIndustrySector=&amp;qcewIndustryLvl=0&amp;qcewIndustry=00000&amp;qcewPeriodyear=2024&amp;qcewPeriod=00&amp;qcewArea=4101000000&amp;toggleState=e0010~e5010~e9010~e501013~c501013~e501021~e5048~e50484~c50484~c501021~e501021~c501021~e501024~c501024~e501026~c501026~e501021~e5044~e50441" TargetMode="External"/><Relationship Id="rId52" Type="http://schemas.openxmlformats.org/officeDocument/2006/relationships/hyperlink" Target="https://evrebate.oregon.gov/become-participating-dealer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35b24d0-2396-42bd-8b9d-e5a1488d11f6">
      <Terms xmlns="http://schemas.microsoft.com/office/infopath/2007/PartnerControls"/>
    </lcf76f155ced4ddcb4097134ff3c332f>
    <TaxCatchAll xmlns="9b1a0991-69be-4b26-be31-954bf6f7673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EFA4CE0B0C76C40A1220ADA599EA283" ma:contentTypeVersion="12" ma:contentTypeDescription="Create a new document." ma:contentTypeScope="" ma:versionID="8776579091599116cef3da919dc3bebf">
  <xsd:schema xmlns:xsd="http://www.w3.org/2001/XMLSchema" xmlns:xs="http://www.w3.org/2001/XMLSchema" xmlns:p="http://schemas.microsoft.com/office/2006/metadata/properties" xmlns:ns2="035b24d0-2396-42bd-8b9d-e5a1488d11f6" xmlns:ns3="9b1a0991-69be-4b26-be31-954bf6f7673f" targetNamespace="http://schemas.microsoft.com/office/2006/metadata/properties" ma:root="true" ma:fieldsID="b34b86c8bf4af49f17782c2ca5fae02d" ns2:_="" ns3:_="">
    <xsd:import namespace="035b24d0-2396-42bd-8b9d-e5a1488d11f6"/>
    <xsd:import namespace="9b1a0991-69be-4b26-be31-954bf6f7673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5b24d0-2396-42bd-8b9d-e5a1488d11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bc13bb2-4050-4808-9050-3ebd68b2d7b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1a0991-69be-4b26-be31-954bf6f7673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d09d6c2-ffa5-4b18-b122-eebc6eb7dc7e}" ma:internalName="TaxCatchAll" ma:showField="CatchAllData" ma:web="9b1a0991-69be-4b26-be31-954bf6f767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DB91CD-DD3C-4592-BD14-8F383364728A}">
  <ds:schemaRefs>
    <ds:schemaRef ds:uri="http://purl.org/dc/elements/1.1/"/>
    <ds:schemaRef ds:uri="http://purl.org/dc/terms/"/>
    <ds:schemaRef ds:uri="9b1a0991-69be-4b26-be31-954bf6f7673f"/>
    <ds:schemaRef ds:uri="http://schemas.microsoft.com/office/2006/documentManagement/types"/>
    <ds:schemaRef ds:uri="http://purl.org/dc/dcmitype/"/>
    <ds:schemaRef ds:uri="035b24d0-2396-42bd-8b9d-e5a1488d11f6"/>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CEDF4981-AC15-4AC4-B554-BF5D22DFAE4E}">
  <ds:schemaRefs>
    <ds:schemaRef ds:uri="http://schemas.openxmlformats.org/officeDocument/2006/bibliography"/>
  </ds:schemaRefs>
</ds:datastoreItem>
</file>

<file path=customXml/itemProps3.xml><?xml version="1.0" encoding="utf-8"?>
<ds:datastoreItem xmlns:ds="http://schemas.openxmlformats.org/officeDocument/2006/customXml" ds:itemID="{A1D9E5DD-FA7F-4396-A392-098DA4A0DF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5b24d0-2396-42bd-8b9d-e5a1488d11f6"/>
    <ds:schemaRef ds:uri="9b1a0991-69be-4b26-be31-954bf6f767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DC4715-9589-4C8C-83C6-AFC1428DFB9A}">
  <ds:schemaRefs>
    <ds:schemaRef ds:uri="http://schemas.microsoft.com/sharepoint/v3/contenttype/forms"/>
  </ds:schemaRefs>
</ds:datastoreItem>
</file>

<file path=docMetadata/LabelInfo.xml><?xml version="1.0" encoding="utf-8"?>
<clbl:labelList xmlns:clbl="http://schemas.microsoft.com/office/2020/mipLabelMetadata">
  <clbl:label id="{09b73270-2993-4076-be47-9c78f42a1e84}" enabled="1" method="Privileged" siteId="{aa3f6932-fa7c-47b4-a0ce-a598cad161cf}" removed="0"/>
</clbl:labelList>
</file>

<file path=docProps/app.xml><?xml version="1.0" encoding="utf-8"?>
<Properties xmlns="http://schemas.openxmlformats.org/officeDocument/2006/extended-properties" xmlns:vt="http://schemas.openxmlformats.org/officeDocument/2006/docPropsVTypes">
  <Template>Normal</Template>
  <TotalTime>7</TotalTime>
  <Pages>42</Pages>
  <Words>12087</Words>
  <Characters>68896</Characters>
  <Application>Microsoft Office Word</Application>
  <DocSecurity>2</DocSecurity>
  <Lines>574</Lines>
  <Paragraphs>161</Paragraphs>
  <ScaleCrop>false</ScaleCrop>
  <HeadingPairs>
    <vt:vector size="2" baseType="variant">
      <vt:variant>
        <vt:lpstr>Title</vt:lpstr>
      </vt:variant>
      <vt:variant>
        <vt:i4>1</vt:i4>
      </vt:variant>
    </vt:vector>
  </HeadingPairs>
  <TitlesOfParts>
    <vt:vector size="1" baseType="lpstr">
      <vt:lpstr>Staff Report Action Item Template</vt:lpstr>
    </vt:vector>
  </TitlesOfParts>
  <Company/>
  <LinksUpToDate>false</LinksUpToDate>
  <CharactersWithSpaces>80822</CharactersWithSpaces>
  <SharedDoc>false</SharedDoc>
  <HLinks>
    <vt:vector size="612" baseType="variant">
      <vt:variant>
        <vt:i4>1769540</vt:i4>
      </vt:variant>
      <vt:variant>
        <vt:i4>375</vt:i4>
      </vt:variant>
      <vt:variant>
        <vt:i4>0</vt:i4>
      </vt:variant>
      <vt:variant>
        <vt:i4>5</vt:i4>
      </vt:variant>
      <vt:variant>
        <vt:lpwstr>https://www.oregon.gov/deq/about-us/Pages/titleVIaccess.aspx</vt:lpwstr>
      </vt:variant>
      <vt:variant>
        <vt:lpwstr/>
      </vt:variant>
      <vt:variant>
        <vt:i4>458805</vt:i4>
      </vt:variant>
      <vt:variant>
        <vt:i4>372</vt:i4>
      </vt:variant>
      <vt:variant>
        <vt:i4>0</vt:i4>
      </vt:variant>
      <vt:variant>
        <vt:i4>5</vt:i4>
      </vt:variant>
      <vt:variant>
        <vt:lpwstr>mailto:model@exchangenet.net</vt:lpwstr>
      </vt:variant>
      <vt:variant>
        <vt:lpwstr/>
      </vt:variant>
      <vt:variant>
        <vt:i4>7667814</vt:i4>
      </vt:variant>
      <vt:variant>
        <vt:i4>369</vt:i4>
      </vt:variant>
      <vt:variant>
        <vt:i4>0</vt:i4>
      </vt:variant>
      <vt:variant>
        <vt:i4>5</vt:i4>
      </vt:variant>
      <vt:variant>
        <vt:lpwstr>https://evrebate.oregon.gov/become-participating-dealership</vt:lpwstr>
      </vt:variant>
      <vt:variant>
        <vt:lpwstr/>
      </vt:variant>
      <vt:variant>
        <vt:i4>3211317</vt:i4>
      </vt:variant>
      <vt:variant>
        <vt:i4>366</vt:i4>
      </vt:variant>
      <vt:variant>
        <vt:i4>0</vt:i4>
      </vt:variant>
      <vt:variant>
        <vt:i4>5</vt:i4>
      </vt:variant>
      <vt:variant>
        <vt:lpwstr>https://www.oregonlaws.org/ors/183.335</vt:lpwstr>
      </vt:variant>
      <vt:variant>
        <vt:lpwstr/>
      </vt:variant>
      <vt:variant>
        <vt:i4>3211317</vt:i4>
      </vt:variant>
      <vt:variant>
        <vt:i4>363</vt:i4>
      </vt:variant>
      <vt:variant>
        <vt:i4>0</vt:i4>
      </vt:variant>
      <vt:variant>
        <vt:i4>5</vt:i4>
      </vt:variant>
      <vt:variant>
        <vt:lpwstr>https://www.oregonlaws.org/ors/183.335</vt:lpwstr>
      </vt:variant>
      <vt:variant>
        <vt:lpwstr/>
      </vt:variant>
      <vt:variant>
        <vt:i4>7340077</vt:i4>
      </vt:variant>
      <vt:variant>
        <vt:i4>360</vt:i4>
      </vt:variant>
      <vt:variant>
        <vt:i4>0</vt:i4>
      </vt:variant>
      <vt:variant>
        <vt:i4>5</vt:i4>
      </vt:variant>
      <vt:variant>
        <vt:lpwstr>http://www.oregon.gov/deq/Get-Involved/Pages/Calendar.aspx</vt:lpwstr>
      </vt:variant>
      <vt:variant>
        <vt:lpwstr/>
      </vt:variant>
      <vt:variant>
        <vt:i4>8192092</vt:i4>
      </vt:variant>
      <vt:variant>
        <vt:i4>357</vt:i4>
      </vt:variant>
      <vt:variant>
        <vt:i4>0</vt:i4>
      </vt:variant>
      <vt:variant>
        <vt:i4>5</vt:i4>
      </vt:variant>
      <vt:variant>
        <vt:lpwstr>https://www.oregonlegislature.gov/bills_laws/ors/ors183.html</vt:lpwstr>
      </vt:variant>
      <vt:variant>
        <vt:lpwstr/>
      </vt:variant>
      <vt:variant>
        <vt:i4>7798911</vt:i4>
      </vt:variant>
      <vt:variant>
        <vt:i4>354</vt:i4>
      </vt:variant>
      <vt:variant>
        <vt:i4>0</vt:i4>
      </vt:variant>
      <vt:variant>
        <vt:i4>5</vt:i4>
      </vt:variant>
      <vt:variant>
        <vt:lpwstr>https://www.oregon.gov/deq/rulemaking/Pages/EVRebates2026.aspx</vt:lpwstr>
      </vt:variant>
      <vt:variant>
        <vt:lpwstr/>
      </vt:variant>
      <vt:variant>
        <vt:i4>7340077</vt:i4>
      </vt:variant>
      <vt:variant>
        <vt:i4>351</vt:i4>
      </vt:variant>
      <vt:variant>
        <vt:i4>0</vt:i4>
      </vt:variant>
      <vt:variant>
        <vt:i4>5</vt:i4>
      </vt:variant>
      <vt:variant>
        <vt:lpwstr>http://www.oregon.gov/deq/Get-Involved/Pages/Calendar.aspx</vt:lpwstr>
      </vt:variant>
      <vt:variant>
        <vt:lpwstr/>
      </vt:variant>
      <vt:variant>
        <vt:i4>7798911</vt:i4>
      </vt:variant>
      <vt:variant>
        <vt:i4>348</vt:i4>
      </vt:variant>
      <vt:variant>
        <vt:i4>0</vt:i4>
      </vt:variant>
      <vt:variant>
        <vt:i4>5</vt:i4>
      </vt:variant>
      <vt:variant>
        <vt:lpwstr>https://www.oregon.gov/deq/rulemaking/Pages/EVRebates2026.aspx</vt:lpwstr>
      </vt:variant>
      <vt:variant>
        <vt:lpwstr/>
      </vt:variant>
      <vt:variant>
        <vt:i4>3670121</vt:i4>
      </vt:variant>
      <vt:variant>
        <vt:i4>345</vt:i4>
      </vt:variant>
      <vt:variant>
        <vt:i4>0</vt:i4>
      </vt:variant>
      <vt:variant>
        <vt:i4>5</vt:i4>
      </vt:variant>
      <vt:variant>
        <vt:lpwstr>https://qualityinfo.org/ewind?rt=1&amp;qcewOwnership=00&amp;qcewIndustrySuperSector=0000&amp;qcewIndustrySector=&amp;qcewIndustryLvl=0&amp;qcewIndustry=00000&amp;qcewPeriodyear=2024&amp;qcewPeriod=00&amp;qcewArea=4101000000&amp;toggleState=e0010~e5010~e9010~e501013~c501013~e501021~e5048~e50484~c50484~c501021~e501021~c501021~e501024~c501024~e501026~c501026~e501021~e5044~e50441</vt:lpwstr>
      </vt:variant>
      <vt:variant>
        <vt:lpwstr/>
      </vt:variant>
      <vt:variant>
        <vt:i4>5505028</vt:i4>
      </vt:variant>
      <vt:variant>
        <vt:i4>342</vt:i4>
      </vt:variant>
      <vt:variant>
        <vt:i4>0</vt:i4>
      </vt:variant>
      <vt:variant>
        <vt:i4>5</vt:i4>
      </vt:variant>
      <vt:variant>
        <vt:lpwstr>https://secure.sos.state.or.us/oard/viewSingleRule.action;JSESSIONID_OARD=hP-DWzzy_h0TafUC0Jn8dJ3iTEbZ9QRGkWGMkS820fJwid0djabw!-1909286609?ruleVrsnRsn=317731</vt:lpwstr>
      </vt:variant>
      <vt:variant>
        <vt:lpwstr/>
      </vt:variant>
      <vt:variant>
        <vt:i4>5505028</vt:i4>
      </vt:variant>
      <vt:variant>
        <vt:i4>339</vt:i4>
      </vt:variant>
      <vt:variant>
        <vt:i4>0</vt:i4>
      </vt:variant>
      <vt:variant>
        <vt:i4>5</vt:i4>
      </vt:variant>
      <vt:variant>
        <vt:lpwstr>https://secure.sos.state.or.us/oard/viewSingleRule.action;JSESSIONID_OARD=hP-DWzzy_h0TafUC0Jn8dJ3iTEbZ9QRGkWGMkS820fJwid0djabw!-1909286609?ruleVrsnRsn=317730</vt:lpwstr>
      </vt:variant>
      <vt:variant>
        <vt:lpwstr/>
      </vt:variant>
      <vt:variant>
        <vt:i4>5570564</vt:i4>
      </vt:variant>
      <vt:variant>
        <vt:i4>336</vt:i4>
      </vt:variant>
      <vt:variant>
        <vt:i4>0</vt:i4>
      </vt:variant>
      <vt:variant>
        <vt:i4>5</vt:i4>
      </vt:variant>
      <vt:variant>
        <vt:lpwstr>https://secure.sos.state.or.us/oard/viewSingleRule.action;JSESSIONID_OARD=hP-DWzzy_h0TafUC0Jn8dJ3iTEbZ9QRGkWGMkS820fJwid0djabw!-1909286609?ruleVrsnRsn=317729</vt:lpwstr>
      </vt:variant>
      <vt:variant>
        <vt:lpwstr/>
      </vt:variant>
      <vt:variant>
        <vt:i4>5570564</vt:i4>
      </vt:variant>
      <vt:variant>
        <vt:i4>333</vt:i4>
      </vt:variant>
      <vt:variant>
        <vt:i4>0</vt:i4>
      </vt:variant>
      <vt:variant>
        <vt:i4>5</vt:i4>
      </vt:variant>
      <vt:variant>
        <vt:lpwstr>https://secure.sos.state.or.us/oard/viewSingleRule.action;JSESSIONID_OARD=hP-DWzzy_h0TafUC0Jn8dJ3iTEbZ9QRGkWGMkS820fJwid0djabw!-1909286609?ruleVrsnRsn=317725</vt:lpwstr>
      </vt:variant>
      <vt:variant>
        <vt:lpwstr/>
      </vt:variant>
      <vt:variant>
        <vt:i4>5439488</vt:i4>
      </vt:variant>
      <vt:variant>
        <vt:i4>330</vt:i4>
      </vt:variant>
      <vt:variant>
        <vt:i4>0</vt:i4>
      </vt:variant>
      <vt:variant>
        <vt:i4>5</vt:i4>
      </vt:variant>
      <vt:variant>
        <vt:lpwstr>https://secure.sos.state.or.us/oard/viewSingleRule.action;JSESSIONID_OARD=hP-DWzzy_h0TafUC0Jn8dJ3iTEbZ9QRGkWGMkS820fJwid0djabw!-1909286609?ruleVrsnRsn=325066</vt:lpwstr>
      </vt:variant>
      <vt:variant>
        <vt:lpwstr/>
      </vt:variant>
      <vt:variant>
        <vt:i4>5570564</vt:i4>
      </vt:variant>
      <vt:variant>
        <vt:i4>327</vt:i4>
      </vt:variant>
      <vt:variant>
        <vt:i4>0</vt:i4>
      </vt:variant>
      <vt:variant>
        <vt:i4>5</vt:i4>
      </vt:variant>
      <vt:variant>
        <vt:lpwstr>https://secure.sos.state.or.us/oard/viewSingleRule.action;JSESSIONID_OARD=hP-DWzzy_h0TafUC0Jn8dJ3iTEbZ9QRGkWGMkS820fJwid0djabw!-1909286609?ruleVrsnRsn=317721</vt:lpwstr>
      </vt:variant>
      <vt:variant>
        <vt:lpwstr/>
      </vt:variant>
      <vt:variant>
        <vt:i4>5570564</vt:i4>
      </vt:variant>
      <vt:variant>
        <vt:i4>324</vt:i4>
      </vt:variant>
      <vt:variant>
        <vt:i4>0</vt:i4>
      </vt:variant>
      <vt:variant>
        <vt:i4>5</vt:i4>
      </vt:variant>
      <vt:variant>
        <vt:lpwstr>https://secure.sos.state.or.us/oard/viewSingleRule.action;JSESSIONID_OARD=hP-DWzzy_h0TafUC0Jn8dJ3iTEbZ9QRGkWGMkS820fJwid0djabw!-1909286609?ruleVrsnRsn=317720</vt:lpwstr>
      </vt:variant>
      <vt:variant>
        <vt:lpwstr/>
      </vt:variant>
      <vt:variant>
        <vt:i4>5636100</vt:i4>
      </vt:variant>
      <vt:variant>
        <vt:i4>321</vt:i4>
      </vt:variant>
      <vt:variant>
        <vt:i4>0</vt:i4>
      </vt:variant>
      <vt:variant>
        <vt:i4>5</vt:i4>
      </vt:variant>
      <vt:variant>
        <vt:lpwstr>https://secure.sos.state.or.us/oard/viewSingleRule.action;JSESSIONID_OARD=hP-DWzzy_h0TafUC0Jn8dJ3iTEbZ9QRGkWGMkS820fJwid0djabw!-1909286609?ruleVrsnRsn=317719</vt:lpwstr>
      </vt:variant>
      <vt:variant>
        <vt:lpwstr/>
      </vt:variant>
      <vt:variant>
        <vt:i4>5898255</vt:i4>
      </vt:variant>
      <vt:variant>
        <vt:i4>318</vt:i4>
      </vt:variant>
      <vt:variant>
        <vt:i4>0</vt:i4>
      </vt:variant>
      <vt:variant>
        <vt:i4>5</vt:i4>
      </vt:variant>
      <vt:variant>
        <vt:lpwstr>https://secure.sos.state.or.us/oard/viewSingleRule.action;JSESSIONID_OARD=hP-DWzzy_h0TafUC0Jn8dJ3iTEbZ9QRGkWGMkS820fJwid0djabw!-1909286609?ruleVrsnRsn=289525</vt:lpwstr>
      </vt:variant>
      <vt:variant>
        <vt:lpwstr/>
      </vt:variant>
      <vt:variant>
        <vt:i4>5898255</vt:i4>
      </vt:variant>
      <vt:variant>
        <vt:i4>315</vt:i4>
      </vt:variant>
      <vt:variant>
        <vt:i4>0</vt:i4>
      </vt:variant>
      <vt:variant>
        <vt:i4>5</vt:i4>
      </vt:variant>
      <vt:variant>
        <vt:lpwstr>https://secure.sos.state.or.us/oard/viewSingleRule.action;JSESSIONID_OARD=hP-DWzzy_h0TafUC0Jn8dJ3iTEbZ9QRGkWGMkS820fJwid0djabw!-1909286609?ruleVrsnRsn=289524</vt:lpwstr>
      </vt:variant>
      <vt:variant>
        <vt:lpwstr/>
      </vt:variant>
      <vt:variant>
        <vt:i4>5636100</vt:i4>
      </vt:variant>
      <vt:variant>
        <vt:i4>312</vt:i4>
      </vt:variant>
      <vt:variant>
        <vt:i4>0</vt:i4>
      </vt:variant>
      <vt:variant>
        <vt:i4>5</vt:i4>
      </vt:variant>
      <vt:variant>
        <vt:lpwstr>https://secure.sos.state.or.us/oard/viewSingleRule.action;JSESSIONID_OARD=hP-DWzzy_h0TafUC0Jn8dJ3iTEbZ9QRGkWGMkS820fJwid0djabw!-1909286609?ruleVrsnRsn=317718</vt:lpwstr>
      </vt:variant>
      <vt:variant>
        <vt:lpwstr/>
      </vt:variant>
      <vt:variant>
        <vt:i4>5898255</vt:i4>
      </vt:variant>
      <vt:variant>
        <vt:i4>309</vt:i4>
      </vt:variant>
      <vt:variant>
        <vt:i4>0</vt:i4>
      </vt:variant>
      <vt:variant>
        <vt:i4>5</vt:i4>
      </vt:variant>
      <vt:variant>
        <vt:lpwstr>https://secure.sos.state.or.us/oard/viewSingleRule.action;JSESSIONID_OARD=hP-DWzzy_h0TafUC0Jn8dJ3iTEbZ9QRGkWGMkS820fJwid0djabw!-1909286609?ruleVrsnRsn=289523</vt:lpwstr>
      </vt:variant>
      <vt:variant>
        <vt:lpwstr/>
      </vt:variant>
      <vt:variant>
        <vt:i4>5439488</vt:i4>
      </vt:variant>
      <vt:variant>
        <vt:i4>306</vt:i4>
      </vt:variant>
      <vt:variant>
        <vt:i4>0</vt:i4>
      </vt:variant>
      <vt:variant>
        <vt:i4>5</vt:i4>
      </vt:variant>
      <vt:variant>
        <vt:lpwstr>https://secure.sos.state.or.us/oard/viewSingleRule.action;JSESSIONID_OARD=hP-DWzzy_h0TafUC0Jn8dJ3iTEbZ9QRGkWGMkS820fJwid0djabw!-1909286609?ruleVrsnRsn=325065</vt:lpwstr>
      </vt:variant>
      <vt:variant>
        <vt:lpwstr/>
      </vt:variant>
      <vt:variant>
        <vt:i4>5439488</vt:i4>
      </vt:variant>
      <vt:variant>
        <vt:i4>303</vt:i4>
      </vt:variant>
      <vt:variant>
        <vt:i4>0</vt:i4>
      </vt:variant>
      <vt:variant>
        <vt:i4>5</vt:i4>
      </vt:variant>
      <vt:variant>
        <vt:lpwstr>https://secure.sos.state.or.us/oard/viewSingleRule.action;JSESSIONID_OARD=hP-DWzzy_h0TafUC0Jn8dJ3iTEbZ9QRGkWGMkS820fJwid0djabw!-1909286609?ruleVrsnRsn=325064</vt:lpwstr>
      </vt:variant>
      <vt:variant>
        <vt:lpwstr/>
      </vt:variant>
      <vt:variant>
        <vt:i4>2162732</vt:i4>
      </vt:variant>
      <vt:variant>
        <vt:i4>300</vt:i4>
      </vt:variant>
      <vt:variant>
        <vt:i4>0</vt:i4>
      </vt:variant>
      <vt:variant>
        <vt:i4>5</vt:i4>
      </vt:variant>
      <vt:variant>
        <vt:lpwstr>https://www.edmunds.com/car-news/edmunds-q3-2025-insights-used-car-report.html</vt:lpwstr>
      </vt:variant>
      <vt:variant>
        <vt:lpwstr/>
      </vt:variant>
      <vt:variant>
        <vt:i4>2162732</vt:i4>
      </vt:variant>
      <vt:variant>
        <vt:i4>297</vt:i4>
      </vt:variant>
      <vt:variant>
        <vt:i4>0</vt:i4>
      </vt:variant>
      <vt:variant>
        <vt:i4>5</vt:i4>
      </vt:variant>
      <vt:variant>
        <vt:lpwstr>https://www.edmunds.com/car-news/edmunds-q3-2025-insights-used-car-report.html</vt:lpwstr>
      </vt:variant>
      <vt:variant>
        <vt:lpwstr/>
      </vt:variant>
      <vt:variant>
        <vt:i4>6422651</vt:i4>
      </vt:variant>
      <vt:variant>
        <vt:i4>294</vt:i4>
      </vt:variant>
      <vt:variant>
        <vt:i4>0</vt:i4>
      </vt:variant>
      <vt:variant>
        <vt:i4>5</vt:i4>
      </vt:variant>
      <vt:variant>
        <vt:lpwstr>https://evinfo.net/2025/10/2026-will-be-the-year-of-the-used-ev-says-recurrent-ceo/</vt:lpwstr>
      </vt:variant>
      <vt:variant>
        <vt:lpwstr/>
      </vt:variant>
      <vt:variant>
        <vt:i4>6422651</vt:i4>
      </vt:variant>
      <vt:variant>
        <vt:i4>291</vt:i4>
      </vt:variant>
      <vt:variant>
        <vt:i4>0</vt:i4>
      </vt:variant>
      <vt:variant>
        <vt:i4>5</vt:i4>
      </vt:variant>
      <vt:variant>
        <vt:lpwstr>https://evinfo.net/2025/10/2026-will-be-the-year-of-the-used-ev-says-recurrent-ceo/</vt:lpwstr>
      </vt:variant>
      <vt:variant>
        <vt:lpwstr/>
      </vt:variant>
      <vt:variant>
        <vt:i4>7471152</vt:i4>
      </vt:variant>
      <vt:variant>
        <vt:i4>288</vt:i4>
      </vt:variant>
      <vt:variant>
        <vt:i4>0</vt:i4>
      </vt:variant>
      <vt:variant>
        <vt:i4>5</vt:i4>
      </vt:variant>
      <vt:variant>
        <vt:lpwstr>https://afdc.energy.gov/vehicles/electric-emissions-sources</vt:lpwstr>
      </vt:variant>
      <vt:variant>
        <vt:lpwstr/>
      </vt:variant>
      <vt:variant>
        <vt:i4>7471152</vt:i4>
      </vt:variant>
      <vt:variant>
        <vt:i4>285</vt:i4>
      </vt:variant>
      <vt:variant>
        <vt:i4>0</vt:i4>
      </vt:variant>
      <vt:variant>
        <vt:i4>5</vt:i4>
      </vt:variant>
      <vt:variant>
        <vt:lpwstr>https://afdc.energy.gov/vehicles/electric-emissions-sources</vt:lpwstr>
      </vt:variant>
      <vt:variant>
        <vt:lpwstr/>
      </vt:variant>
      <vt:variant>
        <vt:i4>6619196</vt:i4>
      </vt:variant>
      <vt:variant>
        <vt:i4>282</vt:i4>
      </vt:variant>
      <vt:variant>
        <vt:i4>0</vt:i4>
      </vt:variant>
      <vt:variant>
        <vt:i4>5</vt:i4>
      </vt:variant>
      <vt:variant>
        <vt:lpwstr>https://pluginamerica.org/survey/2025-ev-driver-survey/</vt:lpwstr>
      </vt:variant>
      <vt:variant>
        <vt:lpwstr/>
      </vt:variant>
      <vt:variant>
        <vt:i4>6619196</vt:i4>
      </vt:variant>
      <vt:variant>
        <vt:i4>279</vt:i4>
      </vt:variant>
      <vt:variant>
        <vt:i4>0</vt:i4>
      </vt:variant>
      <vt:variant>
        <vt:i4>5</vt:i4>
      </vt:variant>
      <vt:variant>
        <vt:lpwstr>https://pluginamerica.org/survey/2025-ev-driver-survey/</vt:lpwstr>
      </vt:variant>
      <vt:variant>
        <vt:lpwstr/>
      </vt:variant>
      <vt:variant>
        <vt:i4>3670123</vt:i4>
      </vt:variant>
      <vt:variant>
        <vt:i4>276</vt:i4>
      </vt:variant>
      <vt:variant>
        <vt:i4>0</vt:i4>
      </vt:variant>
      <vt:variant>
        <vt:i4>5</vt:i4>
      </vt:variant>
      <vt:variant>
        <vt:lpwstr>https://www.recurrentauto.com/research/used-electric-vehicle-buying-report</vt:lpwstr>
      </vt:variant>
      <vt:variant>
        <vt:lpwstr/>
      </vt:variant>
      <vt:variant>
        <vt:i4>3670123</vt:i4>
      </vt:variant>
      <vt:variant>
        <vt:i4>273</vt:i4>
      </vt:variant>
      <vt:variant>
        <vt:i4>0</vt:i4>
      </vt:variant>
      <vt:variant>
        <vt:i4>5</vt:i4>
      </vt:variant>
      <vt:variant>
        <vt:lpwstr>https://www.recurrentauto.com/research/used-electric-vehicle-buying-report</vt:lpwstr>
      </vt:variant>
      <vt:variant>
        <vt:lpwstr/>
      </vt:variant>
      <vt:variant>
        <vt:i4>4653067</vt:i4>
      </vt:variant>
      <vt:variant>
        <vt:i4>270</vt:i4>
      </vt:variant>
      <vt:variant>
        <vt:i4>0</vt:i4>
      </vt:variant>
      <vt:variant>
        <vt:i4>5</vt:i4>
      </vt:variant>
      <vt:variant>
        <vt:lpwstr>https://iea.blob.core.windows.net/assets/7ea38b60-3033-42a6-9589-71134f4229f4/GlobalEVOutlook2025.pdf</vt:lpwstr>
      </vt:variant>
      <vt:variant>
        <vt:lpwstr/>
      </vt:variant>
      <vt:variant>
        <vt:i4>4653067</vt:i4>
      </vt:variant>
      <vt:variant>
        <vt:i4>267</vt:i4>
      </vt:variant>
      <vt:variant>
        <vt:i4>0</vt:i4>
      </vt:variant>
      <vt:variant>
        <vt:i4>5</vt:i4>
      </vt:variant>
      <vt:variant>
        <vt:lpwstr>https://iea.blob.core.windows.net/assets/7ea38b60-3033-42a6-9589-71134f4229f4/GlobalEVOutlook2025.pdf</vt:lpwstr>
      </vt:variant>
      <vt:variant>
        <vt:lpwstr/>
      </vt:variant>
      <vt:variant>
        <vt:i4>4325450</vt:i4>
      </vt:variant>
      <vt:variant>
        <vt:i4>264</vt:i4>
      </vt:variant>
      <vt:variant>
        <vt:i4>0</vt:i4>
      </vt:variant>
      <vt:variant>
        <vt:i4>5</vt:i4>
      </vt:variant>
      <vt:variant>
        <vt:lpwstr>https://atlaspolicy.com/wp-content/uploads/2025/10/Affordable-Vehicles-in-Decline.pdf</vt:lpwstr>
      </vt:variant>
      <vt:variant>
        <vt:lpwstr/>
      </vt:variant>
      <vt:variant>
        <vt:i4>4325450</vt:i4>
      </vt:variant>
      <vt:variant>
        <vt:i4>261</vt:i4>
      </vt:variant>
      <vt:variant>
        <vt:i4>0</vt:i4>
      </vt:variant>
      <vt:variant>
        <vt:i4>5</vt:i4>
      </vt:variant>
      <vt:variant>
        <vt:lpwstr>https://atlaspolicy.com/wp-content/uploads/2025/10/Affordable-Vehicles-in-Decline.pdf</vt:lpwstr>
      </vt:variant>
      <vt:variant>
        <vt:lpwstr/>
      </vt:variant>
      <vt:variant>
        <vt:i4>2228320</vt:i4>
      </vt:variant>
      <vt:variant>
        <vt:i4>258</vt:i4>
      </vt:variant>
      <vt:variant>
        <vt:i4>0</vt:i4>
      </vt:variant>
      <vt:variant>
        <vt:i4>5</vt:i4>
      </vt:variant>
      <vt:variant>
        <vt:lpwstr>https://theicct.org/wp-content/uploads/2022/10/ev-cost-benefits-2035-oct22.pdf</vt:lpwstr>
      </vt:variant>
      <vt:variant>
        <vt:lpwstr/>
      </vt:variant>
      <vt:variant>
        <vt:i4>2228320</vt:i4>
      </vt:variant>
      <vt:variant>
        <vt:i4>255</vt:i4>
      </vt:variant>
      <vt:variant>
        <vt:i4>0</vt:i4>
      </vt:variant>
      <vt:variant>
        <vt:i4>5</vt:i4>
      </vt:variant>
      <vt:variant>
        <vt:lpwstr>https://theicct.org/wp-content/uploads/2022/10/ev-cost-benefits-2035-oct22.pdf</vt:lpwstr>
      </vt:variant>
      <vt:variant>
        <vt:lpwstr/>
      </vt:variant>
      <vt:variant>
        <vt:i4>86</vt:i4>
      </vt:variant>
      <vt:variant>
        <vt:i4>252</vt:i4>
      </vt:variant>
      <vt:variant>
        <vt:i4>0</vt:i4>
      </vt:variant>
      <vt:variant>
        <vt:i4>5</vt:i4>
      </vt:variant>
      <vt:variant>
        <vt:lpwstr>https://evrebate.oregon.gov/rebate-statistics</vt:lpwstr>
      </vt:variant>
      <vt:variant>
        <vt:lpwstr/>
      </vt:variant>
      <vt:variant>
        <vt:i4>86</vt:i4>
      </vt:variant>
      <vt:variant>
        <vt:i4>249</vt:i4>
      </vt:variant>
      <vt:variant>
        <vt:i4>0</vt:i4>
      </vt:variant>
      <vt:variant>
        <vt:i4>5</vt:i4>
      </vt:variant>
      <vt:variant>
        <vt:lpwstr>https://evrebate.oregon.gov/rebate-statistics</vt:lpwstr>
      </vt:variant>
      <vt:variant>
        <vt:lpwstr/>
      </vt:variant>
      <vt:variant>
        <vt:i4>6094862</vt:i4>
      </vt:variant>
      <vt:variant>
        <vt:i4>246</vt:i4>
      </vt:variant>
      <vt:variant>
        <vt:i4>0</vt:i4>
      </vt:variant>
      <vt:variant>
        <vt:i4>5</vt:i4>
      </vt:variant>
      <vt:variant>
        <vt:lpwstr>https://secure.sos.state.or.us/oard/displayDivisionRules.action?selectedDivision=4539</vt:lpwstr>
      </vt:variant>
      <vt:variant>
        <vt:lpwstr/>
      </vt:variant>
      <vt:variant>
        <vt:i4>2031679</vt:i4>
      </vt:variant>
      <vt:variant>
        <vt:i4>239</vt:i4>
      </vt:variant>
      <vt:variant>
        <vt:i4>0</vt:i4>
      </vt:variant>
      <vt:variant>
        <vt:i4>5</vt:i4>
      </vt:variant>
      <vt:variant>
        <vt:lpwstr/>
      </vt:variant>
      <vt:variant>
        <vt:lpwstr>_Toc214617884</vt:lpwstr>
      </vt:variant>
      <vt:variant>
        <vt:i4>2031679</vt:i4>
      </vt:variant>
      <vt:variant>
        <vt:i4>233</vt:i4>
      </vt:variant>
      <vt:variant>
        <vt:i4>0</vt:i4>
      </vt:variant>
      <vt:variant>
        <vt:i4>5</vt:i4>
      </vt:variant>
      <vt:variant>
        <vt:lpwstr/>
      </vt:variant>
      <vt:variant>
        <vt:lpwstr>_Toc214617883</vt:lpwstr>
      </vt:variant>
      <vt:variant>
        <vt:i4>2031679</vt:i4>
      </vt:variant>
      <vt:variant>
        <vt:i4>227</vt:i4>
      </vt:variant>
      <vt:variant>
        <vt:i4>0</vt:i4>
      </vt:variant>
      <vt:variant>
        <vt:i4>5</vt:i4>
      </vt:variant>
      <vt:variant>
        <vt:lpwstr/>
      </vt:variant>
      <vt:variant>
        <vt:lpwstr>_Toc214617882</vt:lpwstr>
      </vt:variant>
      <vt:variant>
        <vt:i4>2031679</vt:i4>
      </vt:variant>
      <vt:variant>
        <vt:i4>221</vt:i4>
      </vt:variant>
      <vt:variant>
        <vt:i4>0</vt:i4>
      </vt:variant>
      <vt:variant>
        <vt:i4>5</vt:i4>
      </vt:variant>
      <vt:variant>
        <vt:lpwstr/>
      </vt:variant>
      <vt:variant>
        <vt:lpwstr>_Toc214617881</vt:lpwstr>
      </vt:variant>
      <vt:variant>
        <vt:i4>2031679</vt:i4>
      </vt:variant>
      <vt:variant>
        <vt:i4>215</vt:i4>
      </vt:variant>
      <vt:variant>
        <vt:i4>0</vt:i4>
      </vt:variant>
      <vt:variant>
        <vt:i4>5</vt:i4>
      </vt:variant>
      <vt:variant>
        <vt:lpwstr/>
      </vt:variant>
      <vt:variant>
        <vt:lpwstr>_Toc214617880</vt:lpwstr>
      </vt:variant>
      <vt:variant>
        <vt:i4>1048639</vt:i4>
      </vt:variant>
      <vt:variant>
        <vt:i4>209</vt:i4>
      </vt:variant>
      <vt:variant>
        <vt:i4>0</vt:i4>
      </vt:variant>
      <vt:variant>
        <vt:i4>5</vt:i4>
      </vt:variant>
      <vt:variant>
        <vt:lpwstr/>
      </vt:variant>
      <vt:variant>
        <vt:lpwstr>_Toc214617879</vt:lpwstr>
      </vt:variant>
      <vt:variant>
        <vt:i4>1048639</vt:i4>
      </vt:variant>
      <vt:variant>
        <vt:i4>203</vt:i4>
      </vt:variant>
      <vt:variant>
        <vt:i4>0</vt:i4>
      </vt:variant>
      <vt:variant>
        <vt:i4>5</vt:i4>
      </vt:variant>
      <vt:variant>
        <vt:lpwstr/>
      </vt:variant>
      <vt:variant>
        <vt:lpwstr>_Toc214617878</vt:lpwstr>
      </vt:variant>
      <vt:variant>
        <vt:i4>1048639</vt:i4>
      </vt:variant>
      <vt:variant>
        <vt:i4>197</vt:i4>
      </vt:variant>
      <vt:variant>
        <vt:i4>0</vt:i4>
      </vt:variant>
      <vt:variant>
        <vt:i4>5</vt:i4>
      </vt:variant>
      <vt:variant>
        <vt:lpwstr/>
      </vt:variant>
      <vt:variant>
        <vt:lpwstr>_Toc214617877</vt:lpwstr>
      </vt:variant>
      <vt:variant>
        <vt:i4>1048639</vt:i4>
      </vt:variant>
      <vt:variant>
        <vt:i4>191</vt:i4>
      </vt:variant>
      <vt:variant>
        <vt:i4>0</vt:i4>
      </vt:variant>
      <vt:variant>
        <vt:i4>5</vt:i4>
      </vt:variant>
      <vt:variant>
        <vt:lpwstr/>
      </vt:variant>
      <vt:variant>
        <vt:lpwstr>_Toc214617876</vt:lpwstr>
      </vt:variant>
      <vt:variant>
        <vt:i4>1048639</vt:i4>
      </vt:variant>
      <vt:variant>
        <vt:i4>185</vt:i4>
      </vt:variant>
      <vt:variant>
        <vt:i4>0</vt:i4>
      </vt:variant>
      <vt:variant>
        <vt:i4>5</vt:i4>
      </vt:variant>
      <vt:variant>
        <vt:lpwstr/>
      </vt:variant>
      <vt:variant>
        <vt:lpwstr>_Toc214617875</vt:lpwstr>
      </vt:variant>
      <vt:variant>
        <vt:i4>1048639</vt:i4>
      </vt:variant>
      <vt:variant>
        <vt:i4>179</vt:i4>
      </vt:variant>
      <vt:variant>
        <vt:i4>0</vt:i4>
      </vt:variant>
      <vt:variant>
        <vt:i4>5</vt:i4>
      </vt:variant>
      <vt:variant>
        <vt:lpwstr/>
      </vt:variant>
      <vt:variant>
        <vt:lpwstr>_Toc214617874</vt:lpwstr>
      </vt:variant>
      <vt:variant>
        <vt:i4>1048639</vt:i4>
      </vt:variant>
      <vt:variant>
        <vt:i4>173</vt:i4>
      </vt:variant>
      <vt:variant>
        <vt:i4>0</vt:i4>
      </vt:variant>
      <vt:variant>
        <vt:i4>5</vt:i4>
      </vt:variant>
      <vt:variant>
        <vt:lpwstr/>
      </vt:variant>
      <vt:variant>
        <vt:lpwstr>_Toc214617873</vt:lpwstr>
      </vt:variant>
      <vt:variant>
        <vt:i4>1048639</vt:i4>
      </vt:variant>
      <vt:variant>
        <vt:i4>167</vt:i4>
      </vt:variant>
      <vt:variant>
        <vt:i4>0</vt:i4>
      </vt:variant>
      <vt:variant>
        <vt:i4>5</vt:i4>
      </vt:variant>
      <vt:variant>
        <vt:lpwstr/>
      </vt:variant>
      <vt:variant>
        <vt:lpwstr>_Toc214617872</vt:lpwstr>
      </vt:variant>
      <vt:variant>
        <vt:i4>1048639</vt:i4>
      </vt:variant>
      <vt:variant>
        <vt:i4>161</vt:i4>
      </vt:variant>
      <vt:variant>
        <vt:i4>0</vt:i4>
      </vt:variant>
      <vt:variant>
        <vt:i4>5</vt:i4>
      </vt:variant>
      <vt:variant>
        <vt:lpwstr/>
      </vt:variant>
      <vt:variant>
        <vt:lpwstr>_Toc214617871</vt:lpwstr>
      </vt:variant>
      <vt:variant>
        <vt:i4>1048639</vt:i4>
      </vt:variant>
      <vt:variant>
        <vt:i4>155</vt:i4>
      </vt:variant>
      <vt:variant>
        <vt:i4>0</vt:i4>
      </vt:variant>
      <vt:variant>
        <vt:i4>5</vt:i4>
      </vt:variant>
      <vt:variant>
        <vt:lpwstr/>
      </vt:variant>
      <vt:variant>
        <vt:lpwstr>_Toc214617870</vt:lpwstr>
      </vt:variant>
      <vt:variant>
        <vt:i4>1114175</vt:i4>
      </vt:variant>
      <vt:variant>
        <vt:i4>149</vt:i4>
      </vt:variant>
      <vt:variant>
        <vt:i4>0</vt:i4>
      </vt:variant>
      <vt:variant>
        <vt:i4>5</vt:i4>
      </vt:variant>
      <vt:variant>
        <vt:lpwstr/>
      </vt:variant>
      <vt:variant>
        <vt:lpwstr>_Toc214617869</vt:lpwstr>
      </vt:variant>
      <vt:variant>
        <vt:i4>1114175</vt:i4>
      </vt:variant>
      <vt:variant>
        <vt:i4>143</vt:i4>
      </vt:variant>
      <vt:variant>
        <vt:i4>0</vt:i4>
      </vt:variant>
      <vt:variant>
        <vt:i4>5</vt:i4>
      </vt:variant>
      <vt:variant>
        <vt:lpwstr/>
      </vt:variant>
      <vt:variant>
        <vt:lpwstr>_Toc214617868</vt:lpwstr>
      </vt:variant>
      <vt:variant>
        <vt:i4>1114175</vt:i4>
      </vt:variant>
      <vt:variant>
        <vt:i4>137</vt:i4>
      </vt:variant>
      <vt:variant>
        <vt:i4>0</vt:i4>
      </vt:variant>
      <vt:variant>
        <vt:i4>5</vt:i4>
      </vt:variant>
      <vt:variant>
        <vt:lpwstr/>
      </vt:variant>
      <vt:variant>
        <vt:lpwstr>_Toc214617867</vt:lpwstr>
      </vt:variant>
      <vt:variant>
        <vt:i4>1114175</vt:i4>
      </vt:variant>
      <vt:variant>
        <vt:i4>131</vt:i4>
      </vt:variant>
      <vt:variant>
        <vt:i4>0</vt:i4>
      </vt:variant>
      <vt:variant>
        <vt:i4>5</vt:i4>
      </vt:variant>
      <vt:variant>
        <vt:lpwstr/>
      </vt:variant>
      <vt:variant>
        <vt:lpwstr>_Toc214617866</vt:lpwstr>
      </vt:variant>
      <vt:variant>
        <vt:i4>1114175</vt:i4>
      </vt:variant>
      <vt:variant>
        <vt:i4>125</vt:i4>
      </vt:variant>
      <vt:variant>
        <vt:i4>0</vt:i4>
      </vt:variant>
      <vt:variant>
        <vt:i4>5</vt:i4>
      </vt:variant>
      <vt:variant>
        <vt:lpwstr/>
      </vt:variant>
      <vt:variant>
        <vt:lpwstr>_Toc214617865</vt:lpwstr>
      </vt:variant>
      <vt:variant>
        <vt:i4>1114175</vt:i4>
      </vt:variant>
      <vt:variant>
        <vt:i4>119</vt:i4>
      </vt:variant>
      <vt:variant>
        <vt:i4>0</vt:i4>
      </vt:variant>
      <vt:variant>
        <vt:i4>5</vt:i4>
      </vt:variant>
      <vt:variant>
        <vt:lpwstr/>
      </vt:variant>
      <vt:variant>
        <vt:lpwstr>_Toc214617864</vt:lpwstr>
      </vt:variant>
      <vt:variant>
        <vt:i4>1114175</vt:i4>
      </vt:variant>
      <vt:variant>
        <vt:i4>113</vt:i4>
      </vt:variant>
      <vt:variant>
        <vt:i4>0</vt:i4>
      </vt:variant>
      <vt:variant>
        <vt:i4>5</vt:i4>
      </vt:variant>
      <vt:variant>
        <vt:lpwstr/>
      </vt:variant>
      <vt:variant>
        <vt:lpwstr>_Toc214617863</vt:lpwstr>
      </vt:variant>
      <vt:variant>
        <vt:i4>1114175</vt:i4>
      </vt:variant>
      <vt:variant>
        <vt:i4>107</vt:i4>
      </vt:variant>
      <vt:variant>
        <vt:i4>0</vt:i4>
      </vt:variant>
      <vt:variant>
        <vt:i4>5</vt:i4>
      </vt:variant>
      <vt:variant>
        <vt:lpwstr/>
      </vt:variant>
      <vt:variant>
        <vt:lpwstr>_Toc214617862</vt:lpwstr>
      </vt:variant>
      <vt:variant>
        <vt:i4>1114175</vt:i4>
      </vt:variant>
      <vt:variant>
        <vt:i4>101</vt:i4>
      </vt:variant>
      <vt:variant>
        <vt:i4>0</vt:i4>
      </vt:variant>
      <vt:variant>
        <vt:i4>5</vt:i4>
      </vt:variant>
      <vt:variant>
        <vt:lpwstr/>
      </vt:variant>
      <vt:variant>
        <vt:lpwstr>_Toc214617861</vt:lpwstr>
      </vt:variant>
      <vt:variant>
        <vt:i4>1114175</vt:i4>
      </vt:variant>
      <vt:variant>
        <vt:i4>95</vt:i4>
      </vt:variant>
      <vt:variant>
        <vt:i4>0</vt:i4>
      </vt:variant>
      <vt:variant>
        <vt:i4>5</vt:i4>
      </vt:variant>
      <vt:variant>
        <vt:lpwstr/>
      </vt:variant>
      <vt:variant>
        <vt:lpwstr>_Toc214617860</vt:lpwstr>
      </vt:variant>
      <vt:variant>
        <vt:i4>1179711</vt:i4>
      </vt:variant>
      <vt:variant>
        <vt:i4>89</vt:i4>
      </vt:variant>
      <vt:variant>
        <vt:i4>0</vt:i4>
      </vt:variant>
      <vt:variant>
        <vt:i4>5</vt:i4>
      </vt:variant>
      <vt:variant>
        <vt:lpwstr/>
      </vt:variant>
      <vt:variant>
        <vt:lpwstr>_Toc214617859</vt:lpwstr>
      </vt:variant>
      <vt:variant>
        <vt:i4>1179711</vt:i4>
      </vt:variant>
      <vt:variant>
        <vt:i4>83</vt:i4>
      </vt:variant>
      <vt:variant>
        <vt:i4>0</vt:i4>
      </vt:variant>
      <vt:variant>
        <vt:i4>5</vt:i4>
      </vt:variant>
      <vt:variant>
        <vt:lpwstr/>
      </vt:variant>
      <vt:variant>
        <vt:lpwstr>_Toc214617858</vt:lpwstr>
      </vt:variant>
      <vt:variant>
        <vt:i4>1179711</vt:i4>
      </vt:variant>
      <vt:variant>
        <vt:i4>77</vt:i4>
      </vt:variant>
      <vt:variant>
        <vt:i4>0</vt:i4>
      </vt:variant>
      <vt:variant>
        <vt:i4>5</vt:i4>
      </vt:variant>
      <vt:variant>
        <vt:lpwstr/>
      </vt:variant>
      <vt:variant>
        <vt:lpwstr>_Toc214617857</vt:lpwstr>
      </vt:variant>
      <vt:variant>
        <vt:i4>1179711</vt:i4>
      </vt:variant>
      <vt:variant>
        <vt:i4>71</vt:i4>
      </vt:variant>
      <vt:variant>
        <vt:i4>0</vt:i4>
      </vt:variant>
      <vt:variant>
        <vt:i4>5</vt:i4>
      </vt:variant>
      <vt:variant>
        <vt:lpwstr/>
      </vt:variant>
      <vt:variant>
        <vt:lpwstr>_Toc214617856</vt:lpwstr>
      </vt:variant>
      <vt:variant>
        <vt:i4>1179711</vt:i4>
      </vt:variant>
      <vt:variant>
        <vt:i4>65</vt:i4>
      </vt:variant>
      <vt:variant>
        <vt:i4>0</vt:i4>
      </vt:variant>
      <vt:variant>
        <vt:i4>5</vt:i4>
      </vt:variant>
      <vt:variant>
        <vt:lpwstr/>
      </vt:variant>
      <vt:variant>
        <vt:lpwstr>_Toc214617855</vt:lpwstr>
      </vt:variant>
      <vt:variant>
        <vt:i4>1179711</vt:i4>
      </vt:variant>
      <vt:variant>
        <vt:i4>59</vt:i4>
      </vt:variant>
      <vt:variant>
        <vt:i4>0</vt:i4>
      </vt:variant>
      <vt:variant>
        <vt:i4>5</vt:i4>
      </vt:variant>
      <vt:variant>
        <vt:lpwstr/>
      </vt:variant>
      <vt:variant>
        <vt:lpwstr>_Toc214617854</vt:lpwstr>
      </vt:variant>
      <vt:variant>
        <vt:i4>1179711</vt:i4>
      </vt:variant>
      <vt:variant>
        <vt:i4>53</vt:i4>
      </vt:variant>
      <vt:variant>
        <vt:i4>0</vt:i4>
      </vt:variant>
      <vt:variant>
        <vt:i4>5</vt:i4>
      </vt:variant>
      <vt:variant>
        <vt:lpwstr/>
      </vt:variant>
      <vt:variant>
        <vt:lpwstr>_Toc214617853</vt:lpwstr>
      </vt:variant>
      <vt:variant>
        <vt:i4>1179711</vt:i4>
      </vt:variant>
      <vt:variant>
        <vt:i4>47</vt:i4>
      </vt:variant>
      <vt:variant>
        <vt:i4>0</vt:i4>
      </vt:variant>
      <vt:variant>
        <vt:i4>5</vt:i4>
      </vt:variant>
      <vt:variant>
        <vt:lpwstr/>
      </vt:variant>
      <vt:variant>
        <vt:lpwstr>_Toc214617852</vt:lpwstr>
      </vt:variant>
      <vt:variant>
        <vt:i4>1179711</vt:i4>
      </vt:variant>
      <vt:variant>
        <vt:i4>41</vt:i4>
      </vt:variant>
      <vt:variant>
        <vt:i4>0</vt:i4>
      </vt:variant>
      <vt:variant>
        <vt:i4>5</vt:i4>
      </vt:variant>
      <vt:variant>
        <vt:lpwstr/>
      </vt:variant>
      <vt:variant>
        <vt:lpwstr>_Toc214617851</vt:lpwstr>
      </vt:variant>
      <vt:variant>
        <vt:i4>1179711</vt:i4>
      </vt:variant>
      <vt:variant>
        <vt:i4>35</vt:i4>
      </vt:variant>
      <vt:variant>
        <vt:i4>0</vt:i4>
      </vt:variant>
      <vt:variant>
        <vt:i4>5</vt:i4>
      </vt:variant>
      <vt:variant>
        <vt:lpwstr/>
      </vt:variant>
      <vt:variant>
        <vt:lpwstr>_Toc214617850</vt:lpwstr>
      </vt:variant>
      <vt:variant>
        <vt:i4>1245247</vt:i4>
      </vt:variant>
      <vt:variant>
        <vt:i4>29</vt:i4>
      </vt:variant>
      <vt:variant>
        <vt:i4>0</vt:i4>
      </vt:variant>
      <vt:variant>
        <vt:i4>5</vt:i4>
      </vt:variant>
      <vt:variant>
        <vt:lpwstr/>
      </vt:variant>
      <vt:variant>
        <vt:lpwstr>_Toc214617849</vt:lpwstr>
      </vt:variant>
      <vt:variant>
        <vt:i4>1245247</vt:i4>
      </vt:variant>
      <vt:variant>
        <vt:i4>23</vt:i4>
      </vt:variant>
      <vt:variant>
        <vt:i4>0</vt:i4>
      </vt:variant>
      <vt:variant>
        <vt:i4>5</vt:i4>
      </vt:variant>
      <vt:variant>
        <vt:lpwstr/>
      </vt:variant>
      <vt:variant>
        <vt:lpwstr>_Toc214617848</vt:lpwstr>
      </vt:variant>
      <vt:variant>
        <vt:i4>1245247</vt:i4>
      </vt:variant>
      <vt:variant>
        <vt:i4>17</vt:i4>
      </vt:variant>
      <vt:variant>
        <vt:i4>0</vt:i4>
      </vt:variant>
      <vt:variant>
        <vt:i4>5</vt:i4>
      </vt:variant>
      <vt:variant>
        <vt:lpwstr/>
      </vt:variant>
      <vt:variant>
        <vt:lpwstr>_Toc214617847</vt:lpwstr>
      </vt:variant>
      <vt:variant>
        <vt:i4>1245247</vt:i4>
      </vt:variant>
      <vt:variant>
        <vt:i4>11</vt:i4>
      </vt:variant>
      <vt:variant>
        <vt:i4>0</vt:i4>
      </vt:variant>
      <vt:variant>
        <vt:i4>5</vt:i4>
      </vt:variant>
      <vt:variant>
        <vt:lpwstr/>
      </vt:variant>
      <vt:variant>
        <vt:lpwstr>_Toc214617846</vt:lpwstr>
      </vt:variant>
      <vt:variant>
        <vt:i4>1245247</vt:i4>
      </vt:variant>
      <vt:variant>
        <vt:i4>5</vt:i4>
      </vt:variant>
      <vt:variant>
        <vt:i4>0</vt:i4>
      </vt:variant>
      <vt:variant>
        <vt:i4>5</vt:i4>
      </vt:variant>
      <vt:variant>
        <vt:lpwstr/>
      </vt:variant>
      <vt:variant>
        <vt:lpwstr>_Toc214617845</vt:lpwstr>
      </vt:variant>
      <vt:variant>
        <vt:i4>1179721</vt:i4>
      </vt:variant>
      <vt:variant>
        <vt:i4>0</vt:i4>
      </vt:variant>
      <vt:variant>
        <vt:i4>0</vt:i4>
      </vt:variant>
      <vt:variant>
        <vt:i4>5</vt:i4>
      </vt:variant>
      <vt:variant>
        <vt:lpwstr>http://deqsps/programs/rulemaking/SitePages/Rulemaking Resources.aspx</vt:lpwstr>
      </vt:variant>
      <vt:variant>
        <vt:lpwstr/>
      </vt:variant>
      <vt:variant>
        <vt:i4>131128</vt:i4>
      </vt:variant>
      <vt:variant>
        <vt:i4>48</vt:i4>
      </vt:variant>
      <vt:variant>
        <vt:i4>0</vt:i4>
      </vt:variant>
      <vt:variant>
        <vt:i4>5</vt:i4>
      </vt:variant>
      <vt:variant>
        <vt:lpwstr>mailto:Emil.HNIDEY@deq.oregon.gov</vt:lpwstr>
      </vt:variant>
      <vt:variant>
        <vt:lpwstr/>
      </vt:variant>
      <vt:variant>
        <vt:i4>6815828</vt:i4>
      </vt:variant>
      <vt:variant>
        <vt:i4>45</vt:i4>
      </vt:variant>
      <vt:variant>
        <vt:i4>0</vt:i4>
      </vt:variant>
      <vt:variant>
        <vt:i4>5</vt:i4>
      </vt:variant>
      <vt:variant>
        <vt:lpwstr>mailto:Rachel.SAKATA@deq.oregon.gov</vt:lpwstr>
      </vt:variant>
      <vt:variant>
        <vt:lpwstr/>
      </vt:variant>
      <vt:variant>
        <vt:i4>458802</vt:i4>
      </vt:variant>
      <vt:variant>
        <vt:i4>42</vt:i4>
      </vt:variant>
      <vt:variant>
        <vt:i4>0</vt:i4>
      </vt:variant>
      <vt:variant>
        <vt:i4>5</vt:i4>
      </vt:variant>
      <vt:variant>
        <vt:lpwstr>mailto:Dalton.Sheppard@deq.oregon.gov</vt:lpwstr>
      </vt:variant>
      <vt:variant>
        <vt:lpwstr/>
      </vt:variant>
      <vt:variant>
        <vt:i4>458802</vt:i4>
      </vt:variant>
      <vt:variant>
        <vt:i4>39</vt:i4>
      </vt:variant>
      <vt:variant>
        <vt:i4>0</vt:i4>
      </vt:variant>
      <vt:variant>
        <vt:i4>5</vt:i4>
      </vt:variant>
      <vt:variant>
        <vt:lpwstr>mailto:Dalton.Sheppard@deq.oregon.gov</vt:lpwstr>
      </vt:variant>
      <vt:variant>
        <vt:lpwstr/>
      </vt:variant>
      <vt:variant>
        <vt:i4>458802</vt:i4>
      </vt:variant>
      <vt:variant>
        <vt:i4>36</vt:i4>
      </vt:variant>
      <vt:variant>
        <vt:i4>0</vt:i4>
      </vt:variant>
      <vt:variant>
        <vt:i4>5</vt:i4>
      </vt:variant>
      <vt:variant>
        <vt:lpwstr>mailto:Dalton.Sheppard@deq.oregon.gov</vt:lpwstr>
      </vt:variant>
      <vt:variant>
        <vt:lpwstr/>
      </vt:variant>
      <vt:variant>
        <vt:i4>6815828</vt:i4>
      </vt:variant>
      <vt:variant>
        <vt:i4>33</vt:i4>
      </vt:variant>
      <vt:variant>
        <vt:i4>0</vt:i4>
      </vt:variant>
      <vt:variant>
        <vt:i4>5</vt:i4>
      </vt:variant>
      <vt:variant>
        <vt:lpwstr>mailto:Rachel.SAKATA@deq.oregon.gov</vt:lpwstr>
      </vt:variant>
      <vt:variant>
        <vt:lpwstr/>
      </vt:variant>
      <vt:variant>
        <vt:i4>131128</vt:i4>
      </vt:variant>
      <vt:variant>
        <vt:i4>30</vt:i4>
      </vt:variant>
      <vt:variant>
        <vt:i4>0</vt:i4>
      </vt:variant>
      <vt:variant>
        <vt:i4>5</vt:i4>
      </vt:variant>
      <vt:variant>
        <vt:lpwstr>mailto:Emil.HNIDEY@deq.oregon.gov</vt:lpwstr>
      </vt:variant>
      <vt:variant>
        <vt:lpwstr/>
      </vt:variant>
      <vt:variant>
        <vt:i4>6815828</vt:i4>
      </vt:variant>
      <vt:variant>
        <vt:i4>27</vt:i4>
      </vt:variant>
      <vt:variant>
        <vt:i4>0</vt:i4>
      </vt:variant>
      <vt:variant>
        <vt:i4>5</vt:i4>
      </vt:variant>
      <vt:variant>
        <vt:lpwstr>mailto:Rachel.SAKATA@deq.oregon.gov</vt:lpwstr>
      </vt:variant>
      <vt:variant>
        <vt:lpwstr/>
      </vt:variant>
      <vt:variant>
        <vt:i4>6815828</vt:i4>
      </vt:variant>
      <vt:variant>
        <vt:i4>24</vt:i4>
      </vt:variant>
      <vt:variant>
        <vt:i4>0</vt:i4>
      </vt:variant>
      <vt:variant>
        <vt:i4>5</vt:i4>
      </vt:variant>
      <vt:variant>
        <vt:lpwstr>mailto:Rachel.SAKATA@deq.oregon.gov</vt:lpwstr>
      </vt:variant>
      <vt:variant>
        <vt:lpwstr/>
      </vt:variant>
      <vt:variant>
        <vt:i4>6815828</vt:i4>
      </vt:variant>
      <vt:variant>
        <vt:i4>21</vt:i4>
      </vt:variant>
      <vt:variant>
        <vt:i4>0</vt:i4>
      </vt:variant>
      <vt:variant>
        <vt:i4>5</vt:i4>
      </vt:variant>
      <vt:variant>
        <vt:lpwstr>mailto:Rachel.SAKATA@deq.oregon.gov</vt:lpwstr>
      </vt:variant>
      <vt:variant>
        <vt:lpwstr/>
      </vt:variant>
      <vt:variant>
        <vt:i4>6815828</vt:i4>
      </vt:variant>
      <vt:variant>
        <vt:i4>18</vt:i4>
      </vt:variant>
      <vt:variant>
        <vt:i4>0</vt:i4>
      </vt:variant>
      <vt:variant>
        <vt:i4>5</vt:i4>
      </vt:variant>
      <vt:variant>
        <vt:lpwstr>mailto:Rachel.SAKATA@deq.oregon.gov</vt:lpwstr>
      </vt:variant>
      <vt:variant>
        <vt:lpwstr/>
      </vt:variant>
      <vt:variant>
        <vt:i4>6815828</vt:i4>
      </vt:variant>
      <vt:variant>
        <vt:i4>15</vt:i4>
      </vt:variant>
      <vt:variant>
        <vt:i4>0</vt:i4>
      </vt:variant>
      <vt:variant>
        <vt:i4>5</vt:i4>
      </vt:variant>
      <vt:variant>
        <vt:lpwstr>mailto:Rachel.SAKATA@deq.oregon.gov</vt:lpwstr>
      </vt:variant>
      <vt:variant>
        <vt:lpwstr/>
      </vt:variant>
      <vt:variant>
        <vt:i4>6815828</vt:i4>
      </vt:variant>
      <vt:variant>
        <vt:i4>12</vt:i4>
      </vt:variant>
      <vt:variant>
        <vt:i4>0</vt:i4>
      </vt:variant>
      <vt:variant>
        <vt:i4>5</vt:i4>
      </vt:variant>
      <vt:variant>
        <vt:lpwstr>mailto:Rachel.SAKATA@deq.oregon.gov</vt:lpwstr>
      </vt:variant>
      <vt:variant>
        <vt:lpwstr/>
      </vt:variant>
      <vt:variant>
        <vt:i4>6815828</vt:i4>
      </vt:variant>
      <vt:variant>
        <vt:i4>9</vt:i4>
      </vt:variant>
      <vt:variant>
        <vt:i4>0</vt:i4>
      </vt:variant>
      <vt:variant>
        <vt:i4>5</vt:i4>
      </vt:variant>
      <vt:variant>
        <vt:lpwstr>mailto:Rachel.SAKATA@deq.oregon.gov</vt:lpwstr>
      </vt:variant>
      <vt:variant>
        <vt:lpwstr/>
      </vt:variant>
      <vt:variant>
        <vt:i4>6815828</vt:i4>
      </vt:variant>
      <vt:variant>
        <vt:i4>6</vt:i4>
      </vt:variant>
      <vt:variant>
        <vt:i4>0</vt:i4>
      </vt:variant>
      <vt:variant>
        <vt:i4>5</vt:i4>
      </vt:variant>
      <vt:variant>
        <vt:lpwstr>mailto:Rachel.SAKATA@deq.oregon.gov</vt:lpwstr>
      </vt:variant>
      <vt:variant>
        <vt:lpwstr/>
      </vt:variant>
      <vt:variant>
        <vt:i4>6815828</vt:i4>
      </vt:variant>
      <vt:variant>
        <vt:i4>3</vt:i4>
      </vt:variant>
      <vt:variant>
        <vt:i4>0</vt:i4>
      </vt:variant>
      <vt:variant>
        <vt:i4>5</vt:i4>
      </vt:variant>
      <vt:variant>
        <vt:lpwstr>mailto:Rachel.SAKATA@deq.oregon.gov</vt:lpwstr>
      </vt:variant>
      <vt:variant>
        <vt:lpwstr/>
      </vt:variant>
      <vt:variant>
        <vt:i4>6815828</vt:i4>
      </vt:variant>
      <vt:variant>
        <vt:i4>0</vt:i4>
      </vt:variant>
      <vt:variant>
        <vt:i4>0</vt:i4>
      </vt:variant>
      <vt:variant>
        <vt:i4>5</vt:i4>
      </vt:variant>
      <vt:variant>
        <vt:lpwstr>mailto:Rachel.SAKATA@deq.oregon.gov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Report Action Item Template</dc:title>
  <dc:subject/>
  <dc:creator>THOMPSON Michele * DEQ</dc:creator>
  <cp:keywords/>
  <dc:description/>
  <cp:lastModifiedBy>TRAPP Lindsay * DEQ</cp:lastModifiedBy>
  <cp:revision>13</cp:revision>
  <dcterms:created xsi:type="dcterms:W3CDTF">2026-05-04T16:37:00Z</dcterms:created>
  <dcterms:modified xsi:type="dcterms:W3CDTF">2026-05-04T16:44:00Z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0x010100BEFA4CE0B0C76C40A1220ADA599EA283</vt:lpwstr>
  </property>
  <property fmtid="{D5CDD505-2E9C-101B-9397-08002B2CF9AE}" pid="3" name="MediaServiceImageTags">
    <vt:lpwstr/>
  </property>
  <property fmtid="{D5CDD505-2E9C-101B-9397-08002B2CF9AE}" pid="4" name="docLang">
    <vt:lpwstr>en</vt:lpwstr>
  </property>
</Properties>
</file>