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882D" w14:textId="18FCDE78" w:rsidR="009B009E" w:rsidRDefault="00AD1846">
      <w:r>
        <w:rPr>
          <w:noProof/>
        </w:rPr>
        <w:drawing>
          <wp:inline distT="0" distB="0" distL="0" distR="0" wp14:anchorId="0DB623FF" wp14:editId="5837DC74">
            <wp:extent cx="2317317" cy="457200"/>
            <wp:effectExtent l="0" t="0" r="6985" b="0"/>
            <wp:docPr id="1734063460" name="Picture 1"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63460" name="Picture 1" descr="Oregon DEQ Logo"/>
                    <pic:cNvPicPr/>
                  </pic:nvPicPr>
                  <pic:blipFill>
                    <a:blip r:embed="rId10">
                      <a:extLst>
                        <a:ext uri="{28A0092B-C50C-407E-A947-70E740481C1C}">
                          <a14:useLocalDpi xmlns:a14="http://schemas.microsoft.com/office/drawing/2010/main" val="0"/>
                        </a:ext>
                      </a:extLst>
                    </a:blip>
                    <a:stretch>
                      <a:fillRect/>
                    </a:stretch>
                  </pic:blipFill>
                  <pic:spPr>
                    <a:xfrm>
                      <a:off x="0" y="0"/>
                      <a:ext cx="2317317" cy="457200"/>
                    </a:xfrm>
                    <a:prstGeom prst="rect">
                      <a:avLst/>
                    </a:prstGeom>
                  </pic:spPr>
                </pic:pic>
              </a:graphicData>
            </a:graphic>
          </wp:inline>
        </w:drawing>
      </w:r>
    </w:p>
    <w:p w14:paraId="17869E1D" w14:textId="5B131071" w:rsidR="00593CAE" w:rsidRDefault="00B30457" w:rsidP="00593CAE">
      <w:pPr>
        <w:pStyle w:val="Heading1"/>
        <w:spacing w:after="0"/>
      </w:pPr>
      <w:r>
        <w:t xml:space="preserve">Glass </w:t>
      </w:r>
      <w:r w:rsidR="007B014C">
        <w:t>Technical Workgroup: Options for action and criteria</w:t>
      </w:r>
      <w:r w:rsidR="00593CAE" w:rsidRPr="00593CAE">
        <w:t xml:space="preserve"> </w:t>
      </w:r>
      <w:r w:rsidR="00A122BD">
        <w:t>for consideration</w:t>
      </w:r>
    </w:p>
    <w:p w14:paraId="28053F31" w14:textId="26D8E7FF" w:rsidR="001C684C" w:rsidRPr="00EC6A4F" w:rsidRDefault="001C684C" w:rsidP="00593CAE">
      <w:pPr>
        <w:pStyle w:val="Heading1"/>
        <w:spacing w:after="0"/>
        <w:rPr>
          <w:b w:val="0"/>
          <w:bCs w:val="0"/>
          <w:sz w:val="22"/>
          <w:szCs w:val="22"/>
        </w:rPr>
      </w:pPr>
      <w:r w:rsidRPr="00EC6A4F">
        <w:rPr>
          <w:b w:val="0"/>
          <w:bCs w:val="0"/>
          <w:sz w:val="22"/>
          <w:szCs w:val="22"/>
        </w:rPr>
        <w:t xml:space="preserve">April </w:t>
      </w:r>
      <w:r w:rsidR="007B014C">
        <w:rPr>
          <w:b w:val="0"/>
          <w:bCs w:val="0"/>
          <w:sz w:val="22"/>
          <w:szCs w:val="22"/>
        </w:rPr>
        <w:t>2</w:t>
      </w:r>
      <w:r w:rsidR="00BC0360">
        <w:rPr>
          <w:b w:val="0"/>
          <w:bCs w:val="0"/>
          <w:sz w:val="22"/>
          <w:szCs w:val="22"/>
        </w:rPr>
        <w:t>4</w:t>
      </w:r>
      <w:r w:rsidRPr="00EC6A4F">
        <w:rPr>
          <w:b w:val="0"/>
          <w:bCs w:val="0"/>
          <w:sz w:val="22"/>
          <w:szCs w:val="22"/>
        </w:rPr>
        <w:t>, 2026</w:t>
      </w:r>
    </w:p>
    <w:p w14:paraId="50BF1CF1" w14:textId="77777777" w:rsidR="001C684C" w:rsidRDefault="001C684C" w:rsidP="002219C6"/>
    <w:p w14:paraId="31FBF3CC" w14:textId="3724BA00" w:rsidR="002219C6" w:rsidRDefault="002219C6" w:rsidP="002219C6">
      <w:r>
        <w:t xml:space="preserve">DEQ convened a </w:t>
      </w:r>
      <w:r w:rsidR="00193008">
        <w:t xml:space="preserve">2026 </w:t>
      </w:r>
      <w:r>
        <w:t xml:space="preserve">Technical Workgroup on Glass Collection to provide input to DEQ on opportunities to reduce costs for glass producers related to the collection of glass for recycling, and potential impacts of those options. The Technical Workgroup’s charter </w:t>
      </w:r>
      <w:r w:rsidR="009310D0">
        <w:t xml:space="preserve">and information from its first meeting </w:t>
      </w:r>
      <w:r>
        <w:t xml:space="preserve">can be </w:t>
      </w:r>
      <w:r w:rsidR="00774DFC">
        <w:t xml:space="preserve">viewed on the </w:t>
      </w:r>
      <w:hyperlink r:id="rId11" w:tooltip="RMA2026_Rulemaking" w:history="1">
        <w:r w:rsidR="00774DFC" w:rsidRPr="00E87BD0">
          <w:rPr>
            <w:rStyle w:val="Hyperlink"/>
          </w:rPr>
          <w:t>2026 RMA Rulemaking webpage</w:t>
        </w:r>
      </w:hyperlink>
      <w:r w:rsidR="00774DFC">
        <w:t>.</w:t>
      </w:r>
    </w:p>
    <w:p w14:paraId="199BE965" w14:textId="42A98852" w:rsidR="00C60C10" w:rsidRDefault="00A122BD" w:rsidP="00C60C10">
      <w:r>
        <w:t>On April 1</w:t>
      </w:r>
      <w:r w:rsidR="00497A3A">
        <w:t>5</w:t>
      </w:r>
      <w:r>
        <w:t xml:space="preserve">, 2026, the workgroup met and began initial review of potential options for action and the criteria DEQ would consider in the evaluation of </w:t>
      </w:r>
      <w:r w:rsidR="009310D0">
        <w:t>options for potential development of rule concepts. This document s</w:t>
      </w:r>
      <w:r w:rsidR="004510A6">
        <w:t xml:space="preserve">ummarizes options, both those presented by DEQ and </w:t>
      </w:r>
      <w:r w:rsidR="00DF7737">
        <w:t xml:space="preserve">provided by workgroup members on </w:t>
      </w:r>
      <w:proofErr w:type="gramStart"/>
      <w:r w:rsidR="00DF7737">
        <w:t>April 1</w:t>
      </w:r>
      <w:r w:rsidR="00497A3A">
        <w:t>5</w:t>
      </w:r>
      <w:r w:rsidR="00DF7737">
        <w:t>, and</w:t>
      </w:r>
      <w:proofErr w:type="gramEnd"/>
      <w:r w:rsidR="00DF7737">
        <w:t xml:space="preserve"> is a companion document to the matrix of potential options and criteria for consideration. Both will be discussed at the April 28, 2026, meeting of the workgroup.</w:t>
      </w:r>
    </w:p>
    <w:p w14:paraId="3072B303" w14:textId="77777777" w:rsidR="00C60C10" w:rsidRDefault="00C60C10" w:rsidP="00C60C10"/>
    <w:p w14:paraId="5194EDF4" w14:textId="0E139DAF" w:rsidR="00AA3FA1" w:rsidRDefault="00DF7737" w:rsidP="00C60C10">
      <w:pPr>
        <w:pStyle w:val="Heading2"/>
        <w:spacing w:before="0" w:after="0" w:line="276" w:lineRule="auto"/>
      </w:pPr>
      <w:r>
        <w:t>Options for action</w:t>
      </w:r>
    </w:p>
    <w:p w14:paraId="276803FF" w14:textId="1F3FD71C" w:rsidR="00C60C10" w:rsidRDefault="006D738A" w:rsidP="00C60C10">
      <w:pPr>
        <w:spacing w:after="0" w:line="276" w:lineRule="auto"/>
      </w:pPr>
      <w:r>
        <w:t>Following the April 1</w:t>
      </w:r>
      <w:r w:rsidR="00DA58C8">
        <w:t>5</w:t>
      </w:r>
      <w:r>
        <w:t xml:space="preserve"> discussion, at the request of workgroup members, DEQ </w:t>
      </w:r>
      <w:r w:rsidR="00536213">
        <w:t xml:space="preserve">assessed the full brainstormed list of options against the statutory and discretionary criteria relevant to </w:t>
      </w:r>
      <w:r w:rsidR="00C92489">
        <w:t xml:space="preserve">the consideration of glass packaging in Oregon’s modernized recycling system. In doing so, DEQ </w:t>
      </w:r>
      <w:r w:rsidR="001479BA">
        <w:t xml:space="preserve">concluded </w:t>
      </w:r>
      <w:r w:rsidR="00430E90">
        <w:t>that s</w:t>
      </w:r>
      <w:r w:rsidR="002451CA">
        <w:t>everal</w:t>
      </w:r>
      <w:r w:rsidR="00430E90">
        <w:t xml:space="preserve"> options </w:t>
      </w:r>
      <w:r w:rsidR="002451CA">
        <w:t xml:space="preserve">could be </w:t>
      </w:r>
      <w:r w:rsidR="0091615A">
        <w:t xml:space="preserve">held back </w:t>
      </w:r>
      <w:r w:rsidR="002451CA">
        <w:t>from further evaluation</w:t>
      </w:r>
      <w:r w:rsidR="00430E90">
        <w:t>, including</w:t>
      </w:r>
      <w:r w:rsidR="002451CA">
        <w:t xml:space="preserve"> the following</w:t>
      </w:r>
      <w:r w:rsidR="00430E90">
        <w:t>:</w:t>
      </w:r>
    </w:p>
    <w:p w14:paraId="15E61076" w14:textId="7067C408" w:rsidR="00323F5B" w:rsidRPr="00323F5B" w:rsidRDefault="00323F5B" w:rsidP="00323F5B">
      <w:pPr>
        <w:pStyle w:val="ListParagraph"/>
        <w:numPr>
          <w:ilvl w:val="0"/>
          <w:numId w:val="21"/>
        </w:numPr>
        <w:spacing w:after="0" w:line="276" w:lineRule="auto"/>
      </w:pPr>
      <w:r w:rsidRPr="0097721E">
        <w:rPr>
          <w:rFonts w:cs="Arial"/>
          <w:b/>
          <w:bCs/>
          <w:szCs w:val="22"/>
        </w:rPr>
        <w:t>Remove the SIM designation on glass packaging</w:t>
      </w:r>
      <w:r>
        <w:rPr>
          <w:rFonts w:cs="Arial"/>
          <w:b/>
          <w:bCs/>
          <w:szCs w:val="22"/>
        </w:rPr>
        <w:t xml:space="preserve"> – </w:t>
      </w:r>
      <w:r>
        <w:rPr>
          <w:rFonts w:cs="Arial"/>
          <w:szCs w:val="22"/>
        </w:rPr>
        <w:t>This action was completed April 1, 2026, and is no longer applicable</w:t>
      </w:r>
      <w:r w:rsidR="00AA610C">
        <w:rPr>
          <w:rFonts w:cs="Arial"/>
          <w:szCs w:val="22"/>
        </w:rPr>
        <w:t>.</w:t>
      </w:r>
    </w:p>
    <w:p w14:paraId="66F3F7FA" w14:textId="73060BCA" w:rsidR="00AA610C" w:rsidRPr="00AA610C" w:rsidRDefault="0091615A" w:rsidP="00323F5B">
      <w:pPr>
        <w:pStyle w:val="ListParagraph"/>
        <w:numPr>
          <w:ilvl w:val="0"/>
          <w:numId w:val="21"/>
        </w:numPr>
        <w:spacing w:after="0" w:line="276" w:lineRule="auto"/>
      </w:pPr>
      <w:r>
        <w:rPr>
          <w:rFonts w:cs="Arial"/>
          <w:b/>
          <w:bCs/>
          <w:szCs w:val="22"/>
        </w:rPr>
        <w:t>D</w:t>
      </w:r>
      <w:r w:rsidR="00DF5E11" w:rsidRPr="00AE0951">
        <w:rPr>
          <w:rFonts w:cs="Arial"/>
          <w:b/>
          <w:bCs/>
          <w:szCs w:val="22"/>
        </w:rPr>
        <w:t>ivert collected glass to alternative markets</w:t>
      </w:r>
      <w:r>
        <w:rPr>
          <w:rFonts w:cs="Arial"/>
          <w:b/>
          <w:bCs/>
          <w:szCs w:val="22"/>
        </w:rPr>
        <w:t xml:space="preserve"> such as fill</w:t>
      </w:r>
      <w:r w:rsidR="00DF5E11" w:rsidRPr="00AE0951">
        <w:rPr>
          <w:rFonts w:cs="Arial"/>
          <w:b/>
          <w:bCs/>
          <w:szCs w:val="22"/>
        </w:rPr>
        <w:t xml:space="preserve"> –</w:t>
      </w:r>
      <w:r w:rsidR="00DF5E11" w:rsidRPr="00AE0951">
        <w:rPr>
          <w:rFonts w:cs="Arial"/>
          <w:szCs w:val="22"/>
        </w:rPr>
        <w:t xml:space="preserve"> DEQ determined th</w:t>
      </w:r>
      <w:r w:rsidR="0012086D">
        <w:rPr>
          <w:rFonts w:cs="Arial"/>
          <w:szCs w:val="22"/>
        </w:rPr>
        <w:t xml:space="preserve">at this is </w:t>
      </w:r>
      <w:r w:rsidR="00DF5E11" w:rsidRPr="00AE0951">
        <w:rPr>
          <w:rFonts w:cs="Arial"/>
          <w:szCs w:val="22"/>
        </w:rPr>
        <w:t>inconsistent with the State of Oregon’s policy for hierarchy of uses</w:t>
      </w:r>
      <w:r w:rsidR="0012086D">
        <w:rPr>
          <w:rFonts w:cs="Arial"/>
          <w:szCs w:val="22"/>
        </w:rPr>
        <w:t xml:space="preserve"> (ORS 459.015(2))</w:t>
      </w:r>
      <w:r w:rsidR="00DF5E11" w:rsidRPr="00AE0951">
        <w:rPr>
          <w:rFonts w:cs="Arial"/>
          <w:szCs w:val="22"/>
        </w:rPr>
        <w:t>, as it would likely divert glass packaging to low-value</w:t>
      </w:r>
      <w:r w:rsidR="00FE5495">
        <w:rPr>
          <w:rFonts w:cs="Arial"/>
          <w:szCs w:val="22"/>
        </w:rPr>
        <w:t xml:space="preserve"> (and low-benefit)</w:t>
      </w:r>
      <w:r w:rsidR="00DF5E11" w:rsidRPr="00AE0951">
        <w:rPr>
          <w:rFonts w:cs="Arial"/>
          <w:szCs w:val="22"/>
        </w:rPr>
        <w:t xml:space="preserve"> uses</w:t>
      </w:r>
      <w:r w:rsidR="006C0A4C">
        <w:rPr>
          <w:rFonts w:cs="Arial"/>
          <w:szCs w:val="22"/>
        </w:rPr>
        <w:t xml:space="preserve">. In addition, it could undermine public confidence in recycling. </w:t>
      </w:r>
    </w:p>
    <w:p w14:paraId="7984C719" w14:textId="4D4D5AA2" w:rsidR="000160F8" w:rsidRPr="000160F8" w:rsidRDefault="00AA610C" w:rsidP="00323F5B">
      <w:pPr>
        <w:pStyle w:val="ListParagraph"/>
        <w:numPr>
          <w:ilvl w:val="0"/>
          <w:numId w:val="21"/>
        </w:numPr>
        <w:spacing w:after="0" w:line="276" w:lineRule="auto"/>
      </w:pPr>
      <w:r w:rsidRPr="00AA610C">
        <w:rPr>
          <w:rFonts w:cs="Arial"/>
          <w:b/>
          <w:bCs/>
          <w:szCs w:val="22"/>
        </w:rPr>
        <w:t xml:space="preserve">New rules to require </w:t>
      </w:r>
      <w:r w:rsidR="008F73B9">
        <w:rPr>
          <w:rFonts w:cs="Arial"/>
          <w:b/>
          <w:bCs/>
          <w:szCs w:val="22"/>
        </w:rPr>
        <w:t>PROs</w:t>
      </w:r>
      <w:r w:rsidRPr="00AA610C">
        <w:rPr>
          <w:rFonts w:cs="Arial"/>
          <w:b/>
          <w:bCs/>
          <w:szCs w:val="22"/>
        </w:rPr>
        <w:t xml:space="preserve"> </w:t>
      </w:r>
      <w:r w:rsidR="00382049">
        <w:rPr>
          <w:rFonts w:cs="Arial"/>
          <w:b/>
          <w:bCs/>
          <w:szCs w:val="22"/>
        </w:rPr>
        <w:t>to ensure</w:t>
      </w:r>
      <w:r w:rsidRPr="00AA610C">
        <w:rPr>
          <w:rFonts w:cs="Arial"/>
          <w:b/>
          <w:bCs/>
          <w:szCs w:val="22"/>
        </w:rPr>
        <w:t xml:space="preserve"> parity of cost</w:t>
      </w:r>
      <w:r w:rsidR="008F73B9">
        <w:rPr>
          <w:rFonts w:cs="Arial"/>
          <w:b/>
          <w:bCs/>
          <w:szCs w:val="22"/>
        </w:rPr>
        <w:t xml:space="preserve"> (price)</w:t>
      </w:r>
      <w:r w:rsidRPr="00AA610C">
        <w:rPr>
          <w:rFonts w:cs="Arial"/>
          <w:b/>
          <w:bCs/>
          <w:szCs w:val="22"/>
        </w:rPr>
        <w:t xml:space="preserve"> implications across material type –</w:t>
      </w:r>
      <w:r>
        <w:rPr>
          <w:rFonts w:cs="Arial"/>
          <w:szCs w:val="22"/>
        </w:rPr>
        <w:t xml:space="preserve"> This is outside the scope of current rulemaking and </w:t>
      </w:r>
      <w:r w:rsidR="00405892">
        <w:rPr>
          <w:rFonts w:cs="Arial"/>
          <w:szCs w:val="22"/>
        </w:rPr>
        <w:t xml:space="preserve">likely would run contrary to the requirements of ORS 459A.884; </w:t>
      </w:r>
      <w:r>
        <w:rPr>
          <w:rFonts w:cs="Arial"/>
          <w:szCs w:val="22"/>
        </w:rPr>
        <w:t>however, policy questions like this proposal will be kept by DEQ for potential future consideration by the Oregon Recycling System Advisory Council.</w:t>
      </w:r>
    </w:p>
    <w:p w14:paraId="244B6765" w14:textId="143F31B7" w:rsidR="00323F5B" w:rsidRPr="000160F8" w:rsidRDefault="000160F8" w:rsidP="00323F5B">
      <w:pPr>
        <w:pStyle w:val="ListParagraph"/>
        <w:numPr>
          <w:ilvl w:val="0"/>
          <w:numId w:val="21"/>
        </w:numPr>
        <w:spacing w:after="0" w:line="276" w:lineRule="auto"/>
        <w:rPr>
          <w:b/>
          <w:bCs/>
        </w:rPr>
      </w:pPr>
      <w:r w:rsidRPr="000160F8">
        <w:rPr>
          <w:rFonts w:cs="Arial"/>
          <w:b/>
          <w:bCs/>
          <w:szCs w:val="22"/>
        </w:rPr>
        <w:t>Hybrid system: Limited on-route/curbside (potentially related to population), continue to collect commercial both based on density with hub-and-spoke style depot model for less densely populated areas</w:t>
      </w:r>
      <w:r>
        <w:rPr>
          <w:rFonts w:cs="Arial"/>
          <w:b/>
          <w:bCs/>
          <w:szCs w:val="22"/>
        </w:rPr>
        <w:t xml:space="preserve"> – </w:t>
      </w:r>
      <w:r w:rsidR="00F90B16">
        <w:rPr>
          <w:rFonts w:cs="Arial"/>
          <w:szCs w:val="22"/>
        </w:rPr>
        <w:t>This proposed solution combines several options</w:t>
      </w:r>
      <w:r w:rsidR="00923E14">
        <w:rPr>
          <w:rFonts w:cs="Arial"/>
          <w:szCs w:val="22"/>
        </w:rPr>
        <w:t xml:space="preserve">; </w:t>
      </w:r>
      <w:r w:rsidR="002E5888">
        <w:rPr>
          <w:rFonts w:cs="Arial"/>
          <w:szCs w:val="22"/>
        </w:rPr>
        <w:t xml:space="preserve">for the purposes of this Technical Workgroup </w:t>
      </w:r>
      <w:r w:rsidR="00923E14">
        <w:rPr>
          <w:rFonts w:cs="Arial"/>
          <w:szCs w:val="22"/>
        </w:rPr>
        <w:t xml:space="preserve">DEQ </w:t>
      </w:r>
      <w:r w:rsidR="002E5888">
        <w:rPr>
          <w:rFonts w:cs="Arial"/>
          <w:szCs w:val="22"/>
        </w:rPr>
        <w:t xml:space="preserve">wants to evaluate options in isolation, without bundling </w:t>
      </w:r>
      <w:r w:rsidR="004E235F">
        <w:rPr>
          <w:rFonts w:cs="Arial"/>
          <w:szCs w:val="22"/>
        </w:rPr>
        <w:t xml:space="preserve">them </w:t>
      </w:r>
      <w:r w:rsidR="002E5888">
        <w:rPr>
          <w:rFonts w:cs="Arial"/>
          <w:szCs w:val="22"/>
        </w:rPr>
        <w:t xml:space="preserve">into hybrid options (at this time). There are far too many possible permutations of combined options to assess, but once assessment of individual options is completed, DEQ expects to consider a smaller number of hybrid options (including potentially the one suggested) with the Oregon Recycling System Advisory Council and/or </w:t>
      </w:r>
      <w:r w:rsidR="00E72DE7">
        <w:rPr>
          <w:rFonts w:cs="Arial"/>
          <w:szCs w:val="22"/>
        </w:rPr>
        <w:t>the Rulemaking Advisory Committee</w:t>
      </w:r>
      <w:r w:rsidR="002E5888">
        <w:rPr>
          <w:rFonts w:cs="Arial"/>
          <w:szCs w:val="22"/>
        </w:rPr>
        <w:t>,</w:t>
      </w:r>
      <w:r w:rsidR="00E72DE7">
        <w:rPr>
          <w:rFonts w:cs="Arial"/>
          <w:szCs w:val="22"/>
        </w:rPr>
        <w:t xml:space="preserve"> following the conclusion of the workgroup.</w:t>
      </w:r>
      <w:r w:rsidR="00323F5B" w:rsidRPr="000160F8">
        <w:rPr>
          <w:rFonts w:cs="Arial"/>
          <w:b/>
          <w:bCs/>
          <w:szCs w:val="22"/>
        </w:rPr>
        <w:br/>
      </w:r>
    </w:p>
    <w:p w14:paraId="4934E5FA" w14:textId="68D92603" w:rsidR="0097721E" w:rsidRDefault="00A11558" w:rsidP="00C60C10">
      <w:r>
        <w:t>After considering DEQ’s original list of options, additional options suggested by TWG members in discussion on April 1</w:t>
      </w:r>
      <w:r w:rsidR="00DA58C8">
        <w:t>5</w:t>
      </w:r>
      <w:r>
        <w:t>, and one new option subsequently identified by DEQ, and then after removing the options listed above, DEQ has prepared a revised list of options for further evaluation.</w:t>
      </w:r>
      <w:r w:rsidR="00AE2B69">
        <w:t xml:space="preserve"> </w:t>
      </w:r>
      <w:r w:rsidR="00D56CCE">
        <w:t>Options</w:t>
      </w:r>
      <w:r w:rsidR="00F40F62">
        <w:t xml:space="preserve"> are grouped below based on </w:t>
      </w:r>
      <w:r w:rsidR="00F40F62">
        <w:lastRenderedPageBreak/>
        <w:t>general categories of the changes</w:t>
      </w:r>
      <w:r w:rsidR="006D4FC4">
        <w:t>, and the order of the potential actions does not indicate any preference or ranking by DEQ</w:t>
      </w:r>
      <w:r w:rsidR="00F46EC7">
        <w:t>.</w:t>
      </w:r>
      <w:r>
        <w:t xml:space="preserve"> </w:t>
      </w:r>
      <w:r w:rsidR="00FA2DD4">
        <w:t xml:space="preserve">Many options could also be combined with other options to create a much larger number of hybrid combinations. These are not described or evaluated separately. </w:t>
      </w:r>
      <w:r>
        <w:t>Please also note that the number</w:t>
      </w:r>
      <w:r w:rsidR="00FA2DD4">
        <w:t>s</w:t>
      </w:r>
      <w:r>
        <w:t xml:space="preserve"> used below do not correlate with the original numbered list provided in advance of the April 1</w:t>
      </w:r>
      <w:r w:rsidR="00DA58C8">
        <w:t>5</w:t>
      </w:r>
      <w:r>
        <w:t xml:space="preserve"> workgroup meeting. </w:t>
      </w:r>
    </w:p>
    <w:p w14:paraId="30E4F884" w14:textId="77777777" w:rsidR="008C7324" w:rsidRDefault="008C7324" w:rsidP="00C60C10"/>
    <w:p w14:paraId="561F752E" w14:textId="77777777" w:rsidR="00C60C10" w:rsidRDefault="00C60C10" w:rsidP="00600049">
      <w:pPr>
        <w:pStyle w:val="Heading4"/>
      </w:pPr>
      <w:r>
        <w:t>Options involving local government mandates:</w:t>
      </w:r>
    </w:p>
    <w:p w14:paraId="7B33F765" w14:textId="77777777" w:rsidR="00207118" w:rsidRPr="00207118" w:rsidRDefault="00C60C10" w:rsidP="00207118">
      <w:pPr>
        <w:pStyle w:val="ListParagraph"/>
        <w:numPr>
          <w:ilvl w:val="0"/>
          <w:numId w:val="17"/>
        </w:numPr>
        <w:spacing w:after="160"/>
        <w:rPr>
          <w:u w:val="single"/>
        </w:rPr>
      </w:pPr>
      <w:r w:rsidRPr="00207118">
        <w:t xml:space="preserve">Place glass packaging on the Local Government Recycling Acceptance List (statewide) and designate it for the Uniform Statewide Collection List </w:t>
      </w:r>
    </w:p>
    <w:p w14:paraId="25ACBC31" w14:textId="77777777" w:rsidR="00D55DC5" w:rsidRPr="00F41BB1" w:rsidRDefault="00D160B5" w:rsidP="00C60C10">
      <w:pPr>
        <w:pStyle w:val="ListParagraph"/>
        <w:numPr>
          <w:ilvl w:val="0"/>
          <w:numId w:val="17"/>
        </w:numPr>
        <w:spacing w:after="160"/>
        <w:rPr>
          <w:u w:val="single"/>
        </w:rPr>
      </w:pPr>
      <w:r w:rsidRPr="00207118">
        <w:t>Place glass packaging on the Local Government Recycling Acceptance List but exclude it from the Uniform Statewide Collection List – with five variations</w:t>
      </w:r>
      <w:r w:rsidR="00D55DC5">
        <w:t>:</w:t>
      </w:r>
    </w:p>
    <w:p w14:paraId="12DC9459" w14:textId="6D94263E" w:rsidR="00115182" w:rsidRPr="00F41BB1" w:rsidRDefault="00115182" w:rsidP="00D55DC5">
      <w:pPr>
        <w:pStyle w:val="ListParagraph"/>
        <w:numPr>
          <w:ilvl w:val="1"/>
          <w:numId w:val="17"/>
        </w:numPr>
        <w:spacing w:after="160"/>
        <w:rPr>
          <w:u w:val="single"/>
        </w:rPr>
      </w:pPr>
      <w:r>
        <w:t>Statewide on-route collection mandate (</w:t>
      </w:r>
      <w:r w:rsidR="00AC06A9">
        <w:t>for existing programs, no change in frequency; for new programs, low freque</w:t>
      </w:r>
      <w:r w:rsidR="00AE2B69">
        <w:t>n</w:t>
      </w:r>
      <w:r w:rsidR="00AC06A9">
        <w:t>cy</w:t>
      </w:r>
      <w:r>
        <w:t>)</w:t>
      </w:r>
    </w:p>
    <w:p w14:paraId="57CB9742" w14:textId="77777777" w:rsidR="00115182" w:rsidRPr="00F41BB1" w:rsidRDefault="00115182" w:rsidP="00D55DC5">
      <w:pPr>
        <w:pStyle w:val="ListParagraph"/>
        <w:numPr>
          <w:ilvl w:val="1"/>
          <w:numId w:val="17"/>
        </w:numPr>
        <w:spacing w:after="160"/>
        <w:rPr>
          <w:u w:val="single"/>
        </w:rPr>
      </w:pPr>
      <w:r>
        <w:t>Statewide on-route collection mandate (low frequency)</w:t>
      </w:r>
    </w:p>
    <w:p w14:paraId="7EBE0031" w14:textId="4F6B05C8" w:rsidR="00115182" w:rsidRPr="00F41BB1" w:rsidRDefault="00115182" w:rsidP="00D55DC5">
      <w:pPr>
        <w:pStyle w:val="ListParagraph"/>
        <w:numPr>
          <w:ilvl w:val="1"/>
          <w:numId w:val="17"/>
        </w:numPr>
        <w:spacing w:after="160"/>
        <w:rPr>
          <w:u w:val="single"/>
        </w:rPr>
      </w:pPr>
      <w:r>
        <w:t>Statewide on-route collection mandate, but only for commercial sources</w:t>
      </w:r>
    </w:p>
    <w:p w14:paraId="0E29FCED" w14:textId="77777777" w:rsidR="00115182" w:rsidRPr="00F41BB1" w:rsidRDefault="00115182" w:rsidP="00D55DC5">
      <w:pPr>
        <w:pStyle w:val="ListParagraph"/>
        <w:numPr>
          <w:ilvl w:val="1"/>
          <w:numId w:val="17"/>
        </w:numPr>
        <w:spacing w:after="160"/>
        <w:rPr>
          <w:u w:val="single"/>
        </w:rPr>
      </w:pPr>
      <w:r>
        <w:t>Collection mandate for certain communities, based on location (distance to collection point and/or end market)</w:t>
      </w:r>
    </w:p>
    <w:p w14:paraId="0239A2F5" w14:textId="42C033DB" w:rsidR="00F40F62" w:rsidRPr="00115182" w:rsidRDefault="00115182" w:rsidP="00F41BB1">
      <w:pPr>
        <w:pStyle w:val="ListParagraph"/>
        <w:numPr>
          <w:ilvl w:val="1"/>
          <w:numId w:val="17"/>
        </w:numPr>
        <w:spacing w:after="160"/>
        <w:rPr>
          <w:u w:val="single"/>
        </w:rPr>
      </w:pPr>
      <w:r>
        <w:t>Collection mandate for certain communities, based on community population</w:t>
      </w:r>
      <w:r w:rsidR="00D160B5" w:rsidRPr="00F41BB1">
        <w:rPr>
          <w:b/>
          <w:bCs/>
        </w:rPr>
        <w:t xml:space="preserve"> </w:t>
      </w:r>
    </w:p>
    <w:p w14:paraId="3AC2A599" w14:textId="77777777" w:rsidR="007E68F6" w:rsidRPr="00F41BB1" w:rsidRDefault="00C60C10" w:rsidP="00C60C10">
      <w:pPr>
        <w:pStyle w:val="ListParagraph"/>
        <w:numPr>
          <w:ilvl w:val="0"/>
          <w:numId w:val="17"/>
        </w:numPr>
        <w:spacing w:after="160"/>
        <w:rPr>
          <w:u w:val="single"/>
        </w:rPr>
      </w:pPr>
      <w:r w:rsidRPr="00F40F62">
        <w:t>Place glass on the Local Government Recycling Acceptance List (statewide) but only for depot collection</w:t>
      </w:r>
      <w:r w:rsidR="007E68F6">
        <w:t xml:space="preserve"> – with two variations:</w:t>
      </w:r>
    </w:p>
    <w:p w14:paraId="5D78E2D3" w14:textId="7C2FEB37" w:rsidR="007E68F6" w:rsidRPr="00F41BB1" w:rsidRDefault="007E68F6" w:rsidP="007E68F6">
      <w:pPr>
        <w:pStyle w:val="ListParagraph"/>
        <w:numPr>
          <w:ilvl w:val="1"/>
          <w:numId w:val="17"/>
        </w:numPr>
        <w:spacing w:after="160"/>
        <w:rPr>
          <w:u w:val="single"/>
        </w:rPr>
      </w:pPr>
      <w:r>
        <w:t>PRO is simultaneously obligated to meet convenience standard, but not at sites where local governments or their service providers are separately obligated</w:t>
      </w:r>
      <w:r w:rsidR="00021FC5">
        <w:t xml:space="preserve"> (shared responsibility for depots – local governments/service providers operate some, while PRO operates or funds others)</w:t>
      </w:r>
    </w:p>
    <w:p w14:paraId="52BE6CC4" w14:textId="5D0C8F87" w:rsidR="00C60C10" w:rsidRPr="00F41BB1" w:rsidRDefault="007E68F6" w:rsidP="00F41BB1">
      <w:pPr>
        <w:pStyle w:val="ListParagraph"/>
        <w:numPr>
          <w:ilvl w:val="1"/>
          <w:numId w:val="17"/>
        </w:numPr>
        <w:spacing w:after="160"/>
        <w:rPr>
          <w:u w:val="single"/>
        </w:rPr>
      </w:pPr>
      <w:r>
        <w:t>PRO has no obligation to meet convenience standards</w:t>
      </w:r>
      <w:r w:rsidR="0097721E" w:rsidRPr="00F41BB1">
        <w:rPr>
          <w:u w:val="single"/>
        </w:rPr>
        <w:br/>
      </w:r>
    </w:p>
    <w:p w14:paraId="6E5F6B00" w14:textId="24086A29" w:rsidR="00C60C10" w:rsidRPr="009967E8" w:rsidRDefault="00D40DA1" w:rsidP="00600049">
      <w:pPr>
        <w:pStyle w:val="Heading4"/>
        <w:rPr>
          <w:rStyle w:val="Heading3Char"/>
          <w:bCs w:val="0"/>
          <w:sz w:val="24"/>
          <w:szCs w:val="24"/>
        </w:rPr>
      </w:pPr>
      <w:r>
        <w:rPr>
          <w:rStyle w:val="Heading3Char"/>
          <w:b/>
          <w:bCs w:val="0"/>
          <w:sz w:val="24"/>
          <w:szCs w:val="24"/>
        </w:rPr>
        <w:t>Additional o</w:t>
      </w:r>
      <w:r w:rsidR="00C60C10" w:rsidRPr="009967E8">
        <w:rPr>
          <w:rStyle w:val="Heading3Char"/>
          <w:b/>
          <w:bCs w:val="0"/>
          <w:sz w:val="24"/>
          <w:szCs w:val="24"/>
        </w:rPr>
        <w:t xml:space="preserve">ptions </w:t>
      </w:r>
      <w:r>
        <w:rPr>
          <w:rStyle w:val="Heading3Char"/>
          <w:b/>
          <w:bCs w:val="0"/>
          <w:sz w:val="24"/>
          <w:szCs w:val="24"/>
        </w:rPr>
        <w:t xml:space="preserve">(additional to 3a) </w:t>
      </w:r>
      <w:r w:rsidR="00C60C10" w:rsidRPr="009967E8">
        <w:rPr>
          <w:rStyle w:val="Heading3Char"/>
          <w:b/>
          <w:bCs w:val="0"/>
          <w:sz w:val="24"/>
          <w:szCs w:val="24"/>
        </w:rPr>
        <w:t xml:space="preserve">where glass packaging </w:t>
      </w:r>
      <w:r w:rsidR="009967E8">
        <w:rPr>
          <w:rStyle w:val="Heading3Char"/>
          <w:b/>
          <w:bCs w:val="0"/>
          <w:sz w:val="24"/>
          <w:szCs w:val="24"/>
        </w:rPr>
        <w:t>remains</w:t>
      </w:r>
      <w:r w:rsidR="00C60C10" w:rsidRPr="009967E8">
        <w:rPr>
          <w:rStyle w:val="Heading3Char"/>
          <w:b/>
          <w:bCs w:val="0"/>
          <w:sz w:val="24"/>
          <w:szCs w:val="24"/>
        </w:rPr>
        <w:t xml:space="preserve"> on the PRO Recycling Acceptance List</w:t>
      </w:r>
    </w:p>
    <w:p w14:paraId="0AD156F2" w14:textId="77777777" w:rsidR="006D4FC4" w:rsidRPr="006D4FC4" w:rsidRDefault="00C60C10" w:rsidP="00C60C10">
      <w:pPr>
        <w:pStyle w:val="ListParagraph"/>
        <w:numPr>
          <w:ilvl w:val="0"/>
          <w:numId w:val="17"/>
        </w:numPr>
        <w:spacing w:after="160"/>
        <w:rPr>
          <w:i/>
          <w:iCs/>
        </w:rPr>
      </w:pPr>
      <w:r w:rsidRPr="006D4FC4">
        <w:t>Maintain glass packaging on the PRO Recycling Acceptance List, but reduce the convenience standard</w:t>
      </w:r>
    </w:p>
    <w:p w14:paraId="498A2429" w14:textId="71DD59EB" w:rsidR="00C60C10" w:rsidRPr="006D4FC4" w:rsidRDefault="003036FA" w:rsidP="00C60C10">
      <w:pPr>
        <w:pStyle w:val="ListParagraph"/>
        <w:numPr>
          <w:ilvl w:val="0"/>
          <w:numId w:val="17"/>
        </w:numPr>
        <w:spacing w:after="160"/>
        <w:rPr>
          <w:i/>
          <w:iCs/>
        </w:rPr>
      </w:pPr>
      <w:r>
        <w:t>Maintain glass packaging on the PRO Recycling Acceptance List, but r</w:t>
      </w:r>
      <w:r w:rsidR="00C60C10" w:rsidRPr="006D4FC4">
        <w:t>e-examine the on-route collection subsidy</w:t>
      </w:r>
      <w:r w:rsidR="0097721E" w:rsidRPr="006D4FC4">
        <w:rPr>
          <w:u w:val="single"/>
        </w:rPr>
        <w:br/>
      </w:r>
    </w:p>
    <w:p w14:paraId="539A21A5" w14:textId="6E6D714F" w:rsidR="00C60C10" w:rsidRPr="00BE0DC4" w:rsidRDefault="00C60C10" w:rsidP="00600049">
      <w:pPr>
        <w:pStyle w:val="Heading4"/>
      </w:pPr>
      <w:r w:rsidRPr="00BE0DC4">
        <w:t>Additional options</w:t>
      </w:r>
    </w:p>
    <w:p w14:paraId="69711562" w14:textId="53CF80F5" w:rsidR="001578E4" w:rsidRPr="001578E4" w:rsidRDefault="00C60C10" w:rsidP="2B5DC901">
      <w:pPr>
        <w:pStyle w:val="ListParagraph"/>
        <w:numPr>
          <w:ilvl w:val="0"/>
          <w:numId w:val="17"/>
        </w:numPr>
        <w:spacing w:after="160"/>
        <w:rPr>
          <w:rFonts w:cs="Arial"/>
        </w:rPr>
      </w:pPr>
      <w:r w:rsidRPr="001578E4">
        <w:rPr>
          <w:rFonts w:cs="Arial"/>
          <w:szCs w:val="22"/>
        </w:rPr>
        <w:t>Build out a “hub-and-spoke” collection infrastructure to reduce transportation costs</w:t>
      </w:r>
      <w:r w:rsidR="00F46EC7" w:rsidRPr="001578E4">
        <w:rPr>
          <w:rFonts w:cs="Arial"/>
          <w:szCs w:val="22"/>
        </w:rPr>
        <w:t xml:space="preserve"> </w:t>
      </w:r>
      <w:r w:rsidR="00327E5C">
        <w:rPr>
          <w:rFonts w:cs="Arial"/>
          <w:szCs w:val="22"/>
        </w:rPr>
        <w:t>(possibly in coordination with OBRC)</w:t>
      </w:r>
    </w:p>
    <w:p w14:paraId="2818D1A0" w14:textId="6633B9F0" w:rsidR="00C60C10" w:rsidRPr="001578E4" w:rsidRDefault="00C60C10" w:rsidP="2B5DC901">
      <w:pPr>
        <w:pStyle w:val="ListParagraph"/>
        <w:numPr>
          <w:ilvl w:val="0"/>
          <w:numId w:val="17"/>
        </w:numPr>
        <w:spacing w:after="160"/>
        <w:rPr>
          <w:rFonts w:cs="Arial"/>
        </w:rPr>
      </w:pPr>
      <w:r w:rsidRPr="001578E4">
        <w:rPr>
          <w:rFonts w:cs="Arial"/>
        </w:rPr>
        <w:t xml:space="preserve">Remove glass packaging from </w:t>
      </w:r>
      <w:proofErr w:type="gramStart"/>
      <w:r w:rsidRPr="001578E4">
        <w:rPr>
          <w:rFonts w:cs="Arial"/>
        </w:rPr>
        <w:t>any and all</w:t>
      </w:r>
      <w:proofErr w:type="gramEnd"/>
      <w:r w:rsidRPr="001578E4">
        <w:rPr>
          <w:rFonts w:cs="Arial"/>
        </w:rPr>
        <w:t xml:space="preserve"> recycling collection lists</w:t>
      </w:r>
    </w:p>
    <w:p w14:paraId="17F12C09" w14:textId="18716CB8" w:rsidR="001578E4" w:rsidRPr="001578E4" w:rsidRDefault="001578E4" w:rsidP="2B5DC901">
      <w:pPr>
        <w:pStyle w:val="ListParagraph"/>
        <w:numPr>
          <w:ilvl w:val="0"/>
          <w:numId w:val="17"/>
        </w:numPr>
        <w:spacing w:after="160"/>
        <w:rPr>
          <w:rFonts w:cs="Arial"/>
        </w:rPr>
      </w:pPr>
      <w:r w:rsidRPr="001578E4">
        <w:rPr>
          <w:rFonts w:cs="Arial"/>
        </w:rPr>
        <w:t>Changes to transportation reimbursements</w:t>
      </w:r>
      <w:r>
        <w:rPr>
          <w:rFonts w:cs="Arial"/>
        </w:rPr>
        <w:t xml:space="preserve"> – this option was not previously discussed by workgroup members, and DEQ will provide a short summary at the April 28 meeting, in addition to the information contained in the matrix included here as Attachment A.</w:t>
      </w:r>
    </w:p>
    <w:p w14:paraId="5B2EA89C" w14:textId="77777777" w:rsidR="00C60C10" w:rsidRDefault="00C60C10" w:rsidP="00C60C10">
      <w:pPr>
        <w:rPr>
          <w:u w:val="single"/>
        </w:rPr>
      </w:pPr>
    </w:p>
    <w:p w14:paraId="6FA0FA5D" w14:textId="139DAD97" w:rsidR="000E319C" w:rsidRDefault="000E319C" w:rsidP="000E319C">
      <w:pPr>
        <w:pStyle w:val="Heading2"/>
        <w:spacing w:before="0" w:after="0" w:line="276" w:lineRule="auto"/>
      </w:pPr>
      <w:r>
        <w:t>Question</w:t>
      </w:r>
      <w:r w:rsidR="007B57F5">
        <w:t>s</w:t>
      </w:r>
      <w:r>
        <w:t xml:space="preserve"> for workgroup member consideration</w:t>
      </w:r>
    </w:p>
    <w:p w14:paraId="5A5820DA" w14:textId="77777777" w:rsidR="00181591" w:rsidRPr="00F41BB1" w:rsidRDefault="00181591" w:rsidP="007B57F5">
      <w:pPr>
        <w:pStyle w:val="ListParagraph"/>
        <w:numPr>
          <w:ilvl w:val="0"/>
          <w:numId w:val="22"/>
        </w:numPr>
        <w:rPr>
          <w:b/>
          <w:bCs/>
        </w:rPr>
      </w:pPr>
      <w:r>
        <w:t>What comments do you have on DEQ’s initial assessment of options, included here as Attachment A?</w:t>
      </w:r>
    </w:p>
    <w:p w14:paraId="10C49D41" w14:textId="454589E8" w:rsidR="00E31CEC" w:rsidRPr="00F41BB1" w:rsidRDefault="00E31CEC" w:rsidP="007B57F5">
      <w:pPr>
        <w:pStyle w:val="ListParagraph"/>
        <w:numPr>
          <w:ilvl w:val="0"/>
          <w:numId w:val="22"/>
        </w:numPr>
        <w:rPr>
          <w:b/>
          <w:bCs/>
        </w:rPr>
      </w:pPr>
      <w:r>
        <w:t xml:space="preserve">For the communities in Oregon with which you are well acquainted, how do you anticipate they might respond to these options? </w:t>
      </w:r>
    </w:p>
    <w:p w14:paraId="2437E96F" w14:textId="5A9D563D" w:rsidR="00E31CEC" w:rsidRPr="00F41BB1" w:rsidRDefault="00FC3A6C" w:rsidP="00E31CEC">
      <w:pPr>
        <w:pStyle w:val="ListParagraph"/>
        <w:numPr>
          <w:ilvl w:val="0"/>
          <w:numId w:val="22"/>
        </w:numPr>
        <w:rPr>
          <w:b/>
          <w:bCs/>
        </w:rPr>
      </w:pPr>
      <w:r>
        <w:lastRenderedPageBreak/>
        <w:t>What data or information do you, or your organization</w:t>
      </w:r>
      <w:r w:rsidR="00DE4413">
        <w:t>, currently have that would help inform</w:t>
      </w:r>
      <w:r w:rsidR="00181591">
        <w:t xml:space="preserve"> DEQ’s </w:t>
      </w:r>
      <w:r w:rsidR="003A0E6F">
        <w:t>evaluation</w:t>
      </w:r>
      <w:r w:rsidR="00DE4413">
        <w:t xml:space="preserve"> of the various options</w:t>
      </w:r>
      <w:r w:rsidR="000E2264">
        <w:t xml:space="preserve">, especially </w:t>
      </w:r>
      <w:proofErr w:type="gramStart"/>
      <w:r w:rsidR="000E2264">
        <w:t>with regard to</w:t>
      </w:r>
      <w:proofErr w:type="gramEnd"/>
      <w:r w:rsidR="000E2264">
        <w:t xml:space="preserve"> costs (to service providers/rate payers and PRO/producers), contamination, material flows (tonnages) and environmental impacts</w:t>
      </w:r>
      <w:r w:rsidR="00DE4413">
        <w:t>?</w:t>
      </w:r>
    </w:p>
    <w:p w14:paraId="5B9C5A7A" w14:textId="113B435D" w:rsidR="00DE4413" w:rsidRPr="007B57F5" w:rsidRDefault="00DE4413" w:rsidP="007B57F5">
      <w:pPr>
        <w:pStyle w:val="ListParagraph"/>
        <w:numPr>
          <w:ilvl w:val="0"/>
          <w:numId w:val="22"/>
        </w:numPr>
        <w:rPr>
          <w:b/>
          <w:bCs/>
        </w:rPr>
      </w:pPr>
      <w:r>
        <w:t>What other data sources would you recommend to DEQ as it considers the development of potential rule concepts that would help meet the objective of reduci</w:t>
      </w:r>
      <w:r w:rsidR="00E62339">
        <w:t>ng costs to the producers of glass packaging within the shared-responsibility model of Oregon’s Recycling Modernization Act</w:t>
      </w:r>
      <w:r w:rsidR="00371EDE">
        <w:t>?</w:t>
      </w:r>
    </w:p>
    <w:p w14:paraId="4B2543A5" w14:textId="77777777" w:rsidR="000E319C" w:rsidRPr="00371467" w:rsidRDefault="000E319C" w:rsidP="00C60C10">
      <w:pPr>
        <w:rPr>
          <w:u w:val="single"/>
        </w:rPr>
      </w:pPr>
    </w:p>
    <w:p w14:paraId="3C3A48A2" w14:textId="7C6EDFFE" w:rsidR="001050D9" w:rsidRPr="00B30457" w:rsidRDefault="001050D9" w:rsidP="001050D9">
      <w:pPr>
        <w:pStyle w:val="Heading2"/>
      </w:pPr>
      <w:r>
        <w:t>Statutory evaluation criteria</w:t>
      </w:r>
    </w:p>
    <w:p w14:paraId="23013D3B" w14:textId="4CAA33BB" w:rsidR="001050D9" w:rsidRDefault="001050D9" w:rsidP="001050D9">
      <w:pPr>
        <w:rPr>
          <w:rFonts w:cs="Arial"/>
        </w:rPr>
      </w:pPr>
      <w:r>
        <w:rPr>
          <w:rFonts w:cs="Arial"/>
        </w:rPr>
        <w:t>The evaluation criteria contained in Attachment A include many</w:t>
      </w:r>
      <w:r w:rsidR="00174034">
        <w:rPr>
          <w:rFonts w:cs="Arial"/>
        </w:rPr>
        <w:t xml:space="preserve">, </w:t>
      </w:r>
      <w:r>
        <w:rPr>
          <w:rFonts w:cs="Arial"/>
        </w:rPr>
        <w:t>but not all</w:t>
      </w:r>
      <w:r w:rsidR="00174034">
        <w:rPr>
          <w:rFonts w:cs="Arial"/>
        </w:rPr>
        <w:t>,</w:t>
      </w:r>
      <w:r>
        <w:rPr>
          <w:rFonts w:cs="Arial"/>
        </w:rPr>
        <w:t xml:space="preserve"> of the statutory criteria </w:t>
      </w:r>
      <w:r w:rsidR="00055B5F">
        <w:rPr>
          <w:rFonts w:cs="Arial"/>
        </w:rPr>
        <w:t xml:space="preserve">contained </w:t>
      </w:r>
      <w:r>
        <w:rPr>
          <w:rFonts w:cs="Arial"/>
        </w:rPr>
        <w:t>in ORS 459A.914(3)</w:t>
      </w:r>
      <w:r w:rsidR="00055B5F">
        <w:rPr>
          <w:rFonts w:cs="Arial"/>
        </w:rPr>
        <w:t xml:space="preserve"> and described in t</w:t>
      </w:r>
      <w:r w:rsidR="00DA58C8">
        <w:rPr>
          <w:rFonts w:cs="Arial"/>
        </w:rPr>
        <w:t xml:space="preserve">he second background paper prepared in advance of the April 15 meeting. </w:t>
      </w:r>
      <w:r>
        <w:rPr>
          <w:rFonts w:cs="Arial"/>
        </w:rPr>
        <w:t xml:space="preserve"> To these, DEQ has added several more criteria, including </w:t>
      </w:r>
      <w:r w:rsidR="002B7E3A">
        <w:rPr>
          <w:rFonts w:cs="Arial"/>
        </w:rPr>
        <w:t xml:space="preserve">“cost to ratepayers”, “cost to producers”, and “convenience to generators”. </w:t>
      </w:r>
    </w:p>
    <w:p w14:paraId="03FEF6B9" w14:textId="10F3CED5" w:rsidR="00DA58C8" w:rsidRDefault="00AC7228" w:rsidP="001050D9">
      <w:pPr>
        <w:rPr>
          <w:rFonts w:cs="Arial"/>
        </w:rPr>
      </w:pPr>
      <w:r>
        <w:rPr>
          <w:rFonts w:cs="Arial"/>
        </w:rPr>
        <w:t>Several statutory criteria are excluded from Attachment A:</w:t>
      </w:r>
    </w:p>
    <w:p w14:paraId="1035EC53" w14:textId="1F724732" w:rsidR="00AC7228" w:rsidRDefault="00AC7228" w:rsidP="00AC7228">
      <w:pPr>
        <w:pStyle w:val="ListParagraph"/>
        <w:numPr>
          <w:ilvl w:val="0"/>
          <w:numId w:val="23"/>
        </w:numPr>
        <w:rPr>
          <w:rFonts w:cs="Arial"/>
        </w:rPr>
      </w:pPr>
      <w:r>
        <w:rPr>
          <w:rFonts w:cs="Arial"/>
        </w:rPr>
        <w:t xml:space="preserve">“Amount of material available” (ORS 459A.914(3)(e)) was excluded because there is no difference across any of the options. </w:t>
      </w:r>
    </w:p>
    <w:p w14:paraId="0699B998" w14:textId="7403BFA5" w:rsidR="00A5480E" w:rsidRDefault="00A5480E" w:rsidP="00AC7228">
      <w:pPr>
        <w:pStyle w:val="ListParagraph"/>
        <w:numPr>
          <w:ilvl w:val="0"/>
          <w:numId w:val="23"/>
        </w:numPr>
        <w:rPr>
          <w:rFonts w:cs="Arial"/>
        </w:rPr>
      </w:pPr>
      <w:r>
        <w:rPr>
          <w:rFonts w:cs="Arial"/>
        </w:rPr>
        <w:t>“Ability for waste generators to easily identify and property prepare the material” (ORS 459A.914(3)(</w:t>
      </w:r>
      <w:r w:rsidR="00B20CAC">
        <w:rPr>
          <w:rFonts w:cs="Arial"/>
        </w:rPr>
        <w:t xml:space="preserve">h)) was excluded for the same reason. The ability to identify glass and prepare it for recycling is the same regardless of whether the collection infrastructure provides for convenient or inconvenient service, or at a higher or lower cost to the generator. </w:t>
      </w:r>
    </w:p>
    <w:p w14:paraId="7CA9923B" w14:textId="3B7F4016" w:rsidR="00AC7228" w:rsidRPr="00AC7228" w:rsidRDefault="00CF1745" w:rsidP="00F41BB1">
      <w:pPr>
        <w:pStyle w:val="ListParagraph"/>
        <w:numPr>
          <w:ilvl w:val="0"/>
          <w:numId w:val="23"/>
        </w:numPr>
        <w:rPr>
          <w:rFonts w:cs="Arial"/>
        </w:rPr>
      </w:pPr>
      <w:r>
        <w:rPr>
          <w:rFonts w:cs="Arial"/>
        </w:rPr>
        <w:t xml:space="preserve">“The policy expressed in ORS 459.015(2)(a) to (c)” was excluded partially because differences in environmental </w:t>
      </w:r>
      <w:r w:rsidR="005C49D2">
        <w:rPr>
          <w:rFonts w:cs="Arial"/>
        </w:rPr>
        <w:t xml:space="preserve">and well-being </w:t>
      </w:r>
      <w:r>
        <w:rPr>
          <w:rFonts w:cs="Arial"/>
        </w:rPr>
        <w:t xml:space="preserve">outcomes </w:t>
      </w:r>
      <w:r w:rsidR="005C49D2">
        <w:rPr>
          <w:rFonts w:cs="Arial"/>
        </w:rPr>
        <w:t xml:space="preserve">((2)(a)) </w:t>
      </w:r>
      <w:r w:rsidR="00915A2F">
        <w:rPr>
          <w:rFonts w:cs="Arial"/>
        </w:rPr>
        <w:t xml:space="preserve">and potential reductions in material use ((2)(b)) </w:t>
      </w:r>
      <w:r>
        <w:rPr>
          <w:rFonts w:cs="Arial"/>
        </w:rPr>
        <w:t xml:space="preserve">are evaluated using separate criteria, and otherwise </w:t>
      </w:r>
      <w:r w:rsidR="005C49D2">
        <w:rPr>
          <w:rFonts w:cs="Arial"/>
        </w:rPr>
        <w:t>there is no meaningful difference across any of the options when viewed against this criterion.</w:t>
      </w:r>
    </w:p>
    <w:p w14:paraId="740E8540" w14:textId="77777777" w:rsidR="001050D9" w:rsidRDefault="001050D9" w:rsidP="00B30457">
      <w:pPr>
        <w:pStyle w:val="Heading2"/>
      </w:pPr>
    </w:p>
    <w:p w14:paraId="1464F382" w14:textId="192D25C4" w:rsidR="003E2144" w:rsidRPr="00B30457" w:rsidRDefault="003E2144" w:rsidP="00B30457">
      <w:pPr>
        <w:pStyle w:val="Heading2"/>
      </w:pPr>
      <w:r w:rsidRPr="00B30457">
        <w:t>More information</w:t>
      </w:r>
    </w:p>
    <w:p w14:paraId="7FDE7AB8" w14:textId="77777777" w:rsidR="003E2144" w:rsidRPr="003128DA" w:rsidRDefault="003E2144" w:rsidP="003E2144">
      <w:pPr>
        <w:rPr>
          <w:rFonts w:cs="Arial"/>
        </w:rPr>
      </w:pPr>
      <w:r w:rsidRPr="003128DA">
        <w:rPr>
          <w:rFonts w:cs="Arial"/>
        </w:rPr>
        <w:t xml:space="preserve">Contact </w:t>
      </w:r>
      <w:hyperlink r:id="rId12" w:history="1">
        <w:r w:rsidRPr="00FE6CC2">
          <w:rPr>
            <w:rStyle w:val="Hyperlink"/>
            <w:rFonts w:cs="Arial"/>
          </w:rPr>
          <w:t>Stephanie.Caldera@DEQ.Oregon.Gov</w:t>
        </w:r>
      </w:hyperlink>
      <w:r w:rsidRPr="003128DA">
        <w:rPr>
          <w:rFonts w:cs="Arial"/>
        </w:rPr>
        <w:t xml:space="preserve"> or visit DEQ’s </w:t>
      </w:r>
      <w:hyperlink r:id="rId13" w:history="1">
        <w:r w:rsidRPr="003128DA">
          <w:rPr>
            <w:rStyle w:val="Hyperlink"/>
            <w:rFonts w:cs="Arial"/>
          </w:rPr>
          <w:t>Recycling Modernization Act website</w:t>
        </w:r>
      </w:hyperlink>
      <w:r w:rsidRPr="003128DA">
        <w:rPr>
          <w:rFonts w:cs="Arial"/>
        </w:rPr>
        <w:t xml:space="preserve">. </w:t>
      </w:r>
    </w:p>
    <w:p w14:paraId="59BB4C71" w14:textId="48DF7D98" w:rsidR="00FF4A76" w:rsidRDefault="00FF4A76" w:rsidP="008F41E3">
      <w:pPr>
        <w:spacing w:after="60"/>
      </w:pPr>
    </w:p>
    <w:p w14:paraId="6C4EFD72" w14:textId="47E48FD4" w:rsidR="00FF4A76" w:rsidRPr="00FF4A76" w:rsidRDefault="00FF4A76" w:rsidP="00FF4A76">
      <w:pPr>
        <w:pStyle w:val="Heading2"/>
        <w:pBdr>
          <w:top w:val="single" w:sz="4" w:space="1" w:color="auto"/>
        </w:pBdr>
      </w:pPr>
      <w:r w:rsidRPr="00FF4A76">
        <w:t>Non-discrimination statement</w:t>
      </w:r>
    </w:p>
    <w:p w14:paraId="28D006E8" w14:textId="7AD95551" w:rsidR="00AD1846" w:rsidRPr="006A37E2" w:rsidRDefault="00FF4A76" w:rsidP="00FF4A76">
      <w:pPr>
        <w:pStyle w:val="Footnote"/>
        <w:rPr>
          <w:color w:val="000000" w:themeColor="text1"/>
        </w:rPr>
      </w:pPr>
      <w:r w:rsidRPr="006A37E2">
        <w:rPr>
          <w:b w:val="0"/>
          <w:bCs w:val="0"/>
          <w:color w:val="auto"/>
        </w:rPr>
        <w:t>DEQ does not discriminate on the basis of race, color, national origin, disability, age, sex, religion, sexual orientation, gender identity, or marital status in the administration of its programs and activities. For translations or alternate formats, visit DEQ’s</w:t>
      </w:r>
      <w:r w:rsidRPr="006A37E2">
        <w:rPr>
          <w:color w:val="auto"/>
        </w:rPr>
        <w:t> </w:t>
      </w:r>
      <w:hyperlink r:id="rId14" w:tooltip="Civil Rights and Environmental Justice page" w:history="1">
        <w:r w:rsidRPr="006A37E2">
          <w:rPr>
            <w:rStyle w:val="Hyperlink"/>
          </w:rPr>
          <w:t>Civil Rights and Environmental Justice page</w:t>
        </w:r>
      </w:hyperlink>
      <w:r w:rsidRPr="006A37E2">
        <w:rPr>
          <w:color w:val="000000" w:themeColor="text1"/>
        </w:rPr>
        <w:t>.</w:t>
      </w:r>
    </w:p>
    <w:sectPr w:rsidR="00AD1846" w:rsidRPr="006A37E2" w:rsidSect="00FF4A76">
      <w:footerReference w:type="defaul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D24A" w14:textId="77777777" w:rsidR="004B6FFC" w:rsidRDefault="004B6FFC" w:rsidP="008A10E5">
      <w:pPr>
        <w:spacing w:after="0" w:line="240" w:lineRule="auto"/>
      </w:pPr>
      <w:r>
        <w:separator/>
      </w:r>
    </w:p>
  </w:endnote>
  <w:endnote w:type="continuationSeparator" w:id="0">
    <w:p w14:paraId="5B051A4B" w14:textId="77777777" w:rsidR="004B6FFC" w:rsidRDefault="004B6FFC" w:rsidP="008A10E5">
      <w:pPr>
        <w:spacing w:after="0" w:line="240" w:lineRule="auto"/>
      </w:pPr>
      <w:r>
        <w:continuationSeparator/>
      </w:r>
    </w:p>
  </w:endnote>
  <w:endnote w:type="continuationNotice" w:id="1">
    <w:p w14:paraId="2687ED03" w14:textId="77777777" w:rsidR="004B6FFC" w:rsidRDefault="004B6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38625"/>
      <w:docPartObj>
        <w:docPartGallery w:val="Page Numbers (Bottom of Page)"/>
        <w:docPartUnique/>
      </w:docPartObj>
    </w:sdtPr>
    <w:sdtEndPr>
      <w:rPr>
        <w:noProof/>
        <w:sz w:val="20"/>
        <w:szCs w:val="20"/>
      </w:rPr>
    </w:sdtEndPr>
    <w:sdtContent>
      <w:p w14:paraId="4B1A9444" w14:textId="4AF72484" w:rsidR="008A10E5" w:rsidRPr="00FF4A76" w:rsidRDefault="00DB250C" w:rsidP="00FF4A76">
        <w:pPr>
          <w:pStyle w:val="Footer"/>
          <w:spacing w:before="120"/>
          <w:jc w:val="right"/>
          <w:rPr>
            <w:sz w:val="20"/>
            <w:szCs w:val="20"/>
          </w:rPr>
        </w:pPr>
        <w:r w:rsidRPr="00DB250C">
          <w:rPr>
            <w:sz w:val="20"/>
            <w:szCs w:val="20"/>
          </w:rPr>
          <w:fldChar w:fldCharType="begin"/>
        </w:r>
        <w:r w:rsidRPr="00DB250C">
          <w:rPr>
            <w:sz w:val="20"/>
            <w:szCs w:val="20"/>
          </w:rPr>
          <w:instrText xml:space="preserve"> PAGE   \* MERGEFORMAT </w:instrText>
        </w:r>
        <w:r w:rsidRPr="00DB250C">
          <w:rPr>
            <w:sz w:val="20"/>
            <w:szCs w:val="20"/>
          </w:rPr>
          <w:fldChar w:fldCharType="separate"/>
        </w:r>
        <w:r w:rsidRPr="00DB250C">
          <w:rPr>
            <w:noProof/>
            <w:sz w:val="20"/>
            <w:szCs w:val="20"/>
          </w:rPr>
          <w:t>2</w:t>
        </w:r>
        <w:r w:rsidRPr="00DB250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25064"/>
      <w:docPartObj>
        <w:docPartGallery w:val="Page Numbers (Bottom of Page)"/>
        <w:docPartUnique/>
      </w:docPartObj>
    </w:sdtPr>
    <w:sdtEndPr>
      <w:rPr>
        <w:noProof/>
      </w:rPr>
    </w:sdtEndPr>
    <w:sdtContent>
      <w:p w14:paraId="7B30C8AC" w14:textId="4F92E031" w:rsidR="008A10E5" w:rsidRPr="00FF4A76" w:rsidRDefault="00FF4A76" w:rsidP="00FF4A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4046" w14:textId="77777777" w:rsidR="004B6FFC" w:rsidRDefault="004B6FFC" w:rsidP="008A10E5">
      <w:pPr>
        <w:spacing w:after="0" w:line="240" w:lineRule="auto"/>
      </w:pPr>
      <w:r>
        <w:separator/>
      </w:r>
    </w:p>
  </w:footnote>
  <w:footnote w:type="continuationSeparator" w:id="0">
    <w:p w14:paraId="2C46CAE9" w14:textId="77777777" w:rsidR="004B6FFC" w:rsidRDefault="004B6FFC" w:rsidP="008A10E5">
      <w:pPr>
        <w:spacing w:after="0" w:line="240" w:lineRule="auto"/>
      </w:pPr>
      <w:r>
        <w:continuationSeparator/>
      </w:r>
    </w:p>
  </w:footnote>
  <w:footnote w:type="continuationNotice" w:id="1">
    <w:p w14:paraId="4EBE3AED" w14:textId="77777777" w:rsidR="004B6FFC" w:rsidRDefault="004B6F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5C57"/>
    <w:multiLevelType w:val="hybridMultilevel"/>
    <w:tmpl w:val="8FD2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53489"/>
    <w:multiLevelType w:val="hybridMultilevel"/>
    <w:tmpl w:val="364ED5B2"/>
    <w:lvl w:ilvl="0" w:tplc="C6E4BEFE">
      <w:start w:val="1"/>
      <w:numFmt w:val="decimal"/>
      <w:lvlText w:val="%1."/>
      <w:lvlJc w:val="lef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4160E"/>
    <w:multiLevelType w:val="hybridMultilevel"/>
    <w:tmpl w:val="B6C6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70CF6"/>
    <w:multiLevelType w:val="hybridMultilevel"/>
    <w:tmpl w:val="FAB0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93B93"/>
    <w:multiLevelType w:val="hybridMultilevel"/>
    <w:tmpl w:val="6418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510EA"/>
    <w:multiLevelType w:val="hybridMultilevel"/>
    <w:tmpl w:val="327E985C"/>
    <w:lvl w:ilvl="0" w:tplc="DA4049F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B29D3"/>
    <w:multiLevelType w:val="hybridMultilevel"/>
    <w:tmpl w:val="7BEE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C1C72"/>
    <w:multiLevelType w:val="hybridMultilevel"/>
    <w:tmpl w:val="10FC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3D6B"/>
    <w:multiLevelType w:val="hybridMultilevel"/>
    <w:tmpl w:val="BF88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D00E8"/>
    <w:multiLevelType w:val="hybridMultilevel"/>
    <w:tmpl w:val="132862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A71FCD"/>
    <w:multiLevelType w:val="hybridMultilevel"/>
    <w:tmpl w:val="5088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96107"/>
    <w:multiLevelType w:val="hybridMultilevel"/>
    <w:tmpl w:val="2330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07A63"/>
    <w:multiLevelType w:val="hybridMultilevel"/>
    <w:tmpl w:val="26F601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811EF"/>
    <w:multiLevelType w:val="hybridMultilevel"/>
    <w:tmpl w:val="C8085754"/>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153F68"/>
    <w:multiLevelType w:val="hybridMultilevel"/>
    <w:tmpl w:val="5B84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57434"/>
    <w:multiLevelType w:val="hybridMultilevel"/>
    <w:tmpl w:val="7FB0F29E"/>
    <w:lvl w:ilvl="0" w:tplc="DA4049F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D4259"/>
    <w:multiLevelType w:val="hybridMultilevel"/>
    <w:tmpl w:val="1DA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E6559"/>
    <w:multiLevelType w:val="hybridMultilevel"/>
    <w:tmpl w:val="E4E0FBBE"/>
    <w:lvl w:ilvl="0" w:tplc="DA4049F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A583E"/>
    <w:multiLevelType w:val="hybridMultilevel"/>
    <w:tmpl w:val="2B9EC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559AB"/>
    <w:multiLevelType w:val="hybridMultilevel"/>
    <w:tmpl w:val="8A10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97B00"/>
    <w:multiLevelType w:val="hybridMultilevel"/>
    <w:tmpl w:val="E802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E336DC"/>
    <w:multiLevelType w:val="hybridMultilevel"/>
    <w:tmpl w:val="BA0A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B6DCB"/>
    <w:multiLevelType w:val="hybridMultilevel"/>
    <w:tmpl w:val="C6A0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116740">
    <w:abstractNumId w:val="10"/>
  </w:num>
  <w:num w:numId="2" w16cid:durableId="271593287">
    <w:abstractNumId w:val="17"/>
  </w:num>
  <w:num w:numId="3" w16cid:durableId="1320886689">
    <w:abstractNumId w:val="15"/>
  </w:num>
  <w:num w:numId="4" w16cid:durableId="798885845">
    <w:abstractNumId w:val="5"/>
  </w:num>
  <w:num w:numId="5" w16cid:durableId="893539439">
    <w:abstractNumId w:val="20"/>
  </w:num>
  <w:num w:numId="6" w16cid:durableId="220555198">
    <w:abstractNumId w:val="4"/>
  </w:num>
  <w:num w:numId="7" w16cid:durableId="773596283">
    <w:abstractNumId w:val="2"/>
  </w:num>
  <w:num w:numId="8" w16cid:durableId="1746757520">
    <w:abstractNumId w:val="16"/>
  </w:num>
  <w:num w:numId="9" w16cid:durableId="446118633">
    <w:abstractNumId w:val="11"/>
  </w:num>
  <w:num w:numId="10" w16cid:durableId="1846360580">
    <w:abstractNumId w:val="18"/>
  </w:num>
  <w:num w:numId="11" w16cid:durableId="126440735">
    <w:abstractNumId w:val="7"/>
  </w:num>
  <w:num w:numId="12" w16cid:durableId="1872720064">
    <w:abstractNumId w:val="6"/>
  </w:num>
  <w:num w:numId="13" w16cid:durableId="1497382688">
    <w:abstractNumId w:val="22"/>
  </w:num>
  <w:num w:numId="14" w16cid:durableId="1560046564">
    <w:abstractNumId w:val="19"/>
  </w:num>
  <w:num w:numId="15" w16cid:durableId="140461062">
    <w:abstractNumId w:val="12"/>
  </w:num>
  <w:num w:numId="16" w16cid:durableId="1507476584">
    <w:abstractNumId w:val="21"/>
  </w:num>
  <w:num w:numId="17" w16cid:durableId="1867526548">
    <w:abstractNumId w:val="1"/>
  </w:num>
  <w:num w:numId="18" w16cid:durableId="2032997910">
    <w:abstractNumId w:val="9"/>
  </w:num>
  <w:num w:numId="19" w16cid:durableId="856771778">
    <w:abstractNumId w:val="13"/>
  </w:num>
  <w:num w:numId="20" w16cid:durableId="1358386101">
    <w:abstractNumId w:val="0"/>
  </w:num>
  <w:num w:numId="21" w16cid:durableId="2114351843">
    <w:abstractNumId w:val="14"/>
  </w:num>
  <w:num w:numId="22" w16cid:durableId="586501857">
    <w:abstractNumId w:val="8"/>
  </w:num>
  <w:num w:numId="23" w16cid:durableId="163848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46"/>
    <w:rsid w:val="000022D9"/>
    <w:rsid w:val="00010F87"/>
    <w:rsid w:val="000160F8"/>
    <w:rsid w:val="00021FC5"/>
    <w:rsid w:val="00036675"/>
    <w:rsid w:val="000444A3"/>
    <w:rsid w:val="00046094"/>
    <w:rsid w:val="00055B5F"/>
    <w:rsid w:val="00083228"/>
    <w:rsid w:val="000961B2"/>
    <w:rsid w:val="000A1948"/>
    <w:rsid w:val="000A55EB"/>
    <w:rsid w:val="000B73E1"/>
    <w:rsid w:val="000E0E35"/>
    <w:rsid w:val="000E2264"/>
    <w:rsid w:val="000E319C"/>
    <w:rsid w:val="000F582B"/>
    <w:rsid w:val="000F729F"/>
    <w:rsid w:val="001050D9"/>
    <w:rsid w:val="001060FB"/>
    <w:rsid w:val="00106301"/>
    <w:rsid w:val="00115182"/>
    <w:rsid w:val="0012086D"/>
    <w:rsid w:val="00123078"/>
    <w:rsid w:val="00125C62"/>
    <w:rsid w:val="00127FA1"/>
    <w:rsid w:val="0014006A"/>
    <w:rsid w:val="00146B21"/>
    <w:rsid w:val="001479BA"/>
    <w:rsid w:val="001578E4"/>
    <w:rsid w:val="00174034"/>
    <w:rsid w:val="00180F13"/>
    <w:rsid w:val="00181591"/>
    <w:rsid w:val="00193008"/>
    <w:rsid w:val="001B5897"/>
    <w:rsid w:val="001C3B5D"/>
    <w:rsid w:val="001C684C"/>
    <w:rsid w:val="001C6FBB"/>
    <w:rsid w:val="001E3F94"/>
    <w:rsid w:val="00207118"/>
    <w:rsid w:val="002219C6"/>
    <w:rsid w:val="00224A9D"/>
    <w:rsid w:val="00233C41"/>
    <w:rsid w:val="002451AC"/>
    <w:rsid w:val="002451CA"/>
    <w:rsid w:val="00260684"/>
    <w:rsid w:val="00282ABA"/>
    <w:rsid w:val="00282F26"/>
    <w:rsid w:val="00284715"/>
    <w:rsid w:val="002914F4"/>
    <w:rsid w:val="002A1D00"/>
    <w:rsid w:val="002A5546"/>
    <w:rsid w:val="002B1C11"/>
    <w:rsid w:val="002B7E3A"/>
    <w:rsid w:val="002C2AE7"/>
    <w:rsid w:val="002E5888"/>
    <w:rsid w:val="002E774B"/>
    <w:rsid w:val="002F09FF"/>
    <w:rsid w:val="003036FA"/>
    <w:rsid w:val="00323F5B"/>
    <w:rsid w:val="00327E5C"/>
    <w:rsid w:val="00344803"/>
    <w:rsid w:val="003706C6"/>
    <w:rsid w:val="00371EDE"/>
    <w:rsid w:val="00382049"/>
    <w:rsid w:val="003832BB"/>
    <w:rsid w:val="00386301"/>
    <w:rsid w:val="003A0E6F"/>
    <w:rsid w:val="003D15A4"/>
    <w:rsid w:val="003E2144"/>
    <w:rsid w:val="003F589C"/>
    <w:rsid w:val="00405892"/>
    <w:rsid w:val="004205E6"/>
    <w:rsid w:val="00420612"/>
    <w:rsid w:val="00421773"/>
    <w:rsid w:val="00430E90"/>
    <w:rsid w:val="00434363"/>
    <w:rsid w:val="004510A6"/>
    <w:rsid w:val="0045133C"/>
    <w:rsid w:val="00470187"/>
    <w:rsid w:val="004874AE"/>
    <w:rsid w:val="00497A3A"/>
    <w:rsid w:val="004A7B2E"/>
    <w:rsid w:val="004B424E"/>
    <w:rsid w:val="004B6FFC"/>
    <w:rsid w:val="004C0E6E"/>
    <w:rsid w:val="004C2FBE"/>
    <w:rsid w:val="004E235F"/>
    <w:rsid w:val="004E4CBF"/>
    <w:rsid w:val="004F746F"/>
    <w:rsid w:val="00500BED"/>
    <w:rsid w:val="005176AB"/>
    <w:rsid w:val="0052013F"/>
    <w:rsid w:val="00536213"/>
    <w:rsid w:val="005412B0"/>
    <w:rsid w:val="00552754"/>
    <w:rsid w:val="0057033D"/>
    <w:rsid w:val="00572242"/>
    <w:rsid w:val="0057570F"/>
    <w:rsid w:val="00593CAE"/>
    <w:rsid w:val="00597907"/>
    <w:rsid w:val="005C49D2"/>
    <w:rsid w:val="005E7D02"/>
    <w:rsid w:val="00600049"/>
    <w:rsid w:val="00613990"/>
    <w:rsid w:val="00620C7A"/>
    <w:rsid w:val="006243BB"/>
    <w:rsid w:val="0063472A"/>
    <w:rsid w:val="0064505D"/>
    <w:rsid w:val="00674B18"/>
    <w:rsid w:val="006A37E2"/>
    <w:rsid w:val="006A543C"/>
    <w:rsid w:val="006B1D89"/>
    <w:rsid w:val="006C0A4C"/>
    <w:rsid w:val="006D376C"/>
    <w:rsid w:val="006D4FC4"/>
    <w:rsid w:val="006D738A"/>
    <w:rsid w:val="006F1E06"/>
    <w:rsid w:val="00701B61"/>
    <w:rsid w:val="00720050"/>
    <w:rsid w:val="00722AAD"/>
    <w:rsid w:val="007721F2"/>
    <w:rsid w:val="00774DFC"/>
    <w:rsid w:val="00776358"/>
    <w:rsid w:val="00776A0E"/>
    <w:rsid w:val="00784F28"/>
    <w:rsid w:val="007956D6"/>
    <w:rsid w:val="007A7711"/>
    <w:rsid w:val="007B014C"/>
    <w:rsid w:val="007B0B49"/>
    <w:rsid w:val="007B175C"/>
    <w:rsid w:val="007B57F5"/>
    <w:rsid w:val="007B6345"/>
    <w:rsid w:val="007E68F6"/>
    <w:rsid w:val="007F1898"/>
    <w:rsid w:val="00816719"/>
    <w:rsid w:val="00873AB3"/>
    <w:rsid w:val="00876BE3"/>
    <w:rsid w:val="00891242"/>
    <w:rsid w:val="00892D19"/>
    <w:rsid w:val="008A10E5"/>
    <w:rsid w:val="008C5C8C"/>
    <w:rsid w:val="008C7324"/>
    <w:rsid w:val="008F41E3"/>
    <w:rsid w:val="008F53C2"/>
    <w:rsid w:val="008F73B9"/>
    <w:rsid w:val="00913A57"/>
    <w:rsid w:val="00915A2F"/>
    <w:rsid w:val="0091615A"/>
    <w:rsid w:val="00923CC1"/>
    <w:rsid w:val="00923E14"/>
    <w:rsid w:val="009310D0"/>
    <w:rsid w:val="00941C0A"/>
    <w:rsid w:val="00964B4A"/>
    <w:rsid w:val="00966CEB"/>
    <w:rsid w:val="0097721E"/>
    <w:rsid w:val="009967E8"/>
    <w:rsid w:val="009A38A0"/>
    <w:rsid w:val="009B009E"/>
    <w:rsid w:val="009B31EE"/>
    <w:rsid w:val="009D4B94"/>
    <w:rsid w:val="009E0250"/>
    <w:rsid w:val="009E7E90"/>
    <w:rsid w:val="00A11558"/>
    <w:rsid w:val="00A122BD"/>
    <w:rsid w:val="00A35350"/>
    <w:rsid w:val="00A44FC1"/>
    <w:rsid w:val="00A5480E"/>
    <w:rsid w:val="00A64263"/>
    <w:rsid w:val="00A80C22"/>
    <w:rsid w:val="00AA3FA1"/>
    <w:rsid w:val="00AA610C"/>
    <w:rsid w:val="00AA7122"/>
    <w:rsid w:val="00AC06A9"/>
    <w:rsid w:val="00AC7228"/>
    <w:rsid w:val="00AD1846"/>
    <w:rsid w:val="00AE0951"/>
    <w:rsid w:val="00AE0BC3"/>
    <w:rsid w:val="00AE2B69"/>
    <w:rsid w:val="00AE58F3"/>
    <w:rsid w:val="00AE64B5"/>
    <w:rsid w:val="00B06B4A"/>
    <w:rsid w:val="00B20CAC"/>
    <w:rsid w:val="00B2396F"/>
    <w:rsid w:val="00B30457"/>
    <w:rsid w:val="00B30CBE"/>
    <w:rsid w:val="00B35545"/>
    <w:rsid w:val="00B456D2"/>
    <w:rsid w:val="00B6307D"/>
    <w:rsid w:val="00BA438F"/>
    <w:rsid w:val="00BA49A8"/>
    <w:rsid w:val="00BA5E67"/>
    <w:rsid w:val="00BC0360"/>
    <w:rsid w:val="00BF1215"/>
    <w:rsid w:val="00BF3297"/>
    <w:rsid w:val="00C05BE2"/>
    <w:rsid w:val="00C430CD"/>
    <w:rsid w:val="00C60C10"/>
    <w:rsid w:val="00C92489"/>
    <w:rsid w:val="00CA1D84"/>
    <w:rsid w:val="00CB0C52"/>
    <w:rsid w:val="00CC5625"/>
    <w:rsid w:val="00CD1224"/>
    <w:rsid w:val="00CD2223"/>
    <w:rsid w:val="00CF1745"/>
    <w:rsid w:val="00D04EA1"/>
    <w:rsid w:val="00D160B5"/>
    <w:rsid w:val="00D40364"/>
    <w:rsid w:val="00D40DA1"/>
    <w:rsid w:val="00D55DC5"/>
    <w:rsid w:val="00D56CCE"/>
    <w:rsid w:val="00D674CA"/>
    <w:rsid w:val="00DA2074"/>
    <w:rsid w:val="00DA58C8"/>
    <w:rsid w:val="00DB250C"/>
    <w:rsid w:val="00DE4413"/>
    <w:rsid w:val="00DF590B"/>
    <w:rsid w:val="00DF5E11"/>
    <w:rsid w:val="00DF7737"/>
    <w:rsid w:val="00E07300"/>
    <w:rsid w:val="00E22EB6"/>
    <w:rsid w:val="00E31CEC"/>
    <w:rsid w:val="00E41419"/>
    <w:rsid w:val="00E479A8"/>
    <w:rsid w:val="00E62339"/>
    <w:rsid w:val="00E72DE7"/>
    <w:rsid w:val="00EC6A4F"/>
    <w:rsid w:val="00EE34D7"/>
    <w:rsid w:val="00F07ECA"/>
    <w:rsid w:val="00F12C9C"/>
    <w:rsid w:val="00F1597E"/>
    <w:rsid w:val="00F23E0F"/>
    <w:rsid w:val="00F35D80"/>
    <w:rsid w:val="00F40F62"/>
    <w:rsid w:val="00F41BB1"/>
    <w:rsid w:val="00F46EC7"/>
    <w:rsid w:val="00F53516"/>
    <w:rsid w:val="00F6753A"/>
    <w:rsid w:val="00F868AB"/>
    <w:rsid w:val="00F90B16"/>
    <w:rsid w:val="00F94168"/>
    <w:rsid w:val="00FA2DD4"/>
    <w:rsid w:val="00FC3A6C"/>
    <w:rsid w:val="00FD5FDF"/>
    <w:rsid w:val="00FE5495"/>
    <w:rsid w:val="00FE63E7"/>
    <w:rsid w:val="00FF0380"/>
    <w:rsid w:val="00FF0C8B"/>
    <w:rsid w:val="00FF4A76"/>
    <w:rsid w:val="08AC7A22"/>
    <w:rsid w:val="08E3DCA8"/>
    <w:rsid w:val="13E940E2"/>
    <w:rsid w:val="1E66FBC0"/>
    <w:rsid w:val="1F0B92E8"/>
    <w:rsid w:val="261F797A"/>
    <w:rsid w:val="2B5DC901"/>
    <w:rsid w:val="7FB590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6AE73"/>
  <w15:chartTrackingRefBased/>
  <w15:docId w15:val="{829F9A52-F2DC-410C-9DE4-C9C64A4E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846"/>
    <w:pPr>
      <w:spacing w:after="120"/>
    </w:pPr>
    <w:rPr>
      <w:rFonts w:ascii="Arial" w:hAnsi="Arial"/>
      <w:color w:val="000000" w:themeColor="text1"/>
      <w:sz w:val="22"/>
    </w:rPr>
  </w:style>
  <w:style w:type="paragraph" w:styleId="Heading1">
    <w:name w:val="heading 1"/>
    <w:basedOn w:val="Normal"/>
    <w:next w:val="Normal"/>
    <w:link w:val="Heading1Char"/>
    <w:uiPriority w:val="9"/>
    <w:qFormat/>
    <w:rsid w:val="00AD1846"/>
    <w:pPr>
      <w:outlineLvl w:val="0"/>
    </w:pPr>
    <w:rPr>
      <w:rFonts w:cs="Arial"/>
      <w:b/>
      <w:bCs/>
      <w:sz w:val="40"/>
      <w:szCs w:val="40"/>
    </w:rPr>
  </w:style>
  <w:style w:type="paragraph" w:styleId="Heading2">
    <w:name w:val="heading 2"/>
    <w:basedOn w:val="Normal"/>
    <w:next w:val="Normal"/>
    <w:link w:val="Heading2Char"/>
    <w:uiPriority w:val="9"/>
    <w:unhideWhenUsed/>
    <w:qFormat/>
    <w:rsid w:val="00AD1846"/>
    <w:pPr>
      <w:keepNext/>
      <w:keepLines/>
      <w:spacing w:before="120"/>
      <w:outlineLvl w:val="1"/>
    </w:pPr>
    <w:rPr>
      <w:rFonts w:eastAsiaTheme="majorEastAsia" w:cstheme="majorBidi"/>
      <w:b/>
      <w:sz w:val="36"/>
      <w:szCs w:val="32"/>
    </w:rPr>
  </w:style>
  <w:style w:type="paragraph" w:styleId="Heading3">
    <w:name w:val="heading 3"/>
    <w:basedOn w:val="Normal"/>
    <w:next w:val="Normal"/>
    <w:link w:val="Heading3Char"/>
    <w:uiPriority w:val="9"/>
    <w:unhideWhenUsed/>
    <w:qFormat/>
    <w:rsid w:val="008A10E5"/>
    <w:pPr>
      <w:spacing w:before="120"/>
      <w:outlineLvl w:val="2"/>
    </w:pPr>
    <w:rPr>
      <w:b/>
      <w:bCs/>
      <w:sz w:val="32"/>
      <w:szCs w:val="32"/>
    </w:rPr>
  </w:style>
  <w:style w:type="paragraph" w:styleId="Heading4">
    <w:name w:val="heading 4"/>
    <w:basedOn w:val="Normal"/>
    <w:next w:val="Normal"/>
    <w:link w:val="Heading4Char"/>
    <w:uiPriority w:val="9"/>
    <w:unhideWhenUsed/>
    <w:qFormat/>
    <w:rsid w:val="00AD1846"/>
    <w:pPr>
      <w:keepNext/>
      <w:keepLines/>
      <w:spacing w:before="120" w:line="240" w:lineRule="auto"/>
      <w:outlineLvl w:val="3"/>
    </w:pPr>
    <w:rPr>
      <w:rFonts w:eastAsiaTheme="majorEastAsia" w:cstheme="majorBidi"/>
      <w:b/>
      <w:iCs/>
      <w:sz w:val="24"/>
    </w:rPr>
  </w:style>
  <w:style w:type="paragraph" w:styleId="Heading5">
    <w:name w:val="heading 5"/>
    <w:basedOn w:val="Normal"/>
    <w:next w:val="Normal"/>
    <w:link w:val="Heading5Char"/>
    <w:uiPriority w:val="9"/>
    <w:semiHidden/>
    <w:unhideWhenUsed/>
    <w:qFormat/>
    <w:rsid w:val="00AD1846"/>
    <w:pPr>
      <w:keepNext/>
      <w:keepLines/>
      <w:spacing w:before="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AD1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
    <w:name w:val="Label"/>
    <w:basedOn w:val="Normal"/>
    <w:link w:val="LabelChar"/>
    <w:rsid w:val="00776358"/>
    <w:pPr>
      <w:spacing w:before="360" w:after="0" w:line="240" w:lineRule="auto"/>
      <w:ind w:left="2160"/>
      <w:outlineLvl w:val="1"/>
    </w:pPr>
    <w:rPr>
      <w:rFonts w:eastAsiaTheme="minorEastAsia" w:cs="Arial"/>
      <w:b/>
      <w:bCs/>
      <w:color w:val="FFFFFF" w:themeColor="background1"/>
      <w:kern w:val="20"/>
      <w:sz w:val="72"/>
      <w:szCs w:val="72"/>
      <w:lang w:val="en"/>
    </w:rPr>
  </w:style>
  <w:style w:type="character" w:customStyle="1" w:styleId="LabelChar">
    <w:name w:val="Label Char"/>
    <w:basedOn w:val="DefaultParagraphFont"/>
    <w:link w:val="Label"/>
    <w:rsid w:val="00776358"/>
    <w:rPr>
      <w:rFonts w:ascii="Arial" w:eastAsiaTheme="minorEastAsia" w:hAnsi="Arial" w:cs="Arial"/>
      <w:b/>
      <w:bCs/>
      <w:color w:val="FFFFFF" w:themeColor="background1"/>
      <w:kern w:val="20"/>
      <w:sz w:val="72"/>
      <w:szCs w:val="72"/>
      <w:lang w:val="en"/>
    </w:rPr>
  </w:style>
  <w:style w:type="paragraph" w:styleId="Title">
    <w:name w:val="Title"/>
    <w:basedOn w:val="Normal"/>
    <w:next w:val="Normal"/>
    <w:link w:val="TitleChar"/>
    <w:autoRedefine/>
    <w:uiPriority w:val="10"/>
    <w:rsid w:val="00776358"/>
    <w:pPr>
      <w:spacing w:before="120" w:line="240" w:lineRule="auto"/>
      <w:outlineLvl w:val="1"/>
    </w:pPr>
    <w:rPr>
      <w:rFonts w:eastAsiaTheme="minorEastAsia" w:cs="Arial"/>
      <w:b/>
      <w:bCs/>
      <w:kern w:val="20"/>
      <w:sz w:val="40"/>
      <w:szCs w:val="72"/>
      <w:lang w:val="en"/>
    </w:rPr>
  </w:style>
  <w:style w:type="character" w:customStyle="1" w:styleId="TitleChar">
    <w:name w:val="Title Char"/>
    <w:basedOn w:val="DefaultParagraphFont"/>
    <w:link w:val="Title"/>
    <w:uiPriority w:val="10"/>
    <w:rsid w:val="00776358"/>
    <w:rPr>
      <w:rFonts w:ascii="Arial" w:eastAsiaTheme="minorEastAsia" w:hAnsi="Arial" w:cs="Arial"/>
      <w:b/>
      <w:bCs/>
      <w:color w:val="000000" w:themeColor="text1"/>
      <w:kern w:val="20"/>
      <w:sz w:val="40"/>
      <w:szCs w:val="72"/>
      <w:lang w:val="en"/>
    </w:rPr>
  </w:style>
  <w:style w:type="paragraph" w:styleId="Subtitle">
    <w:name w:val="Subtitle"/>
    <w:basedOn w:val="Normal"/>
    <w:next w:val="Normal"/>
    <w:link w:val="SubtitleChar"/>
    <w:uiPriority w:val="11"/>
    <w:unhideWhenUsed/>
    <w:rsid w:val="007B175C"/>
    <w:pPr>
      <w:numPr>
        <w:ilvl w:val="1"/>
      </w:numPr>
      <w:spacing w:line="240" w:lineRule="auto"/>
      <w:outlineLvl w:val="0"/>
    </w:pPr>
    <w:rPr>
      <w:rFonts w:eastAsiaTheme="minorEastAsia"/>
      <w:b/>
      <w:sz w:val="28"/>
      <w:szCs w:val="22"/>
    </w:rPr>
  </w:style>
  <w:style w:type="character" w:customStyle="1" w:styleId="SubtitleChar">
    <w:name w:val="Subtitle Char"/>
    <w:basedOn w:val="DefaultParagraphFont"/>
    <w:link w:val="Subtitle"/>
    <w:uiPriority w:val="11"/>
    <w:rsid w:val="007B175C"/>
    <w:rPr>
      <w:rFonts w:ascii="Arial" w:eastAsiaTheme="minorEastAsia" w:hAnsi="Arial"/>
      <w:b/>
      <w:sz w:val="28"/>
      <w:szCs w:val="22"/>
    </w:rPr>
  </w:style>
  <w:style w:type="paragraph" w:styleId="Caption">
    <w:name w:val="caption"/>
    <w:basedOn w:val="Normal"/>
    <w:next w:val="Normal"/>
    <w:uiPriority w:val="35"/>
    <w:unhideWhenUsed/>
    <w:qFormat/>
    <w:rsid w:val="00D04EA1"/>
    <w:pPr>
      <w:spacing w:after="40" w:line="240" w:lineRule="auto"/>
    </w:pPr>
    <w:rPr>
      <w:rFonts w:cs="Arial"/>
      <w:b/>
      <w:iCs/>
      <w:color w:val="0E2841" w:themeColor="text2"/>
      <w:sz w:val="20"/>
      <w:szCs w:val="18"/>
    </w:rPr>
  </w:style>
  <w:style w:type="character" w:customStyle="1" w:styleId="Heading4Char">
    <w:name w:val="Heading 4 Char"/>
    <w:basedOn w:val="DefaultParagraphFont"/>
    <w:link w:val="Heading4"/>
    <w:uiPriority w:val="9"/>
    <w:rsid w:val="00AD1846"/>
    <w:rPr>
      <w:rFonts w:ascii="Arial" w:eastAsiaTheme="majorEastAsia" w:hAnsi="Arial" w:cstheme="majorBidi"/>
      <w:b/>
      <w:iCs/>
      <w:color w:val="000000" w:themeColor="text1"/>
    </w:rPr>
  </w:style>
  <w:style w:type="character" w:customStyle="1" w:styleId="Heading1Char">
    <w:name w:val="Heading 1 Char"/>
    <w:basedOn w:val="DefaultParagraphFont"/>
    <w:link w:val="Heading1"/>
    <w:uiPriority w:val="9"/>
    <w:rsid w:val="00AD1846"/>
    <w:rPr>
      <w:rFonts w:ascii="Arial" w:hAnsi="Arial" w:cs="Arial"/>
      <w:b/>
      <w:bCs/>
      <w:color w:val="000000" w:themeColor="text1"/>
      <w:sz w:val="40"/>
      <w:szCs w:val="40"/>
    </w:rPr>
  </w:style>
  <w:style w:type="character" w:customStyle="1" w:styleId="Heading2Char">
    <w:name w:val="Heading 2 Char"/>
    <w:basedOn w:val="DefaultParagraphFont"/>
    <w:link w:val="Heading2"/>
    <w:uiPriority w:val="9"/>
    <w:rsid w:val="00AD1846"/>
    <w:rPr>
      <w:rFonts w:ascii="Arial" w:eastAsiaTheme="majorEastAsia" w:hAnsi="Arial" w:cstheme="majorBidi"/>
      <w:b/>
      <w:color w:val="000000" w:themeColor="text1"/>
      <w:sz w:val="36"/>
      <w:szCs w:val="32"/>
    </w:rPr>
  </w:style>
  <w:style w:type="character" w:customStyle="1" w:styleId="Heading3Char">
    <w:name w:val="Heading 3 Char"/>
    <w:basedOn w:val="DefaultParagraphFont"/>
    <w:link w:val="Heading3"/>
    <w:uiPriority w:val="9"/>
    <w:rsid w:val="008A10E5"/>
    <w:rPr>
      <w:rFonts w:ascii="Arial" w:hAnsi="Arial"/>
      <w:b/>
      <w:bCs/>
      <w:color w:val="000000" w:themeColor="text1"/>
      <w:sz w:val="32"/>
      <w:szCs w:val="32"/>
    </w:rPr>
  </w:style>
  <w:style w:type="character" w:customStyle="1" w:styleId="Heading5Char">
    <w:name w:val="Heading 5 Char"/>
    <w:basedOn w:val="DefaultParagraphFont"/>
    <w:link w:val="Heading5"/>
    <w:uiPriority w:val="9"/>
    <w:semiHidden/>
    <w:rsid w:val="00AD1846"/>
    <w:rPr>
      <w:rFonts w:ascii="Arial" w:eastAsiaTheme="majorEastAsia" w:hAnsi="Arial" w:cstheme="majorBidi"/>
      <w:b/>
      <w:color w:val="000000" w:themeColor="text1"/>
      <w:sz w:val="22"/>
    </w:rPr>
  </w:style>
  <w:style w:type="character" w:customStyle="1" w:styleId="Heading6Char">
    <w:name w:val="Heading 6 Char"/>
    <w:basedOn w:val="DefaultParagraphFont"/>
    <w:link w:val="Heading6"/>
    <w:uiPriority w:val="9"/>
    <w:semiHidden/>
    <w:rsid w:val="00AD1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846"/>
    <w:rPr>
      <w:rFonts w:eastAsiaTheme="majorEastAsia" w:cstheme="majorBidi"/>
      <w:color w:val="272727" w:themeColor="text1" w:themeTint="D8"/>
    </w:rPr>
  </w:style>
  <w:style w:type="paragraph" w:styleId="Quote">
    <w:name w:val="Quote"/>
    <w:basedOn w:val="Normal"/>
    <w:next w:val="Normal"/>
    <w:link w:val="QuoteChar"/>
    <w:uiPriority w:val="29"/>
    <w:rsid w:val="00AD1846"/>
    <w:pPr>
      <w:spacing w:before="160"/>
      <w:jc w:val="center"/>
    </w:pPr>
    <w:rPr>
      <w:i/>
      <w:iCs/>
      <w:color w:val="404040" w:themeColor="text1" w:themeTint="BF"/>
    </w:rPr>
  </w:style>
  <w:style w:type="character" w:customStyle="1" w:styleId="QuoteChar">
    <w:name w:val="Quote Char"/>
    <w:basedOn w:val="DefaultParagraphFont"/>
    <w:link w:val="Quote"/>
    <w:uiPriority w:val="29"/>
    <w:rsid w:val="00AD1846"/>
    <w:rPr>
      <w:i/>
      <w:iCs/>
      <w:color w:val="404040" w:themeColor="text1" w:themeTint="BF"/>
    </w:rPr>
  </w:style>
  <w:style w:type="paragraph" w:styleId="ListParagraph">
    <w:name w:val="List Paragraph"/>
    <w:basedOn w:val="Normal"/>
    <w:uiPriority w:val="34"/>
    <w:qFormat/>
    <w:rsid w:val="00AD1846"/>
    <w:pPr>
      <w:ind w:left="720"/>
      <w:contextualSpacing/>
    </w:pPr>
  </w:style>
  <w:style w:type="character" w:styleId="IntenseEmphasis">
    <w:name w:val="Intense Emphasis"/>
    <w:basedOn w:val="DefaultParagraphFont"/>
    <w:uiPriority w:val="21"/>
    <w:rsid w:val="00AD1846"/>
    <w:rPr>
      <w:i/>
      <w:iCs/>
      <w:color w:val="0F4761" w:themeColor="accent1" w:themeShade="BF"/>
    </w:rPr>
  </w:style>
  <w:style w:type="paragraph" w:styleId="IntenseQuote">
    <w:name w:val="Intense Quote"/>
    <w:basedOn w:val="Normal"/>
    <w:next w:val="Normal"/>
    <w:link w:val="IntenseQuoteChar"/>
    <w:uiPriority w:val="30"/>
    <w:rsid w:val="00AD1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846"/>
    <w:rPr>
      <w:i/>
      <w:iCs/>
      <w:color w:val="0F4761" w:themeColor="accent1" w:themeShade="BF"/>
    </w:rPr>
  </w:style>
  <w:style w:type="character" w:styleId="IntenseReference">
    <w:name w:val="Intense Reference"/>
    <w:basedOn w:val="DefaultParagraphFont"/>
    <w:uiPriority w:val="32"/>
    <w:rsid w:val="00AD1846"/>
    <w:rPr>
      <w:b/>
      <w:bCs/>
      <w:smallCaps/>
      <w:color w:val="0F4761" w:themeColor="accent1" w:themeShade="BF"/>
      <w:spacing w:val="5"/>
    </w:rPr>
  </w:style>
  <w:style w:type="paragraph" w:styleId="Header">
    <w:name w:val="header"/>
    <w:basedOn w:val="Normal"/>
    <w:link w:val="HeaderChar"/>
    <w:uiPriority w:val="99"/>
    <w:unhideWhenUsed/>
    <w:rsid w:val="008A1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E5"/>
    <w:rPr>
      <w:rFonts w:ascii="Arial" w:hAnsi="Arial"/>
      <w:color w:val="000000" w:themeColor="text1"/>
      <w:sz w:val="22"/>
    </w:rPr>
  </w:style>
  <w:style w:type="paragraph" w:styleId="Footer">
    <w:name w:val="footer"/>
    <w:basedOn w:val="Normal"/>
    <w:link w:val="FooterChar"/>
    <w:uiPriority w:val="99"/>
    <w:unhideWhenUsed/>
    <w:rsid w:val="008A1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E5"/>
    <w:rPr>
      <w:rFonts w:ascii="Arial" w:hAnsi="Arial"/>
      <w:color w:val="000000" w:themeColor="text1"/>
      <w:sz w:val="22"/>
    </w:rPr>
  </w:style>
  <w:style w:type="character" w:styleId="Hyperlink">
    <w:name w:val="Hyperlink"/>
    <w:basedOn w:val="DefaultParagraphFont"/>
    <w:uiPriority w:val="99"/>
    <w:unhideWhenUsed/>
    <w:rsid w:val="008A10E5"/>
    <w:rPr>
      <w:color w:val="467886" w:themeColor="hyperlink"/>
      <w:u w:val="single"/>
    </w:rPr>
  </w:style>
  <w:style w:type="paragraph" w:customStyle="1" w:styleId="Footnote">
    <w:name w:val="Footnote"/>
    <w:basedOn w:val="Normal"/>
    <w:link w:val="FootnoteChar"/>
    <w:rsid w:val="008A10E5"/>
    <w:pPr>
      <w:spacing w:before="160" w:after="60" w:line="240" w:lineRule="auto"/>
    </w:pPr>
    <w:rPr>
      <w:b/>
      <w:bCs/>
      <w:noProof/>
      <w:color w:val="FFFFFF" w:themeColor="background1"/>
      <w:szCs w:val="22"/>
    </w:rPr>
  </w:style>
  <w:style w:type="character" w:customStyle="1" w:styleId="FootnoteChar">
    <w:name w:val="Footnote Char"/>
    <w:basedOn w:val="DefaultParagraphFont"/>
    <w:link w:val="Footnote"/>
    <w:rsid w:val="008A10E5"/>
    <w:rPr>
      <w:rFonts w:ascii="Arial" w:hAnsi="Arial"/>
      <w:b/>
      <w:bCs/>
      <w:noProof/>
      <w:color w:val="FFFFFF" w:themeColor="background1"/>
      <w:sz w:val="22"/>
      <w:szCs w:val="22"/>
    </w:rPr>
  </w:style>
  <w:style w:type="table" w:styleId="TableGrid">
    <w:name w:val="Table Grid"/>
    <w:basedOn w:val="TableNormal"/>
    <w:uiPriority w:val="39"/>
    <w:rsid w:val="007B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7B6345"/>
    <w:pPr>
      <w:spacing w:after="0" w:line="240" w:lineRule="auto"/>
      <w:jc w:val="center"/>
    </w:pPr>
    <w:rPr>
      <w:b/>
      <w:bCs/>
    </w:rPr>
  </w:style>
  <w:style w:type="character" w:customStyle="1" w:styleId="TableHeaderChar">
    <w:name w:val="Table Header Char"/>
    <w:basedOn w:val="DefaultParagraphFont"/>
    <w:link w:val="TableHeader"/>
    <w:rsid w:val="007B6345"/>
    <w:rPr>
      <w:rFonts w:ascii="Arial" w:hAnsi="Arial"/>
      <w:b/>
      <w:bCs/>
      <w:color w:val="000000" w:themeColor="text1"/>
      <w:sz w:val="22"/>
    </w:rPr>
  </w:style>
  <w:style w:type="character" w:styleId="UnresolvedMention">
    <w:name w:val="Unresolved Mention"/>
    <w:basedOn w:val="DefaultParagraphFont"/>
    <w:uiPriority w:val="99"/>
    <w:semiHidden/>
    <w:unhideWhenUsed/>
    <w:rsid w:val="00F12C9C"/>
    <w:rPr>
      <w:color w:val="605E5C"/>
      <w:shd w:val="clear" w:color="auto" w:fill="E1DFDD"/>
    </w:rPr>
  </w:style>
  <w:style w:type="character" w:styleId="CommentReference">
    <w:name w:val="annotation reference"/>
    <w:basedOn w:val="DefaultParagraphFont"/>
    <w:uiPriority w:val="99"/>
    <w:semiHidden/>
    <w:unhideWhenUsed/>
    <w:rsid w:val="002219C6"/>
    <w:rPr>
      <w:sz w:val="16"/>
      <w:szCs w:val="16"/>
    </w:rPr>
  </w:style>
  <w:style w:type="paragraph" w:styleId="CommentText">
    <w:name w:val="annotation text"/>
    <w:basedOn w:val="Normal"/>
    <w:link w:val="CommentTextChar"/>
    <w:uiPriority w:val="99"/>
    <w:unhideWhenUsed/>
    <w:rsid w:val="002219C6"/>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2219C6"/>
    <w:rPr>
      <w:sz w:val="20"/>
      <w:szCs w:val="20"/>
    </w:rPr>
  </w:style>
  <w:style w:type="paragraph" w:styleId="FootnoteText">
    <w:name w:val="footnote text"/>
    <w:basedOn w:val="Normal"/>
    <w:link w:val="FootnoteTextChar"/>
    <w:uiPriority w:val="99"/>
    <w:unhideWhenUsed/>
    <w:rsid w:val="002219C6"/>
    <w:pPr>
      <w:spacing w:after="0" w:line="240" w:lineRule="auto"/>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rsid w:val="002219C6"/>
    <w:rPr>
      <w:sz w:val="20"/>
      <w:szCs w:val="20"/>
    </w:rPr>
  </w:style>
  <w:style w:type="character" w:styleId="FootnoteReference">
    <w:name w:val="footnote reference"/>
    <w:basedOn w:val="DefaultParagraphFont"/>
    <w:uiPriority w:val="99"/>
    <w:semiHidden/>
    <w:unhideWhenUsed/>
    <w:rsid w:val="002219C6"/>
    <w:rPr>
      <w:vertAlign w:val="superscript"/>
    </w:rPr>
  </w:style>
  <w:style w:type="character" w:styleId="Mention">
    <w:name w:val="Mention"/>
    <w:basedOn w:val="DefaultParagraphFont"/>
    <w:uiPriority w:val="99"/>
    <w:unhideWhenUsed/>
    <w:rsid w:val="002219C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74B18"/>
    <w:pPr>
      <w:spacing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674B18"/>
    <w:rPr>
      <w:rFonts w:ascii="Arial" w:hAnsi="Arial"/>
      <w:b/>
      <w:bCs/>
      <w:color w:val="000000" w:themeColor="text1"/>
      <w:sz w:val="20"/>
      <w:szCs w:val="20"/>
    </w:rPr>
  </w:style>
  <w:style w:type="paragraph" w:styleId="Revision">
    <w:name w:val="Revision"/>
    <w:hidden/>
    <w:uiPriority w:val="99"/>
    <w:semiHidden/>
    <w:rsid w:val="00E07300"/>
    <w:pPr>
      <w:spacing w:after="0" w:line="240" w:lineRule="auto"/>
    </w:pPr>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deq/recycling/pages/modernizing-oregons-recycling-system.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ephanie.Caldera@DEQ.Orego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eq/rulemaking/Pages/rma2026.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deq/about-us/Pages/titleVIacces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2B50B40939EF4CA7B63E968F7225EE" ma:contentTypeVersion="3" ma:contentTypeDescription="Create a new document." ma:contentTypeScope="" ma:versionID="2a7d35e55fa50e45481485a56f4c284b">
  <xsd:schema xmlns:xsd="http://www.w3.org/2001/XMLSchema" xmlns:xs="http://www.w3.org/2001/XMLSchema" xmlns:p="http://schemas.microsoft.com/office/2006/metadata/properties" xmlns:ns2="6b3c66af-2c5e-4a64-b1f0-eca17e4268a6" targetNamespace="http://schemas.microsoft.com/office/2006/metadata/properties" ma:root="true" ma:fieldsID="3683e58581ea1345059d98bdcffe62ed" ns2:_="">
    <xsd:import namespace="6b3c66af-2c5e-4a64-b1f0-eca17e4268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c66af-2c5e-4a64-b1f0-eca17e4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4078E-1FFF-4FF2-831C-6A647FCB79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9A9E35-03A8-4D67-B646-A45125253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c66af-2c5e-4a64-b1f0-eca17e426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A9E89-BCDC-49D7-8922-C93ABA57373D}">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559</TotalTime>
  <Pages>3</Pages>
  <Words>1282</Words>
  <Characters>7309</Characters>
  <Application>Microsoft Office Word</Application>
  <DocSecurity>0</DocSecurity>
  <Lines>60</Lines>
  <Paragraphs>17</Paragraphs>
  <ScaleCrop>false</ScaleCrop>
  <Company/>
  <LinksUpToDate>false</LinksUpToDate>
  <CharactersWithSpaces>8574</CharactersWithSpaces>
  <SharedDoc>false</SharedDoc>
  <HLinks>
    <vt:vector size="36" baseType="variant">
      <vt:variant>
        <vt:i4>1769540</vt:i4>
      </vt:variant>
      <vt:variant>
        <vt:i4>9</vt:i4>
      </vt:variant>
      <vt:variant>
        <vt:i4>0</vt:i4>
      </vt:variant>
      <vt:variant>
        <vt:i4>5</vt:i4>
      </vt:variant>
      <vt:variant>
        <vt:lpwstr>https://www.oregon.gov/deq/about-us/Pages/titleVIaccess.aspx</vt:lpwstr>
      </vt:variant>
      <vt:variant>
        <vt:lpwstr/>
      </vt:variant>
      <vt:variant>
        <vt:i4>1638482</vt:i4>
      </vt:variant>
      <vt:variant>
        <vt:i4>6</vt:i4>
      </vt:variant>
      <vt:variant>
        <vt:i4>0</vt:i4>
      </vt:variant>
      <vt:variant>
        <vt:i4>5</vt:i4>
      </vt:variant>
      <vt:variant>
        <vt:lpwstr>https://www.oregon.gov/deq/recycling/pages/modernizing-oregons-recycling-system.aspx</vt:lpwstr>
      </vt:variant>
      <vt:variant>
        <vt:lpwstr/>
      </vt:variant>
      <vt:variant>
        <vt:i4>2949128</vt:i4>
      </vt:variant>
      <vt:variant>
        <vt:i4>3</vt:i4>
      </vt:variant>
      <vt:variant>
        <vt:i4>0</vt:i4>
      </vt:variant>
      <vt:variant>
        <vt:i4>5</vt:i4>
      </vt:variant>
      <vt:variant>
        <vt:lpwstr>mailto:Stephanie.Caldera@DEQ.Oregon.Gov</vt:lpwstr>
      </vt:variant>
      <vt:variant>
        <vt:lpwstr/>
      </vt:variant>
      <vt:variant>
        <vt:i4>8257652</vt:i4>
      </vt:variant>
      <vt:variant>
        <vt:i4>0</vt:i4>
      </vt:variant>
      <vt:variant>
        <vt:i4>0</vt:i4>
      </vt:variant>
      <vt:variant>
        <vt:i4>5</vt:i4>
      </vt:variant>
      <vt:variant>
        <vt:lpwstr>https://www.oregon.gov/deq/rulemaking/Pages/Recycling2023.aspx</vt:lpwstr>
      </vt:variant>
      <vt:variant>
        <vt:lpwstr/>
      </vt:variant>
      <vt:variant>
        <vt:i4>1572902</vt:i4>
      </vt:variant>
      <vt:variant>
        <vt:i4>3</vt:i4>
      </vt:variant>
      <vt:variant>
        <vt:i4>0</vt:i4>
      </vt:variant>
      <vt:variant>
        <vt:i4>5</vt:i4>
      </vt:variant>
      <vt:variant>
        <vt:lpwstr>mailto:Justin.GAST@deq.oregon.gov</vt:lpwstr>
      </vt:variant>
      <vt:variant>
        <vt:lpwstr/>
      </vt:variant>
      <vt:variant>
        <vt:i4>2490391</vt:i4>
      </vt:variant>
      <vt:variant>
        <vt:i4>0</vt:i4>
      </vt:variant>
      <vt:variant>
        <vt:i4>0</vt:i4>
      </vt:variant>
      <vt:variant>
        <vt:i4>5</vt:i4>
      </vt:variant>
      <vt:variant>
        <vt:lpwstr>mailto:David.ALLAWAY@deq.oregon.gov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Public Document A</dc:title>
  <dc:subject/>
  <dc:creator>THOMPSON Michele * DEQ</dc:creator>
  <cp:keywords/>
  <dc:description/>
  <cp:lastModifiedBy>CALDERA Stephanie * DEQ</cp:lastModifiedBy>
  <cp:revision>78</cp:revision>
  <dcterms:created xsi:type="dcterms:W3CDTF">2026-04-23T17:29:00Z</dcterms:created>
  <dcterms:modified xsi:type="dcterms:W3CDTF">2026-04-24T18:30:00Z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0x0101003D2B50B40939EF4CA7B63E968F7225EE</vt:lpwstr>
  </property>
  <property fmtid="{D5CDD505-2E9C-101B-9397-08002B2CF9AE}" pid="3" name="MediaServiceImageTags">
    <vt:lpwstr/>
  </property>
  <property fmtid="{D5CDD505-2E9C-101B-9397-08002B2CF9AE}" pid="4" name="docLang">
    <vt:lpwstr>en</vt:lpwstr>
  </property>
</Properties>
</file>