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B882D" w14:textId="18FCDE78" w:rsidR="009B009E" w:rsidRDefault="00AD1846">
      <w:r>
        <w:rPr>
          <w:noProof/>
        </w:rPr>
        <w:drawing>
          <wp:inline distT="0" distB="0" distL="0" distR="0" wp14:anchorId="0DB623FF" wp14:editId="5837DC74">
            <wp:extent cx="2317317" cy="457200"/>
            <wp:effectExtent l="0" t="0" r="6985" b="0"/>
            <wp:docPr id="1734063460" name="Picture 1" descr="Oregon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063460" name="Picture 1" descr="Oregon DEQ Logo"/>
                    <pic:cNvPicPr/>
                  </pic:nvPicPr>
                  <pic:blipFill>
                    <a:blip r:embed="rId10">
                      <a:extLst>
                        <a:ext uri="{28A0092B-C50C-407E-A947-70E740481C1C}">
                          <a14:useLocalDpi xmlns:a14="http://schemas.microsoft.com/office/drawing/2010/main" val="0"/>
                        </a:ext>
                      </a:extLst>
                    </a:blip>
                    <a:stretch>
                      <a:fillRect/>
                    </a:stretch>
                  </pic:blipFill>
                  <pic:spPr>
                    <a:xfrm>
                      <a:off x="0" y="0"/>
                      <a:ext cx="2317317" cy="457200"/>
                    </a:xfrm>
                    <a:prstGeom prst="rect">
                      <a:avLst/>
                    </a:prstGeom>
                  </pic:spPr>
                </pic:pic>
              </a:graphicData>
            </a:graphic>
          </wp:inline>
        </w:drawing>
      </w:r>
    </w:p>
    <w:p w14:paraId="17869E1D" w14:textId="7CC54EFA" w:rsidR="00593CAE" w:rsidRDefault="00B30457" w:rsidP="00593CAE">
      <w:pPr>
        <w:pStyle w:val="Heading1"/>
        <w:spacing w:after="0"/>
      </w:pPr>
      <w:r>
        <w:t xml:space="preserve">Glass Background Paper </w:t>
      </w:r>
      <w:r w:rsidR="00593CAE" w:rsidRPr="00593CAE">
        <w:t>2</w:t>
      </w:r>
      <w:r w:rsidR="00BF1215">
        <w:t xml:space="preserve">: </w:t>
      </w:r>
      <w:r w:rsidR="00593CAE" w:rsidRPr="00593CAE">
        <w:t xml:space="preserve">Options for Collecting Glass for Recycling </w:t>
      </w:r>
    </w:p>
    <w:p w14:paraId="28053F31" w14:textId="6FC945C6" w:rsidR="001C684C" w:rsidRPr="00EC6A4F" w:rsidRDefault="001C684C" w:rsidP="00593CAE">
      <w:pPr>
        <w:pStyle w:val="Heading1"/>
        <w:spacing w:after="0"/>
        <w:rPr>
          <w:b w:val="0"/>
          <w:bCs w:val="0"/>
          <w:sz w:val="22"/>
          <w:szCs w:val="22"/>
        </w:rPr>
      </w:pPr>
      <w:r w:rsidRPr="00EC6A4F">
        <w:rPr>
          <w:b w:val="0"/>
          <w:bCs w:val="0"/>
          <w:sz w:val="22"/>
          <w:szCs w:val="22"/>
        </w:rPr>
        <w:t>April 6, 2026</w:t>
      </w:r>
    </w:p>
    <w:p w14:paraId="50BF1CF1" w14:textId="77777777" w:rsidR="001C684C" w:rsidRDefault="001C684C" w:rsidP="002219C6"/>
    <w:p w14:paraId="31FBF3CC" w14:textId="34AD6512" w:rsidR="002219C6" w:rsidRDefault="002219C6" w:rsidP="002219C6">
      <w:r>
        <w:t xml:space="preserve">DEQ convened a </w:t>
      </w:r>
      <w:r w:rsidR="00193008">
        <w:t xml:space="preserve">2026 </w:t>
      </w:r>
      <w:r>
        <w:t xml:space="preserve">Technical Workgroup on Glass Collection to provide input to DEQ on opportunities to reduce costs for glass producers related to the collection of glass for recycling, and potential impacts of those options. The Technical Workgroup’s charter can be </w:t>
      </w:r>
      <w:r w:rsidR="00774DFC">
        <w:t xml:space="preserve">viewed on the </w:t>
      </w:r>
      <w:hyperlink r:id="rId11" w:tooltip="RMA2026_Rulemaking" w:history="1">
        <w:r w:rsidR="00774DFC" w:rsidRPr="00E87BD0">
          <w:rPr>
            <w:rStyle w:val="Hyperlink"/>
          </w:rPr>
          <w:t>2026 RMA Rulemaking webpage</w:t>
        </w:r>
      </w:hyperlink>
      <w:r w:rsidR="00774DFC">
        <w:t>.</w:t>
      </w:r>
    </w:p>
    <w:p w14:paraId="199BE965" w14:textId="18B9EE1C" w:rsidR="00C60C10" w:rsidRDefault="00C60C10" w:rsidP="00C60C10">
      <w:r>
        <w:t>DEQ prepared two background papers to inform and support members of the Technical Workgroup. This background paper is the second in that series. It summarizes how recycling acceptance lists are developed in Oregon, including statutory evaluation criteria, and provides an initial list of options that might reduce costs for glass producers related to the collection of glass for recycling.</w:t>
      </w:r>
      <w:r>
        <w:rPr>
          <w:rStyle w:val="FootnoteReference"/>
        </w:rPr>
        <w:footnoteReference w:id="2"/>
      </w:r>
      <w:r>
        <w:t xml:space="preserve"> A companion document (the first in this series) provides history and context for glass recycling in Oregon. It summarizes the evolution of glass recycling and related policy in Oregon, including prior to the Recycling Modernization Act and changes resulting from the Recycling Modernization Act.</w:t>
      </w:r>
    </w:p>
    <w:p w14:paraId="3072B303" w14:textId="77777777" w:rsidR="00C60C10" w:rsidRDefault="00C60C10" w:rsidP="00C60C10"/>
    <w:p w14:paraId="5194EDF4" w14:textId="7A24D6B8" w:rsidR="00AA3FA1" w:rsidRDefault="00C60C10" w:rsidP="00C60C10">
      <w:pPr>
        <w:pStyle w:val="Heading2"/>
        <w:spacing w:before="0" w:after="0" w:line="276" w:lineRule="auto"/>
      </w:pPr>
      <w:r>
        <w:t xml:space="preserve">Introduction </w:t>
      </w:r>
    </w:p>
    <w:p w14:paraId="0D5595FF" w14:textId="2E42BE8D" w:rsidR="00C60C10" w:rsidRPr="008D146D" w:rsidRDefault="00C60C10" w:rsidP="00600049">
      <w:pPr>
        <w:pStyle w:val="Heading4"/>
      </w:pPr>
      <w:r>
        <w:t>Recycling Acceptance Lists</w:t>
      </w:r>
    </w:p>
    <w:p w14:paraId="276803FF" w14:textId="77777777" w:rsidR="00C60C10" w:rsidRDefault="00C60C10" w:rsidP="00C60C10">
      <w:pPr>
        <w:spacing w:after="0" w:line="276" w:lineRule="auto"/>
      </w:pPr>
      <w:r>
        <w:t xml:space="preserve">ORS 459A.914(1) requires the Environmental Quality Commission, in consultation with producer responsibility organizations and the Oregon Recycling System Advisory Council, to identify materials that are suitable for recycling collection in Oregon and the methods for collecting those materials. </w:t>
      </w:r>
    </w:p>
    <w:p w14:paraId="5C6E157E" w14:textId="77777777" w:rsidR="00C60C10" w:rsidRDefault="00C60C10" w:rsidP="00C60C10">
      <w:pPr>
        <w:spacing w:after="0" w:line="276" w:lineRule="auto"/>
      </w:pPr>
    </w:p>
    <w:p w14:paraId="063B6409" w14:textId="77777777" w:rsidR="00C60C10" w:rsidRDefault="00C60C10" w:rsidP="00C60C10">
      <w:pPr>
        <w:spacing w:after="0" w:line="276" w:lineRule="auto"/>
      </w:pPr>
      <w:r>
        <w:t xml:space="preserve">In its </w:t>
      </w:r>
      <w:hyperlink r:id="rId12" w:history="1">
        <w:r w:rsidRPr="00A20EDC">
          <w:rPr>
            <w:rStyle w:val="Hyperlink"/>
          </w:rPr>
          <w:t>initial rulemaking</w:t>
        </w:r>
      </w:hyperlink>
      <w:r>
        <w:t xml:space="preserve"> under ORS 459A.914, which was completed in 2023, the Commission identified three such lists of materials (see OAR 340-090-0630):</w:t>
      </w:r>
    </w:p>
    <w:p w14:paraId="2F7957E8" w14:textId="77777777" w:rsidR="00C60C10" w:rsidRPr="000B64A2" w:rsidRDefault="00C60C10" w:rsidP="00C60C10">
      <w:pPr>
        <w:pStyle w:val="ListParagraph"/>
        <w:numPr>
          <w:ilvl w:val="0"/>
          <w:numId w:val="14"/>
        </w:numPr>
        <w:spacing w:after="0" w:line="276" w:lineRule="auto"/>
        <w:outlineLvl w:val="1"/>
      </w:pPr>
      <w:r w:rsidRPr="000B64A2">
        <w:t xml:space="preserve">The </w:t>
      </w:r>
      <w:r w:rsidRPr="000B64A2">
        <w:rPr>
          <w:b/>
          <w:bCs/>
        </w:rPr>
        <w:t>Local Government Recycling Acceptance List</w:t>
      </w:r>
      <w:r w:rsidRPr="000B64A2">
        <w:t>, which includes items that local governments must collect as part of their obligations under Oregon’s Opportunity to Recycle Act.</w:t>
      </w:r>
    </w:p>
    <w:p w14:paraId="5D2E2051" w14:textId="77777777" w:rsidR="00C60C10" w:rsidRPr="000B64A2" w:rsidRDefault="00C60C10" w:rsidP="00C60C10">
      <w:pPr>
        <w:pStyle w:val="ListParagraph"/>
        <w:numPr>
          <w:ilvl w:val="0"/>
          <w:numId w:val="14"/>
        </w:numPr>
        <w:spacing w:after="0" w:line="276" w:lineRule="auto"/>
        <w:outlineLvl w:val="1"/>
      </w:pPr>
      <w:r w:rsidRPr="000B64A2">
        <w:t xml:space="preserve">A subset of that list, called the </w:t>
      </w:r>
      <w:r w:rsidRPr="000B64A2">
        <w:rPr>
          <w:b/>
          <w:bCs/>
        </w:rPr>
        <w:t xml:space="preserve">Uniform Statewide Collection List (USCL). </w:t>
      </w:r>
      <w:r w:rsidRPr="000B64A2">
        <w:t>The USCL identifies those items – and only those items – which may be collected commingled (</w:t>
      </w:r>
      <w:proofErr w:type="gramStart"/>
      <w:r w:rsidRPr="000B64A2">
        <w:t>mixed together</w:t>
      </w:r>
      <w:proofErr w:type="gramEnd"/>
      <w:r w:rsidRPr="000B64A2">
        <w:t>).</w:t>
      </w:r>
    </w:p>
    <w:p w14:paraId="4D9AB6BD" w14:textId="77777777" w:rsidR="00C60C10" w:rsidRPr="000B64A2" w:rsidRDefault="00C60C10" w:rsidP="00C60C10">
      <w:pPr>
        <w:pStyle w:val="ListParagraph"/>
        <w:numPr>
          <w:ilvl w:val="0"/>
          <w:numId w:val="14"/>
        </w:numPr>
        <w:spacing w:after="0" w:line="276" w:lineRule="auto"/>
        <w:outlineLvl w:val="1"/>
      </w:pPr>
      <w:r w:rsidRPr="000B64A2">
        <w:t xml:space="preserve">The </w:t>
      </w:r>
      <w:r w:rsidRPr="000B64A2">
        <w:rPr>
          <w:b/>
          <w:bCs/>
        </w:rPr>
        <w:t>Producer Responsibility Organization (PRO) Recycling Acceptance List</w:t>
      </w:r>
      <w:r w:rsidRPr="000B64A2">
        <w:t xml:space="preserve">, which includes items that the PRO must collect for recycling to satisfy its obligation under ORS 459A.896(1). </w:t>
      </w:r>
    </w:p>
    <w:p w14:paraId="43615F67" w14:textId="77777777" w:rsidR="00C60C10" w:rsidRDefault="00C60C10" w:rsidP="00C60C10">
      <w:pPr>
        <w:spacing w:after="0" w:line="276" w:lineRule="auto"/>
      </w:pPr>
    </w:p>
    <w:p w14:paraId="0995DE18" w14:textId="77777777" w:rsidR="00C60C10" w:rsidRDefault="00C60C10" w:rsidP="00C60C10">
      <w:pPr>
        <w:spacing w:after="0" w:line="276" w:lineRule="auto"/>
      </w:pPr>
      <w:r w:rsidRPr="6C60C66A">
        <w:t>Materials on the PRO Recycling Acceptance List are normally collected at recycling depots or other drop-off locations</w:t>
      </w:r>
      <w:r>
        <w:t>, although a PRO may propose alternative collection systems</w:t>
      </w:r>
      <w:r w:rsidRPr="6C60C66A">
        <w:t xml:space="preserve">. Under ORS 459A.914(7), the Commission also established </w:t>
      </w:r>
      <w:r>
        <w:t xml:space="preserve">initial </w:t>
      </w:r>
      <w:r w:rsidRPr="6C60C66A">
        <w:t xml:space="preserve">convenience standards (OAR 340-090-0640), performance standards (OAR 340-090-0650) and collection targets (OAR 340-090-0660) for the PRO list materials. </w:t>
      </w:r>
    </w:p>
    <w:p w14:paraId="7AE13F78" w14:textId="77777777" w:rsidR="004C0E6E" w:rsidRDefault="004C0E6E" w:rsidP="00C60C10">
      <w:pPr>
        <w:spacing w:after="0" w:line="276" w:lineRule="auto"/>
      </w:pPr>
    </w:p>
    <w:p w14:paraId="5575F2DE" w14:textId="5DBF41DE" w:rsidR="00C60C10" w:rsidRPr="008D146D" w:rsidRDefault="00C60C10" w:rsidP="00600049">
      <w:pPr>
        <w:pStyle w:val="Heading4"/>
      </w:pPr>
      <w:r>
        <w:lastRenderedPageBreak/>
        <w:t>Onramp</w:t>
      </w:r>
      <w:r w:rsidR="000A1948">
        <w:t xml:space="preserve"> process</w:t>
      </w:r>
    </w:p>
    <w:p w14:paraId="28F318AC" w14:textId="2E4CE05F" w:rsidR="00C60C10" w:rsidRDefault="00C60C10" w:rsidP="00C60C10">
      <w:pPr>
        <w:spacing w:after="0" w:line="276" w:lineRule="auto"/>
      </w:pPr>
      <w:r w:rsidRPr="4DDE2072">
        <w:t xml:space="preserve">Under ORS 459A.914(4)(b), items can be added to the Uniform Statewide Collection List through a process separate from rulemaking. This process is often informally referred to as an “onramp”. The process involves the PRO proposing to add to the USCL via a program plan or plan amendment. Under ORS 459A.878, DEQ is required to consult with the Oregon Recycling System Advisory Council and provide </w:t>
      </w:r>
      <w:proofErr w:type="gramStart"/>
      <w:r w:rsidRPr="4DDE2072">
        <w:t>opportunity</w:t>
      </w:r>
      <w:proofErr w:type="gramEnd"/>
      <w:r w:rsidRPr="4DDE2072">
        <w:t xml:space="preserve"> for public comment prior to accepting or rejecting such a plan or plan amendment. </w:t>
      </w:r>
    </w:p>
    <w:p w14:paraId="11065927" w14:textId="77777777" w:rsidR="00C60C10" w:rsidRDefault="00C60C10" w:rsidP="00C60C10">
      <w:pPr>
        <w:spacing w:after="0" w:line="276" w:lineRule="auto"/>
      </w:pPr>
    </w:p>
    <w:p w14:paraId="3B96D867" w14:textId="2D903479" w:rsidR="00C60C10" w:rsidRPr="008D146D" w:rsidRDefault="00C60C10" w:rsidP="00600049">
      <w:pPr>
        <w:pStyle w:val="Heading4"/>
      </w:pPr>
      <w:r>
        <w:t>Offramp</w:t>
      </w:r>
      <w:r w:rsidR="000A1948">
        <w:t xml:space="preserve"> process</w:t>
      </w:r>
    </w:p>
    <w:p w14:paraId="24F8B9D7" w14:textId="77777777" w:rsidR="00C60C10" w:rsidRDefault="00C60C10" w:rsidP="00C60C10">
      <w:pPr>
        <w:spacing w:after="0" w:line="276" w:lineRule="auto"/>
      </w:pPr>
      <w:r w:rsidRPr="0CDF789C">
        <w:t xml:space="preserve">Materials can also be removed from recycling acceptance lists, either by rule or by approval of a program plan or plan amendment. One specific offramp requirement is called out in OAR 340-090-0670(5), which relates to the PRO’s obligation to ensure that certain materials flow to responsible end-markets, if doing so is “practicable”. OAR 340-090-0670(5) defines “practicable” and establishes a process by which a PRO can claim that it is not “practicable” to ensure that materials flow to responsible end-markets. If DEQ agrees with such a claim, DEQ is then required to review the material in question and reconsider its inclusion in a recycling acceptance list. Removal from the recycling acceptance list is not required, but consideration of removal is. </w:t>
      </w:r>
    </w:p>
    <w:p w14:paraId="74FE3F73" w14:textId="77777777" w:rsidR="00C60C10" w:rsidRPr="00FD48B7" w:rsidRDefault="00C60C10" w:rsidP="00C60C10">
      <w:pPr>
        <w:spacing w:after="0" w:line="276" w:lineRule="auto"/>
      </w:pPr>
    </w:p>
    <w:p w14:paraId="48984B3F" w14:textId="41FB05EF" w:rsidR="00CD2223" w:rsidRDefault="00C60C10" w:rsidP="00C60C10">
      <w:pPr>
        <w:pStyle w:val="Heading2"/>
        <w:spacing w:before="0" w:after="0" w:line="276" w:lineRule="auto"/>
      </w:pPr>
      <w:r>
        <w:t>Consideration</w:t>
      </w:r>
      <w:r w:rsidR="00CD2223">
        <w:t>s</w:t>
      </w:r>
      <w:r>
        <w:t xml:space="preserve"> </w:t>
      </w:r>
    </w:p>
    <w:p w14:paraId="58D51084" w14:textId="625BFCD2" w:rsidR="00C60C10" w:rsidRDefault="00CD2223" w:rsidP="00600049">
      <w:pPr>
        <w:pStyle w:val="Heading4"/>
      </w:pPr>
      <w:r>
        <w:t>M</w:t>
      </w:r>
      <w:r w:rsidR="00C60C10">
        <w:t xml:space="preserve">aterial </w:t>
      </w:r>
      <w:r w:rsidR="000A1948">
        <w:t>p</w:t>
      </w:r>
      <w:r w:rsidR="00C60C10">
        <w:t>lacement on Recycling Acceptance Lists</w:t>
      </w:r>
      <w:r w:rsidR="00892D19">
        <w:t>; statutory criteria</w:t>
      </w:r>
    </w:p>
    <w:p w14:paraId="00E78DF8" w14:textId="77777777" w:rsidR="00C60C10" w:rsidRDefault="00C60C10" w:rsidP="00C60C10">
      <w:pPr>
        <w:spacing w:after="0" w:line="276" w:lineRule="auto"/>
      </w:pPr>
      <w:r w:rsidRPr="6C60C66A">
        <w:t xml:space="preserve">Under ORS 459A.914(3), the Commission is required to consider </w:t>
      </w:r>
      <w:proofErr w:type="gramStart"/>
      <w:r w:rsidRPr="6C60C66A">
        <w:t>a number of</w:t>
      </w:r>
      <w:proofErr w:type="gramEnd"/>
      <w:r w:rsidRPr="6C60C66A">
        <w:t xml:space="preserve"> factors when determining whether a material should be included on a</w:t>
      </w:r>
      <w:r>
        <w:t>ny given</w:t>
      </w:r>
      <w:r w:rsidRPr="6C60C66A">
        <w:t xml:space="preserve"> recycling acceptance list. </w:t>
      </w:r>
      <w:r>
        <w:t xml:space="preserve">OAR 340-090-0630(4)(g) requires a PRO to address the same factors in any proposal to onramp materials to the Uniform Statewide Collection List. </w:t>
      </w:r>
    </w:p>
    <w:p w14:paraId="4E3E19CA" w14:textId="77777777" w:rsidR="00C60C10" w:rsidRDefault="00C60C10" w:rsidP="00C60C10">
      <w:pPr>
        <w:spacing w:after="0" w:line="276" w:lineRule="auto"/>
      </w:pPr>
    </w:p>
    <w:p w14:paraId="3F704B27" w14:textId="77777777" w:rsidR="00C60C10" w:rsidRPr="00C53110" w:rsidRDefault="00C60C10" w:rsidP="00C60C10">
      <w:pPr>
        <w:spacing w:after="0" w:line="276" w:lineRule="auto"/>
      </w:pPr>
      <w:r w:rsidRPr="00C53110">
        <w:t xml:space="preserve">These evaluation criteria are interpreted as follows: </w:t>
      </w:r>
    </w:p>
    <w:p w14:paraId="51FFE445" w14:textId="77777777" w:rsidR="00C60C10" w:rsidRPr="00BD4F1C" w:rsidRDefault="00C60C10" w:rsidP="00C60C10">
      <w:pPr>
        <w:pStyle w:val="ListParagraph"/>
        <w:numPr>
          <w:ilvl w:val="0"/>
          <w:numId w:val="15"/>
        </w:numPr>
        <w:spacing w:after="0" w:line="276" w:lineRule="auto"/>
      </w:pPr>
      <w:r w:rsidRPr="00C53110">
        <w:t>Relating to responsible end markets:</w:t>
      </w:r>
    </w:p>
    <w:p w14:paraId="60E50162" w14:textId="77777777" w:rsidR="00C60C10" w:rsidRPr="00BD4F1C" w:rsidRDefault="00C60C10" w:rsidP="00C60C10">
      <w:pPr>
        <w:pStyle w:val="ListParagraph"/>
        <w:numPr>
          <w:ilvl w:val="1"/>
          <w:numId w:val="15"/>
        </w:numPr>
        <w:spacing w:after="0" w:line="276" w:lineRule="auto"/>
        <w:outlineLvl w:val="1"/>
      </w:pPr>
      <w:r w:rsidRPr="4DDE2072">
        <w:t xml:space="preserve">“Stability” and “maturity” may relate to both historic and anticipated near-term future considerations, and address both presence of the responsible end market (availability to use materials) and stability of prices. Further, a market with a single or limited number of buyers would be considered “less stable”. </w:t>
      </w:r>
    </w:p>
    <w:p w14:paraId="4C72F008" w14:textId="77777777" w:rsidR="00C60C10" w:rsidRPr="00BD4F1C" w:rsidRDefault="00C60C10" w:rsidP="00C60C10">
      <w:pPr>
        <w:pStyle w:val="ListParagraph"/>
        <w:numPr>
          <w:ilvl w:val="1"/>
          <w:numId w:val="15"/>
        </w:numPr>
        <w:spacing w:after="0" w:line="276" w:lineRule="auto"/>
        <w:outlineLvl w:val="1"/>
      </w:pPr>
      <w:r w:rsidRPr="00C53110">
        <w:t>“Accessibility” is largely a measure of location and distance (and by extension, cost)</w:t>
      </w:r>
    </w:p>
    <w:p w14:paraId="706F3E2B" w14:textId="77777777" w:rsidR="00C60C10" w:rsidRPr="00BD4F1C" w:rsidRDefault="00C60C10" w:rsidP="00C60C10">
      <w:pPr>
        <w:pStyle w:val="ListParagraph"/>
        <w:numPr>
          <w:ilvl w:val="1"/>
          <w:numId w:val="15"/>
        </w:numPr>
        <w:spacing w:after="0" w:line="276" w:lineRule="auto"/>
      </w:pPr>
      <w:r w:rsidRPr="00C53110">
        <w:t xml:space="preserve">“Viability” is a summation of prior sub-criteria and any other relevant considerations. </w:t>
      </w:r>
    </w:p>
    <w:p w14:paraId="76B0DA99" w14:textId="77777777" w:rsidR="00C60C10" w:rsidRDefault="00C60C10" w:rsidP="00C60C10">
      <w:pPr>
        <w:pStyle w:val="ListParagraph"/>
        <w:numPr>
          <w:ilvl w:val="0"/>
          <w:numId w:val="15"/>
        </w:numPr>
        <w:spacing w:after="0" w:line="276" w:lineRule="auto"/>
        <w:outlineLvl w:val="1"/>
      </w:pPr>
      <w:r>
        <w:t xml:space="preserve">“Anticipated yield loss” may relate to all stages of the recycling process (collection, processing/sorting, and end markets). It is evaluated from the perspective of materials that are properly separated and placed into the recycling system; “yield loss” does not account for materials that are lost to recycling because they are not separated and placed into the recycling system by the material user (waste generator). </w:t>
      </w:r>
    </w:p>
    <w:p w14:paraId="79BF1DD5" w14:textId="77777777" w:rsidR="00C60C10" w:rsidRDefault="00C60C10" w:rsidP="00C60C10">
      <w:pPr>
        <w:pStyle w:val="ListParagraph"/>
        <w:numPr>
          <w:ilvl w:val="1"/>
          <w:numId w:val="15"/>
        </w:numPr>
        <w:spacing w:after="0" w:line="276" w:lineRule="auto"/>
      </w:pPr>
      <w:r w:rsidRPr="00C53110">
        <w:t xml:space="preserve">Yield loss is limited to loss of the targeted material (properly prepared) along with any original packaging that is </w:t>
      </w:r>
      <w:proofErr w:type="gramStart"/>
      <w:r w:rsidRPr="00C53110">
        <w:t>adhered</w:t>
      </w:r>
      <w:proofErr w:type="gramEnd"/>
      <w:r w:rsidRPr="00C53110">
        <w:t xml:space="preserve"> or attached to it, such as labels. It does not include “loss” of non-target material that accompanies the material, whether due to failure to properly prepare materials (e.g., ketchup in a ketchup bottle), or the addition of contaminants either by the user (e.g., limes in a beer bottle) or during the recycling process (e.g., rainwater in bales of paper stored outside).</w:t>
      </w:r>
    </w:p>
    <w:p w14:paraId="33E87721" w14:textId="77777777" w:rsidR="00C60C10" w:rsidRPr="00BD4F1C" w:rsidRDefault="00C60C10" w:rsidP="00C60C10">
      <w:pPr>
        <w:pStyle w:val="ListParagraph"/>
        <w:numPr>
          <w:ilvl w:val="1"/>
          <w:numId w:val="15"/>
        </w:numPr>
        <w:spacing w:after="0" w:line="276" w:lineRule="auto"/>
      </w:pPr>
      <w:r>
        <w:t xml:space="preserve">Yield loss primarily occurs in commingled processing facilities and at end markets. For purposes of ORS 459A.914(3) “yield loss” refers to cumulative loss of materials across the entire recycling process. A subset of that total, yield loss limited to within the commingled recycling processing </w:t>
      </w:r>
      <w:r>
        <w:lastRenderedPageBreak/>
        <w:t xml:space="preserve">facility, is mathematically related to “capture rate” (a performance standard criteria for processing facilities), where capture rate is the inverse of yield loss (capture rate + yield loss in the CRPF = 100%). </w:t>
      </w:r>
    </w:p>
    <w:p w14:paraId="782F057A" w14:textId="77777777" w:rsidR="00C60C10" w:rsidRPr="00BD4F1C" w:rsidRDefault="00C60C10" w:rsidP="00C60C10">
      <w:pPr>
        <w:pStyle w:val="ListParagraph"/>
        <w:numPr>
          <w:ilvl w:val="0"/>
          <w:numId w:val="15"/>
        </w:numPr>
        <w:spacing w:after="0" w:line="276" w:lineRule="auto"/>
        <w:outlineLvl w:val="1"/>
      </w:pPr>
      <w:r w:rsidRPr="0CDF789C">
        <w:t xml:space="preserve">“Compatibility with existing recycling infrastructure” – statutory criteria are split here into two sub-criteria: compatibility with </w:t>
      </w:r>
      <w:r w:rsidRPr="0CDF789C">
        <w:rPr>
          <w:i/>
          <w:iCs/>
        </w:rPr>
        <w:t>commingled</w:t>
      </w:r>
      <w:r w:rsidRPr="0CDF789C">
        <w:t xml:space="preserve"> collection and processing, and compatibility with </w:t>
      </w:r>
      <w:r w:rsidRPr="0CDF789C">
        <w:rPr>
          <w:i/>
          <w:iCs/>
        </w:rPr>
        <w:t>separate</w:t>
      </w:r>
      <w:r w:rsidRPr="0CDF789C">
        <w:t xml:space="preserve"> (non-commingled) material collection and processing. Note that drop-off collection can be either commingled or separated. </w:t>
      </w:r>
    </w:p>
    <w:p w14:paraId="3EF20704" w14:textId="77777777" w:rsidR="00C60C10" w:rsidRPr="00BD4F1C" w:rsidRDefault="00C60C10" w:rsidP="00C60C10">
      <w:pPr>
        <w:pStyle w:val="ListParagraph"/>
        <w:numPr>
          <w:ilvl w:val="0"/>
          <w:numId w:val="15"/>
        </w:numPr>
        <w:spacing w:after="0" w:line="276" w:lineRule="auto"/>
        <w:outlineLvl w:val="1"/>
      </w:pPr>
      <w:r w:rsidRPr="4DDE2072">
        <w:t xml:space="preserve">“Amount of material available” relates to the quantity of material </w:t>
      </w:r>
      <w:r w:rsidRPr="4DDE2072">
        <w:rPr>
          <w:i/>
          <w:iCs/>
        </w:rPr>
        <w:t>generated</w:t>
      </w:r>
      <w:r w:rsidRPr="4DDE2072">
        <w:t xml:space="preserve">. It considers both the quantity of materials available as individual materials, as well as in potential combination with each other.  </w:t>
      </w:r>
    </w:p>
    <w:p w14:paraId="6603FB4B" w14:textId="77777777" w:rsidR="00C60C10" w:rsidRPr="00BD4F1C" w:rsidRDefault="00C60C10" w:rsidP="00C60C10">
      <w:pPr>
        <w:pStyle w:val="ListParagraph"/>
        <w:numPr>
          <w:ilvl w:val="0"/>
          <w:numId w:val="15"/>
        </w:numPr>
        <w:spacing w:after="0" w:line="276" w:lineRule="auto"/>
      </w:pPr>
      <w:r w:rsidRPr="00C53110">
        <w:t>“Practicalities of sorting material” relates primarily to the ease of separating the material from other materials if collected in a commingled collection system.</w:t>
      </w:r>
    </w:p>
    <w:p w14:paraId="41CC5A17" w14:textId="77777777" w:rsidR="00C60C10" w:rsidRPr="00BD4F1C" w:rsidRDefault="00C60C10" w:rsidP="00C60C10">
      <w:pPr>
        <w:pStyle w:val="ListParagraph"/>
        <w:numPr>
          <w:ilvl w:val="0"/>
          <w:numId w:val="15"/>
        </w:numPr>
        <w:spacing w:after="0" w:line="276" w:lineRule="auto"/>
        <w:outlineLvl w:val="1"/>
      </w:pPr>
      <w:r>
        <w:t>“Practicalities of storing material” may relate to the practicality of storing the material unbaled (e.g., volume requirements relative to weight/value), the ability of the material to be baled or otherwise densified or contained, and the practicality of storing material (including how quickly the materials might move and whether they are subject to potential degradation during a prolonged period of storage, such as due to moisture).</w:t>
      </w:r>
    </w:p>
    <w:p w14:paraId="57A90922" w14:textId="77777777" w:rsidR="00C60C10" w:rsidRPr="00BD4F1C" w:rsidRDefault="00C60C10" w:rsidP="00C60C10">
      <w:pPr>
        <w:pStyle w:val="ListParagraph"/>
        <w:numPr>
          <w:ilvl w:val="0"/>
          <w:numId w:val="15"/>
        </w:numPr>
        <w:spacing w:after="0" w:line="276" w:lineRule="auto"/>
        <w:outlineLvl w:val="1"/>
      </w:pPr>
      <w:r w:rsidRPr="00C53110">
        <w:t xml:space="preserve"> “Contamination” includes two considerations. The first is the potential of a material to bring contamination with it (e.g., OCC often brings tape and/or staples; food containers may bring food into the system; the acceptance of some plastics may lead generators to include other plastics; etc.). The second consideration is the nature of the contamination, the potential for “look-alike” contamination, its ability to be removed in a commingled recycling processing facility, and potential impacts downstream. For example, food that is included with aluminum foil is not practical for </w:t>
      </w:r>
      <w:proofErr w:type="gramStart"/>
      <w:r w:rsidRPr="00C53110">
        <w:t>a CRPF</w:t>
      </w:r>
      <w:proofErr w:type="gramEnd"/>
      <w:r w:rsidRPr="00C53110">
        <w:t xml:space="preserve"> to remove. </w:t>
      </w:r>
    </w:p>
    <w:p w14:paraId="0AD042F5" w14:textId="77777777" w:rsidR="00C60C10" w:rsidRPr="00BD4F1C" w:rsidRDefault="00C60C10" w:rsidP="00C60C10">
      <w:pPr>
        <w:pStyle w:val="ListParagraph"/>
        <w:numPr>
          <w:ilvl w:val="0"/>
          <w:numId w:val="15"/>
        </w:numPr>
        <w:spacing w:after="0" w:line="276" w:lineRule="auto"/>
      </w:pPr>
      <w:r w:rsidRPr="00C53110">
        <w:t>“Ability for waste generators to easily identify and properly prepare the material” relates to both identification and proper preparation of materials.</w:t>
      </w:r>
    </w:p>
    <w:p w14:paraId="72A5702A" w14:textId="77777777" w:rsidR="00C60C10" w:rsidRPr="00BD4F1C" w:rsidRDefault="00C60C10" w:rsidP="00C60C10">
      <w:pPr>
        <w:pStyle w:val="ListParagraph"/>
        <w:numPr>
          <w:ilvl w:val="0"/>
          <w:numId w:val="15"/>
        </w:numPr>
        <w:spacing w:after="0" w:line="276" w:lineRule="auto"/>
        <w:outlineLvl w:val="1"/>
      </w:pPr>
      <w:r w:rsidRPr="00C53110">
        <w:t>“Economic factors” include both transactional costs (e.g., fuel, labor, and capital) as well as externalized costs (e.g., economic damages resulting from pollution).</w:t>
      </w:r>
      <w:r>
        <w:t xml:space="preserve"> Costs can also be incurred by different parties, e.g., producers (via the PRO), service providers, local governments, ratepayers, residents, and/or system users. </w:t>
      </w:r>
      <w:r w:rsidRPr="00C53110">
        <w:t xml:space="preserve"> </w:t>
      </w:r>
    </w:p>
    <w:p w14:paraId="4FCD002E" w14:textId="77777777" w:rsidR="00C60C10" w:rsidRPr="00BD4F1C" w:rsidRDefault="00C60C10" w:rsidP="00C60C10">
      <w:pPr>
        <w:pStyle w:val="ListParagraph"/>
        <w:numPr>
          <w:ilvl w:val="0"/>
          <w:numId w:val="15"/>
        </w:numPr>
        <w:spacing w:after="0" w:line="276" w:lineRule="auto"/>
        <w:outlineLvl w:val="1"/>
      </w:pPr>
      <w:r w:rsidRPr="00C53110">
        <w:t xml:space="preserve">“Environmental health and safety” </w:t>
      </w:r>
      <w:proofErr w:type="gramStart"/>
      <w:r w:rsidRPr="00C53110">
        <w:t>is</w:t>
      </w:r>
      <w:proofErr w:type="gramEnd"/>
      <w:r w:rsidRPr="00C53110">
        <w:t xml:space="preserve"> primarily a qualitative measure that considers safety and health impacts for workers, and whether the end market(s) is (are) likely to properly manage contaminants. </w:t>
      </w:r>
    </w:p>
    <w:p w14:paraId="068CC78C" w14:textId="77777777" w:rsidR="00C60C10" w:rsidRPr="00BD4F1C" w:rsidRDefault="00C60C10" w:rsidP="00C60C10">
      <w:pPr>
        <w:pStyle w:val="ListParagraph"/>
        <w:numPr>
          <w:ilvl w:val="0"/>
          <w:numId w:val="15"/>
        </w:numPr>
        <w:spacing w:after="0" w:line="276" w:lineRule="auto"/>
        <w:outlineLvl w:val="1"/>
      </w:pPr>
      <w:r w:rsidRPr="00C53110">
        <w:t xml:space="preserve">“Environmental factors from a life cycle perspective” includes life cycle impacts such as greenhouse gas emissions, depletion of nonrenewable resources, air and water toxics, etc. Not all materials </w:t>
      </w:r>
      <w:r>
        <w:t>and recycling pathways are</w:t>
      </w:r>
      <w:r w:rsidRPr="00C53110">
        <w:t xml:space="preserve"> evaluated </w:t>
      </w:r>
      <w:r>
        <w:t xml:space="preserve">quantitatively </w:t>
      </w:r>
      <w:r w:rsidRPr="00C53110">
        <w:t>for environmental factors (for example, if they score poorly against multiple other criteria are not considered viable for recycling).</w:t>
      </w:r>
    </w:p>
    <w:p w14:paraId="0038E577" w14:textId="250F8747" w:rsidR="00C60C10" w:rsidRPr="00C53110" w:rsidRDefault="00C60C10" w:rsidP="00C60C10">
      <w:pPr>
        <w:pStyle w:val="ListParagraph"/>
        <w:numPr>
          <w:ilvl w:val="0"/>
          <w:numId w:val="15"/>
        </w:numPr>
        <w:spacing w:after="0" w:line="276" w:lineRule="auto"/>
      </w:pPr>
      <w:r>
        <w:t xml:space="preserve">: </w:t>
      </w:r>
      <w:r w:rsidR="1E66FBC0">
        <w:t>“Policy in ORS 459.015(2)(a) to (c)”</w:t>
      </w:r>
      <w:r w:rsidR="1F0B92E8">
        <w:t xml:space="preserve">: </w:t>
      </w:r>
      <w:r w:rsidR="1E66FBC0">
        <w:t xml:space="preserve">For purposes of this evaluation, </w:t>
      </w:r>
      <w:r w:rsidR="7FB59022">
        <w:t xml:space="preserve">459.015(2)(a) overlaps strongly with “environmental factors from a life cycle perspective” (above), while 459A.015(2)(c) </w:t>
      </w:r>
      <w:r w:rsidR="1E66FBC0">
        <w:t xml:space="preserve">relates to the ability of the material to be recycled via responsible end markets that result in the greatest reduction of net negative impacts on human well-being and environmental health, responsible end markets that displace the production of more impactful materials, and processes that best preserve the value and molecular structure of the material being recycled. </w:t>
      </w:r>
    </w:p>
    <w:p w14:paraId="21C7B4B0" w14:textId="77777777" w:rsidR="00C60C10" w:rsidRDefault="00C60C10" w:rsidP="00C60C10"/>
    <w:p w14:paraId="056B8F19" w14:textId="380C010B" w:rsidR="00C60C10" w:rsidRDefault="00C60C10" w:rsidP="00C60C10">
      <w:r>
        <w:t xml:space="preserve">One function of the Technical Workgroup on Glass Recycling is to assist DEQ in understanding how different options for recycling glass </w:t>
      </w:r>
      <w:r w:rsidR="00F07ECA">
        <w:t xml:space="preserve">perform </w:t>
      </w:r>
      <w:r>
        <w:t>against th</w:t>
      </w:r>
      <w:r w:rsidR="00E07300">
        <w:t>ese</w:t>
      </w:r>
      <w:r>
        <w:t xml:space="preserve"> statutory criteria. </w:t>
      </w:r>
    </w:p>
    <w:p w14:paraId="03433BA1" w14:textId="7A090775" w:rsidR="00892D19" w:rsidRDefault="00892D19" w:rsidP="00E41419">
      <w:pPr>
        <w:pStyle w:val="Heading2"/>
        <w:rPr>
          <w:rStyle w:val="Heading4Char"/>
        </w:rPr>
      </w:pPr>
    </w:p>
    <w:p w14:paraId="0A5D54B4" w14:textId="5D78EDAF" w:rsidR="00C60C10" w:rsidRPr="00600049" w:rsidRDefault="00892D19" w:rsidP="00600049">
      <w:pPr>
        <w:pStyle w:val="Heading4"/>
        <w:rPr>
          <w:rStyle w:val="Heading4Char"/>
          <w:b/>
        </w:rPr>
      </w:pPr>
      <w:r w:rsidRPr="00600049">
        <w:rPr>
          <w:rStyle w:val="Heading4Char"/>
          <w:b/>
        </w:rPr>
        <w:t>Other considerations</w:t>
      </w:r>
    </w:p>
    <w:p w14:paraId="11F1CBC1" w14:textId="381071E8" w:rsidR="00C60C10" w:rsidRDefault="00C60C10" w:rsidP="00C60C10">
      <w:r>
        <w:t xml:space="preserve">Prior to evaluating options, the Technical Workgroup on Glass Recycling will first assist DEQ with identifying opportunities to reduce costs for glass producers. Options will then be considered </w:t>
      </w:r>
      <w:proofErr w:type="gramStart"/>
      <w:r>
        <w:t>in light of</w:t>
      </w:r>
      <w:proofErr w:type="gramEnd"/>
      <w:r>
        <w:t xml:space="preserve"> the statutory evaluation criteria described above</w:t>
      </w:r>
      <w:r w:rsidR="00F53516">
        <w:t xml:space="preserve"> and other consi</w:t>
      </w:r>
      <w:r w:rsidR="00552754">
        <w:t>derations</w:t>
      </w:r>
      <w:r>
        <w:t>.</w:t>
      </w:r>
    </w:p>
    <w:p w14:paraId="042271C6" w14:textId="305DA7C3" w:rsidR="00C60C10" w:rsidRDefault="00EE34D7" w:rsidP="00C60C10">
      <w:r>
        <w:t>O</w:t>
      </w:r>
      <w:r w:rsidR="00C60C10">
        <w:t xml:space="preserve">ptions that reduce costs to producers through changing the placement of glass on recycling acceptance lists, or changing convenience standards for glass collected under the PRO Recycling Acceptance List, can </w:t>
      </w:r>
      <w:r>
        <w:t xml:space="preserve">generally </w:t>
      </w:r>
      <w:r w:rsidR="00C60C10">
        <w:t xml:space="preserve">be classified into two discrete </w:t>
      </w:r>
      <w:r>
        <w:t>categories</w:t>
      </w:r>
      <w:r w:rsidR="007956D6">
        <w:t>,</w:t>
      </w:r>
      <w:r w:rsidR="00552754">
        <w:t xml:space="preserve"> </w:t>
      </w:r>
      <w:r w:rsidR="007956D6">
        <w:t xml:space="preserve">those </w:t>
      </w:r>
      <w:r w:rsidR="00552754">
        <w:t>which</w:t>
      </w:r>
      <w:r w:rsidR="00C60C10">
        <w:t xml:space="preserve">: </w:t>
      </w:r>
    </w:p>
    <w:p w14:paraId="3873776C" w14:textId="715B3D52" w:rsidR="00C60C10" w:rsidRDefault="00344803" w:rsidP="00600049">
      <w:pPr>
        <w:pStyle w:val="ListParagraph"/>
        <w:numPr>
          <w:ilvl w:val="0"/>
          <w:numId w:val="19"/>
        </w:numPr>
        <w:spacing w:after="160"/>
      </w:pPr>
      <w:r>
        <w:t xml:space="preserve">Reduce overall costs. </w:t>
      </w:r>
      <w:r w:rsidR="00C60C10">
        <w:t xml:space="preserve">Changes that will reduce costs for producers by reducing </w:t>
      </w:r>
      <w:r w:rsidR="00C60C10" w:rsidRPr="002544BB">
        <w:rPr>
          <w:i/>
          <w:iCs/>
        </w:rPr>
        <w:t>overall</w:t>
      </w:r>
      <w:r w:rsidR="00C60C10">
        <w:t xml:space="preserve"> costs of glass collection (across the entire system). These options may involve maintaining baseline levels of service but delivering that service in more cost-effective ways. They may also involve reducing service levels (and the amount of glass collected for recycling).</w:t>
      </w:r>
    </w:p>
    <w:p w14:paraId="40B93071" w14:textId="16DC123A" w:rsidR="00C60C10" w:rsidRDefault="00344803" w:rsidP="00600049">
      <w:pPr>
        <w:pStyle w:val="ListParagraph"/>
        <w:numPr>
          <w:ilvl w:val="0"/>
          <w:numId w:val="19"/>
        </w:numPr>
        <w:spacing w:after="160"/>
      </w:pPr>
      <w:r>
        <w:t xml:space="preserve">Shift costs. </w:t>
      </w:r>
      <w:r w:rsidR="00C60C10">
        <w:t xml:space="preserve">Changes that will reduce costs for producers by shifting obligations from the PRO to local governments, service providers and garbage/recycling system ratepayers. </w:t>
      </w:r>
    </w:p>
    <w:p w14:paraId="43A53F79" w14:textId="77777777" w:rsidR="00470187" w:rsidRDefault="00470187" w:rsidP="00470187">
      <w:pPr>
        <w:pStyle w:val="Heading2"/>
      </w:pPr>
      <w:r>
        <w:t xml:space="preserve">Preliminary list of options </w:t>
      </w:r>
    </w:p>
    <w:p w14:paraId="1B844076" w14:textId="77777777" w:rsidR="00C60C10" w:rsidRDefault="00C60C10" w:rsidP="00C60C10">
      <w:r>
        <w:t xml:space="preserve">Below, DEQ shares a preliminary list of options that </w:t>
      </w:r>
      <w:r>
        <w:rPr>
          <w:i/>
          <w:iCs/>
        </w:rPr>
        <w:t>might</w:t>
      </w:r>
      <w:r>
        <w:t xml:space="preserve"> reduce costs to producers, with a focus on changing the placement of glass on recycling acceptance lists, as well as changing convenience standards if glass remains on the PRO Recycling Acceptance List. This list is offered as a starting point for discussion with the Technical Workgroup, and DEQ invites members and others to identify additional options. </w:t>
      </w:r>
    </w:p>
    <w:p w14:paraId="3BA9A770" w14:textId="77777777" w:rsidR="00C60C10" w:rsidRDefault="00C60C10" w:rsidP="00600049">
      <w:pPr>
        <w:pStyle w:val="ListParagraph"/>
        <w:numPr>
          <w:ilvl w:val="0"/>
          <w:numId w:val="20"/>
        </w:numPr>
      </w:pPr>
      <w:r>
        <w:t xml:space="preserve">Options included here are limited to those that are consistent with the requirements of statute, and feasible as the statute is currently written. Many of these options would require changes to administrative rules, and some would require changes to the PRO’s Program Plan. </w:t>
      </w:r>
    </w:p>
    <w:p w14:paraId="768952D8" w14:textId="77777777" w:rsidR="00C60C10" w:rsidRDefault="00C60C10" w:rsidP="00600049">
      <w:pPr>
        <w:pStyle w:val="ListParagraph"/>
        <w:numPr>
          <w:ilvl w:val="0"/>
          <w:numId w:val="20"/>
        </w:numPr>
      </w:pPr>
      <w:r>
        <w:t xml:space="preserve">No evaluation of these options is offered or implied in this document. DEQ plans to center Workgroup conversations first around identifying options, and then subsequently around evaluating those options. </w:t>
      </w:r>
    </w:p>
    <w:p w14:paraId="4934E5FA" w14:textId="77777777" w:rsidR="0097721E" w:rsidRDefault="0097721E" w:rsidP="00C60C10"/>
    <w:p w14:paraId="561F752E" w14:textId="77777777" w:rsidR="00C60C10" w:rsidRDefault="00C60C10" w:rsidP="00600049">
      <w:pPr>
        <w:pStyle w:val="Heading4"/>
      </w:pPr>
      <w:r>
        <w:t>Options involving local government mandates:</w:t>
      </w:r>
    </w:p>
    <w:p w14:paraId="0FDF5582" w14:textId="2760C07E" w:rsidR="00C60C10" w:rsidRPr="00F116E8" w:rsidRDefault="00C60C10" w:rsidP="00C60C10">
      <w:pPr>
        <w:pStyle w:val="ListParagraph"/>
        <w:numPr>
          <w:ilvl w:val="0"/>
          <w:numId w:val="17"/>
        </w:numPr>
        <w:spacing w:after="160"/>
        <w:rPr>
          <w:u w:val="single"/>
        </w:rPr>
      </w:pPr>
      <w:r w:rsidRPr="0097721E">
        <w:rPr>
          <w:b/>
          <w:bCs/>
        </w:rPr>
        <w:t xml:space="preserve">Place glass packaging on the Local Government Recycling Acceptance List (statewide) and designate it for the Uniform Statewide Collection List </w:t>
      </w:r>
      <w:r w:rsidR="0097721E">
        <w:br/>
      </w:r>
      <w:r>
        <w:t xml:space="preserve">This change would make glass packaging a material subject to Opportunity to Recycle requirements. Solid waste disposal sites would need to </w:t>
      </w:r>
      <w:proofErr w:type="gramStart"/>
      <w:r>
        <w:t>provide</w:t>
      </w:r>
      <w:proofErr w:type="gramEnd"/>
      <w:r>
        <w:t xml:space="preserve"> for glass collection. On-route collection programs would also need to provide for glass collection, at a minimum </w:t>
      </w:r>
      <w:proofErr w:type="gramStart"/>
      <w:r>
        <w:t>on a monthly basis</w:t>
      </w:r>
      <w:proofErr w:type="gramEnd"/>
      <w:r>
        <w:t xml:space="preserve"> in some communities, or weekly in others.</w:t>
      </w:r>
      <w:r>
        <w:rPr>
          <w:rStyle w:val="FootnoteReference"/>
        </w:rPr>
        <w:footnoteReference w:id="3"/>
      </w:r>
      <w:r>
        <w:t xml:space="preserve"> Inclusion of glass in the USCL would </w:t>
      </w:r>
      <w:r w:rsidRPr="1E66FBC0">
        <w:rPr>
          <w:i/>
          <w:iCs/>
        </w:rPr>
        <w:t>allow</w:t>
      </w:r>
      <w:r>
        <w:t xml:space="preserve"> local governments to collect glass in a single-stream collection program, but single-stream collection would not be mandated.</w:t>
      </w:r>
      <w:r>
        <w:rPr>
          <w:rStyle w:val="FootnoteReference"/>
        </w:rPr>
        <w:footnoteReference w:id="4"/>
      </w:r>
      <w:r>
        <w:t xml:space="preserve"> </w:t>
      </w:r>
    </w:p>
    <w:p w14:paraId="05E01002" w14:textId="45C57AA3" w:rsidR="00C60C10" w:rsidRPr="00E8781B" w:rsidRDefault="00C60C10" w:rsidP="00C60C10">
      <w:pPr>
        <w:pStyle w:val="ListParagraph"/>
        <w:numPr>
          <w:ilvl w:val="0"/>
          <w:numId w:val="17"/>
        </w:numPr>
        <w:spacing w:after="160"/>
        <w:rPr>
          <w:u w:val="single"/>
        </w:rPr>
      </w:pPr>
      <w:r w:rsidRPr="0097721E">
        <w:rPr>
          <w:b/>
          <w:bCs/>
        </w:rPr>
        <w:t>Place glass packaging on the Local Government Recycling Acceptance List (statewide) but exclude it from the Uniform Statewide Collection List</w:t>
      </w:r>
      <w:r w:rsidR="0097721E">
        <w:rPr>
          <w:u w:val="single"/>
        </w:rPr>
        <w:br/>
      </w:r>
      <w:r>
        <w:t xml:space="preserve">This option is </w:t>
      </w:r>
      <w:proofErr w:type="gramStart"/>
      <w:r>
        <w:t>similar to</w:t>
      </w:r>
      <w:proofErr w:type="gramEnd"/>
      <w:r>
        <w:t xml:space="preserve"> </w:t>
      </w:r>
      <w:r w:rsidR="00420612">
        <w:t>Option 1</w:t>
      </w:r>
      <w:r>
        <w:t xml:space="preserve">, but single-stream collection would be prohibited. On-route collection </w:t>
      </w:r>
      <w:r>
        <w:lastRenderedPageBreak/>
        <w:t>programs would be required to either switch to dual-container collection vehicles, or run a separate vehicle. The costs of operating those collection routes would be borne by ratepayers, although producers would be obligated to pay for up-front capital costs (trucks, bins) under ORS 459A.890(5).</w:t>
      </w:r>
      <w:r>
        <w:rPr>
          <w:rStyle w:val="FootnoteReference"/>
        </w:rPr>
        <w:footnoteReference w:id="5"/>
      </w:r>
      <w:r>
        <w:t xml:space="preserve"> As a cost savings measure for local governments, the EQC, through rule, could also modify the program elements in OAR 340-090-0040 to require on-route collection from single-family homes to be provided only once a month. </w:t>
      </w:r>
    </w:p>
    <w:p w14:paraId="7FD2BD8B" w14:textId="7784DF8A" w:rsidR="00C60C10" w:rsidRPr="00B568B0" w:rsidRDefault="00C60C10" w:rsidP="00C60C10">
      <w:pPr>
        <w:pStyle w:val="ListParagraph"/>
        <w:numPr>
          <w:ilvl w:val="0"/>
          <w:numId w:val="17"/>
        </w:numPr>
        <w:spacing w:after="160"/>
        <w:rPr>
          <w:u w:val="single"/>
        </w:rPr>
      </w:pPr>
      <w:r w:rsidRPr="0097721E">
        <w:rPr>
          <w:b/>
          <w:bCs/>
        </w:rPr>
        <w:t>Option 2 but with limited geographic scope (not statewide)</w:t>
      </w:r>
      <w:r>
        <w:rPr>
          <w:u w:val="single"/>
        </w:rPr>
        <w:t xml:space="preserve"> </w:t>
      </w:r>
      <w:r w:rsidR="0097721E">
        <w:rPr>
          <w:u w:val="single"/>
        </w:rPr>
        <w:br/>
      </w:r>
      <w:r>
        <w:t xml:space="preserve">The placement of glass packaging on the Local Government Recycling Acceptance List could be limited to communities that meet certain criteria. Criteria might </w:t>
      </w:r>
      <w:proofErr w:type="gramStart"/>
      <w:r>
        <w:t>include:</w:t>
      </w:r>
      <w:proofErr w:type="gramEnd"/>
      <w:r>
        <w:t xml:space="preserve"> proximity to end markets, population, </w:t>
      </w:r>
      <w:r w:rsidR="00282F26">
        <w:t>and/</w:t>
      </w:r>
      <w:r>
        <w:t>or baseline status.</w:t>
      </w:r>
      <w:r>
        <w:rPr>
          <w:rStyle w:val="FootnoteReference"/>
        </w:rPr>
        <w:footnoteReference w:id="6"/>
      </w:r>
      <w:r>
        <w:t xml:space="preserve"> Note that this option is not compatible with Option 1 as it would result in two different Uniform Statewide Collection Lists (one with glass, one without), which would make such lists neither uniform nor statewide. </w:t>
      </w:r>
    </w:p>
    <w:p w14:paraId="52BE6CC4" w14:textId="1DC7309D" w:rsidR="00C60C10" w:rsidRPr="008E54A7" w:rsidRDefault="00C60C10" w:rsidP="00C60C10">
      <w:pPr>
        <w:pStyle w:val="ListParagraph"/>
        <w:numPr>
          <w:ilvl w:val="0"/>
          <w:numId w:val="17"/>
        </w:numPr>
        <w:spacing w:after="160"/>
        <w:rPr>
          <w:u w:val="single"/>
        </w:rPr>
      </w:pPr>
      <w:r w:rsidRPr="0097721E">
        <w:rPr>
          <w:b/>
          <w:bCs/>
        </w:rPr>
        <w:t>Place glass on the Local Government Recycling Acceptance List (statewide) but only for depot collection</w:t>
      </w:r>
      <w:r w:rsidR="0097721E">
        <w:rPr>
          <w:u w:val="single"/>
        </w:rPr>
        <w:br/>
      </w:r>
      <w:r>
        <w:t>Without a mandate for on-route collection, glass would be treated akin to “other scrap metal” and motor oil. Entities providing sites where the public disposes of garbage, as well as local governments that choose enhanced depot options as an optional element under the Opportunity to Recycle menu of elements would be required to provide for depot glass collection, at their (and their ratepayers) expense. This option would reduce, but not eliminate</w:t>
      </w:r>
      <w:r w:rsidR="00BA438F">
        <w:t>,</w:t>
      </w:r>
      <w:r>
        <w:t xml:space="preserve"> </w:t>
      </w:r>
      <w:proofErr w:type="gramStart"/>
      <w:r>
        <w:t>the PRO’s</w:t>
      </w:r>
      <w:proofErr w:type="gramEnd"/>
      <w:r>
        <w:t xml:space="preserve"> obligations under the convenience standards for the PRO Recycling Acceptance List. In many communities, those convenience standards are met solely through existing depots at solid waste disposal sites. But in higher-density areas with few transfer stations (e.g., Bend, Eugene and Portland Metro) the current convenience standards require more collection points than can be met simply by existing depots. </w:t>
      </w:r>
      <w:r w:rsidR="00036675">
        <w:t>If glass remains on the PRO Recycling Acceptance List, t</w:t>
      </w:r>
      <w:r>
        <w:t>hese additional “neighborhood-based” collection points</w:t>
      </w:r>
      <w:r w:rsidR="00A80C22">
        <w:t xml:space="preserve">, if </w:t>
      </w:r>
      <w:r w:rsidR="000961B2">
        <w:t xml:space="preserve">still </w:t>
      </w:r>
      <w:r w:rsidR="00A80C22">
        <w:t>mandated,</w:t>
      </w:r>
      <w:r>
        <w:t xml:space="preserve"> would remain an obligation of the PRO.</w:t>
      </w:r>
    </w:p>
    <w:p w14:paraId="6E5F6B00" w14:textId="1BB52391" w:rsidR="00C60C10" w:rsidRPr="009967E8" w:rsidRDefault="009967E8" w:rsidP="00600049">
      <w:pPr>
        <w:pStyle w:val="Heading4"/>
        <w:rPr>
          <w:rStyle w:val="Heading3Char"/>
          <w:bCs w:val="0"/>
          <w:sz w:val="24"/>
          <w:szCs w:val="24"/>
        </w:rPr>
      </w:pPr>
      <w:r>
        <w:rPr>
          <w:rStyle w:val="Heading3Char"/>
          <w:b/>
          <w:bCs w:val="0"/>
          <w:sz w:val="24"/>
          <w:szCs w:val="24"/>
        </w:rPr>
        <w:t>O</w:t>
      </w:r>
      <w:r w:rsidR="00C60C10" w:rsidRPr="009967E8">
        <w:rPr>
          <w:rStyle w:val="Heading3Char"/>
          <w:b/>
          <w:bCs w:val="0"/>
          <w:sz w:val="24"/>
          <w:szCs w:val="24"/>
        </w:rPr>
        <w:t xml:space="preserve">ptions where glass packaging </w:t>
      </w:r>
      <w:r>
        <w:rPr>
          <w:rStyle w:val="Heading3Char"/>
          <w:b/>
          <w:bCs w:val="0"/>
          <w:sz w:val="24"/>
          <w:szCs w:val="24"/>
        </w:rPr>
        <w:t>remains</w:t>
      </w:r>
      <w:r w:rsidR="00C60C10" w:rsidRPr="009967E8">
        <w:rPr>
          <w:rStyle w:val="Heading3Char"/>
          <w:b/>
          <w:bCs w:val="0"/>
          <w:sz w:val="24"/>
          <w:szCs w:val="24"/>
        </w:rPr>
        <w:t xml:space="preserve"> on the PRO Recycling Acceptance List</w:t>
      </w:r>
    </w:p>
    <w:p w14:paraId="5D98C9FF" w14:textId="5A8FE0D7" w:rsidR="00C60C10" w:rsidRDefault="00C60C10" w:rsidP="00C60C10">
      <w:pPr>
        <w:pStyle w:val="ListParagraph"/>
        <w:numPr>
          <w:ilvl w:val="0"/>
          <w:numId w:val="17"/>
        </w:numPr>
        <w:spacing w:after="160"/>
      </w:pPr>
      <w:r w:rsidRPr="0097721E">
        <w:rPr>
          <w:b/>
          <w:bCs/>
        </w:rPr>
        <w:t>Maintain glass packaging on the PRO Recycling Acceptance List, but reduce the convenience standard</w:t>
      </w:r>
      <w:r w:rsidR="0097721E">
        <w:br/>
      </w:r>
      <w:r>
        <w:t>For example, a limited convenience standard might require collections of glass only at existing depots or drop-off sites (such as solid waste transfer stations). In locations such as Bend, Eugene and the Portland Metro area, this would reduce costs to the PRO by reducing the number of “neighborhood-based” collection points.</w:t>
      </w:r>
    </w:p>
    <w:p w14:paraId="498A2429" w14:textId="4994FEFF" w:rsidR="00C60C10" w:rsidRPr="00BE0DC4" w:rsidRDefault="00C60C10" w:rsidP="00C60C10">
      <w:pPr>
        <w:pStyle w:val="ListParagraph"/>
        <w:numPr>
          <w:ilvl w:val="0"/>
          <w:numId w:val="17"/>
        </w:numPr>
        <w:spacing w:after="160"/>
        <w:rPr>
          <w:i/>
          <w:iCs/>
        </w:rPr>
      </w:pPr>
      <w:r w:rsidRPr="0097721E">
        <w:rPr>
          <w:b/>
          <w:bCs/>
        </w:rPr>
        <w:t>Re-examine the on-route collection subsidy</w:t>
      </w:r>
      <w:r w:rsidR="0097721E">
        <w:rPr>
          <w:u w:val="single"/>
        </w:rPr>
        <w:br/>
      </w:r>
      <w:r>
        <w:t xml:space="preserve">Statute and </w:t>
      </w:r>
      <w:proofErr w:type="gramStart"/>
      <w:r>
        <w:t>rule</w:t>
      </w:r>
      <w:proofErr w:type="gramEnd"/>
      <w:r>
        <w:t xml:space="preserve"> do not require the PRO to offer a subsidy for on-route collection, but the subsidy is a natural outgrowth of the underlying financial motivation of the PRO.</w:t>
      </w:r>
      <w:r>
        <w:rPr>
          <w:rStyle w:val="FootnoteReference"/>
        </w:rPr>
        <w:footnoteReference w:id="7"/>
      </w:r>
      <w:r>
        <w:t xml:space="preserve"> However, the way in which the </w:t>
      </w:r>
      <w:r>
        <w:lastRenderedPageBreak/>
        <w:t xml:space="preserve">incentive has been implemented might offer opportunities for financial savings. First, the initial incentive amount of $77/ton was derived from modeled (estimated) costs that pre-dated actual experience with implementation. Revisiting the incentive amount based on actual performance data might result in cost savings to producers (although it might also result in cost increases, if the original incentive amount proved to be low). Another topic to explore would be the possibility of transitioning from a per-ton incentive to a flat (annual) incentive. This might reduce PRO expenses especially as the tonnage of material collected on-route will likely be higher than the tonnage of material that CAA would otherwise expect to manage through depots (due to higher convenience of on-route service). </w:t>
      </w:r>
    </w:p>
    <w:p w14:paraId="539A21A5" w14:textId="6E6D714F" w:rsidR="00C60C10" w:rsidRPr="00BE0DC4" w:rsidRDefault="00C60C10" w:rsidP="00600049">
      <w:pPr>
        <w:pStyle w:val="Heading4"/>
      </w:pPr>
      <w:r w:rsidRPr="00BE0DC4">
        <w:t>Additional options</w:t>
      </w:r>
    </w:p>
    <w:p w14:paraId="5B098E3B" w14:textId="0F223B09" w:rsidR="00C60C10" w:rsidRDefault="00C60C10" w:rsidP="00C60C10">
      <w:pPr>
        <w:pStyle w:val="ListParagraph"/>
        <w:numPr>
          <w:ilvl w:val="0"/>
          <w:numId w:val="17"/>
        </w:numPr>
        <w:spacing w:after="160"/>
        <w:rPr>
          <w:rFonts w:cs="Arial"/>
          <w:szCs w:val="22"/>
        </w:rPr>
      </w:pPr>
      <w:r w:rsidRPr="0097721E">
        <w:rPr>
          <w:rFonts w:cs="Arial"/>
          <w:b/>
          <w:bCs/>
          <w:szCs w:val="22"/>
        </w:rPr>
        <w:t>Remove the SIM designation on glass packaging</w:t>
      </w:r>
      <w:r w:rsidR="0097721E">
        <w:rPr>
          <w:rFonts w:cs="Arial"/>
          <w:szCs w:val="22"/>
          <w:u w:val="single"/>
        </w:rPr>
        <w:br/>
      </w:r>
      <w:r>
        <w:rPr>
          <w:rFonts w:cs="Arial"/>
          <w:szCs w:val="22"/>
        </w:rPr>
        <w:t>This option has already been adopted by Oregon DEQ (effective April 1, 2026).</w:t>
      </w:r>
    </w:p>
    <w:p w14:paraId="18A25EBA" w14:textId="52B42CF3" w:rsidR="00C60C10" w:rsidRDefault="00C60C10" w:rsidP="00C60C10">
      <w:pPr>
        <w:pStyle w:val="ListParagraph"/>
        <w:numPr>
          <w:ilvl w:val="0"/>
          <w:numId w:val="17"/>
        </w:numPr>
        <w:spacing w:after="160"/>
        <w:rPr>
          <w:rFonts w:cs="Arial"/>
          <w:szCs w:val="22"/>
        </w:rPr>
      </w:pPr>
      <w:r w:rsidRPr="0097721E">
        <w:rPr>
          <w:rFonts w:cs="Arial"/>
          <w:b/>
          <w:bCs/>
          <w:szCs w:val="22"/>
        </w:rPr>
        <w:t>Build out a “hub-and-spoke” collection infrastructure to reduce transportation costs</w:t>
      </w:r>
      <w:r w:rsidR="0097721E">
        <w:rPr>
          <w:rFonts w:cs="Arial"/>
          <w:szCs w:val="22"/>
          <w:u w:val="single"/>
        </w:rPr>
        <w:br/>
      </w:r>
      <w:r>
        <w:rPr>
          <w:rFonts w:cs="Arial"/>
          <w:szCs w:val="22"/>
        </w:rPr>
        <w:t>CAA has already established regional consolidation points in Baker City and Merlin. There may be opportunities to drive further efficiencies with additional consolidation points.</w:t>
      </w:r>
    </w:p>
    <w:p w14:paraId="2818D1A0" w14:textId="47CB70C1" w:rsidR="00C60C10" w:rsidRDefault="00C60C10" w:rsidP="2B5DC901">
      <w:pPr>
        <w:pStyle w:val="ListParagraph"/>
        <w:numPr>
          <w:ilvl w:val="0"/>
          <w:numId w:val="17"/>
        </w:numPr>
        <w:spacing w:after="160"/>
        <w:rPr>
          <w:rFonts w:cs="Arial"/>
        </w:rPr>
      </w:pPr>
      <w:r w:rsidRPr="2B5DC901">
        <w:rPr>
          <w:rFonts w:cs="Arial"/>
          <w:b/>
          <w:bCs/>
        </w:rPr>
        <w:t xml:space="preserve">Remove glass packaging from </w:t>
      </w:r>
      <w:proofErr w:type="gramStart"/>
      <w:r w:rsidRPr="2B5DC901">
        <w:rPr>
          <w:rFonts w:cs="Arial"/>
          <w:b/>
          <w:bCs/>
        </w:rPr>
        <w:t>any and all</w:t>
      </w:r>
      <w:proofErr w:type="gramEnd"/>
      <w:r w:rsidRPr="2B5DC901">
        <w:rPr>
          <w:rFonts w:cs="Arial"/>
          <w:b/>
          <w:bCs/>
        </w:rPr>
        <w:t xml:space="preserve"> recycling collection lists</w:t>
      </w:r>
      <w:r>
        <w:br/>
      </w:r>
      <w:r w:rsidRPr="2B5DC901">
        <w:rPr>
          <w:rFonts w:cs="Arial"/>
        </w:rPr>
        <w:t xml:space="preserve">Under this approach, local governments would retain their ability to voluntarily offer on-route collection, but the PRO would have no obligations to offer a financial subsidy or depot collection. However, glass packaging would remain a covered product, and long-distance transport of glass would remain eligible for transportation compensation under ORS 459A.890(2). </w:t>
      </w:r>
    </w:p>
    <w:p w14:paraId="5B2EA89C" w14:textId="77777777" w:rsidR="00C60C10" w:rsidRPr="00371467" w:rsidRDefault="00C60C10" w:rsidP="00C60C10">
      <w:pPr>
        <w:rPr>
          <w:u w:val="single"/>
        </w:rPr>
      </w:pPr>
    </w:p>
    <w:p w14:paraId="1464F382" w14:textId="77777777" w:rsidR="003E2144" w:rsidRPr="00B30457" w:rsidRDefault="003E2144" w:rsidP="00B30457">
      <w:pPr>
        <w:pStyle w:val="Heading2"/>
      </w:pPr>
      <w:r w:rsidRPr="00B30457">
        <w:t>More information</w:t>
      </w:r>
    </w:p>
    <w:p w14:paraId="7FDE7AB8" w14:textId="77777777" w:rsidR="003E2144" w:rsidRPr="003128DA" w:rsidRDefault="003E2144" w:rsidP="003E2144">
      <w:pPr>
        <w:rPr>
          <w:rFonts w:cs="Arial"/>
        </w:rPr>
      </w:pPr>
      <w:r w:rsidRPr="003128DA">
        <w:rPr>
          <w:rFonts w:cs="Arial"/>
        </w:rPr>
        <w:t xml:space="preserve">Contact </w:t>
      </w:r>
      <w:hyperlink r:id="rId13" w:history="1">
        <w:r w:rsidRPr="00FE6CC2">
          <w:rPr>
            <w:rStyle w:val="Hyperlink"/>
            <w:rFonts w:cs="Arial"/>
          </w:rPr>
          <w:t>Stephanie.Caldera@DEQ.Oregon.Gov</w:t>
        </w:r>
      </w:hyperlink>
      <w:r w:rsidRPr="003128DA">
        <w:rPr>
          <w:rFonts w:cs="Arial"/>
        </w:rPr>
        <w:t xml:space="preserve"> or visit DEQ’s </w:t>
      </w:r>
      <w:hyperlink r:id="rId14" w:history="1">
        <w:r w:rsidRPr="003128DA">
          <w:rPr>
            <w:rStyle w:val="Hyperlink"/>
            <w:rFonts w:cs="Arial"/>
          </w:rPr>
          <w:t>Recycling Modernization Act website</w:t>
        </w:r>
      </w:hyperlink>
      <w:r w:rsidRPr="003128DA">
        <w:rPr>
          <w:rFonts w:cs="Arial"/>
        </w:rPr>
        <w:t xml:space="preserve">. </w:t>
      </w:r>
    </w:p>
    <w:p w14:paraId="59BB4C71" w14:textId="48DF7D98" w:rsidR="00FF4A76" w:rsidRDefault="00FF4A76" w:rsidP="008F41E3">
      <w:pPr>
        <w:spacing w:after="60"/>
      </w:pPr>
    </w:p>
    <w:p w14:paraId="6C4EFD72" w14:textId="47E48FD4" w:rsidR="00FF4A76" w:rsidRPr="00FF4A76" w:rsidRDefault="00FF4A76" w:rsidP="00FF4A76">
      <w:pPr>
        <w:pStyle w:val="Heading2"/>
        <w:pBdr>
          <w:top w:val="single" w:sz="4" w:space="1" w:color="auto"/>
        </w:pBdr>
      </w:pPr>
      <w:r w:rsidRPr="00FF4A76">
        <w:t>Non-discrimination statement</w:t>
      </w:r>
    </w:p>
    <w:p w14:paraId="28D006E8" w14:textId="7AD95551" w:rsidR="00AD1846" w:rsidRPr="006A37E2" w:rsidRDefault="00FF4A76" w:rsidP="00FF4A76">
      <w:pPr>
        <w:pStyle w:val="Footnote"/>
        <w:rPr>
          <w:color w:val="000000" w:themeColor="text1"/>
        </w:rPr>
      </w:pPr>
      <w:r w:rsidRPr="006A37E2">
        <w:rPr>
          <w:b w:val="0"/>
          <w:bCs w:val="0"/>
          <w:color w:val="auto"/>
        </w:rPr>
        <w:t>DEQ does not discriminate on the basis of race, color, national origin, disability, age, sex, religion, sexual orientation, gender identity, or marital status in the administration of its programs and activities. For translations or alternate formats, visit DEQ’s</w:t>
      </w:r>
      <w:r w:rsidRPr="006A37E2">
        <w:rPr>
          <w:color w:val="auto"/>
        </w:rPr>
        <w:t> </w:t>
      </w:r>
      <w:hyperlink r:id="rId15" w:tooltip="Civil Rights and Environmental Justice page" w:history="1">
        <w:r w:rsidRPr="006A37E2">
          <w:rPr>
            <w:rStyle w:val="Hyperlink"/>
          </w:rPr>
          <w:t>Civil Rights and Environmental Justice page</w:t>
        </w:r>
      </w:hyperlink>
      <w:r w:rsidRPr="006A37E2">
        <w:rPr>
          <w:color w:val="000000" w:themeColor="text1"/>
        </w:rPr>
        <w:t>.</w:t>
      </w:r>
    </w:p>
    <w:sectPr w:rsidR="00AD1846" w:rsidRPr="006A37E2" w:rsidSect="00FF4A76">
      <w:footerReference w:type="defaul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6E0BC" w14:textId="77777777" w:rsidR="009B31EE" w:rsidRDefault="009B31EE" w:rsidP="008A10E5">
      <w:pPr>
        <w:spacing w:after="0" w:line="240" w:lineRule="auto"/>
      </w:pPr>
      <w:r>
        <w:separator/>
      </w:r>
    </w:p>
  </w:endnote>
  <w:endnote w:type="continuationSeparator" w:id="0">
    <w:p w14:paraId="16A21514" w14:textId="77777777" w:rsidR="009B31EE" w:rsidRDefault="009B31EE" w:rsidP="008A10E5">
      <w:pPr>
        <w:spacing w:after="0" w:line="240" w:lineRule="auto"/>
      </w:pPr>
      <w:r>
        <w:continuationSeparator/>
      </w:r>
    </w:p>
  </w:endnote>
  <w:endnote w:type="continuationNotice" w:id="1">
    <w:p w14:paraId="5F87E09F" w14:textId="77777777" w:rsidR="009B31EE" w:rsidRDefault="009B3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138625"/>
      <w:docPartObj>
        <w:docPartGallery w:val="Page Numbers (Bottom of Page)"/>
        <w:docPartUnique/>
      </w:docPartObj>
    </w:sdtPr>
    <w:sdtEndPr>
      <w:rPr>
        <w:noProof/>
        <w:sz w:val="20"/>
        <w:szCs w:val="20"/>
      </w:rPr>
    </w:sdtEndPr>
    <w:sdtContent>
      <w:p w14:paraId="4B1A9444" w14:textId="4AF72484" w:rsidR="008A10E5" w:rsidRPr="00FF4A76" w:rsidRDefault="00DB250C" w:rsidP="00FF4A76">
        <w:pPr>
          <w:pStyle w:val="Footer"/>
          <w:spacing w:before="120"/>
          <w:jc w:val="right"/>
          <w:rPr>
            <w:sz w:val="20"/>
            <w:szCs w:val="20"/>
          </w:rPr>
        </w:pPr>
        <w:r w:rsidRPr="00DB250C">
          <w:rPr>
            <w:sz w:val="20"/>
            <w:szCs w:val="20"/>
          </w:rPr>
          <w:fldChar w:fldCharType="begin"/>
        </w:r>
        <w:r w:rsidRPr="00DB250C">
          <w:rPr>
            <w:sz w:val="20"/>
            <w:szCs w:val="20"/>
          </w:rPr>
          <w:instrText xml:space="preserve"> PAGE   \* MERGEFORMAT </w:instrText>
        </w:r>
        <w:r w:rsidRPr="00DB250C">
          <w:rPr>
            <w:sz w:val="20"/>
            <w:szCs w:val="20"/>
          </w:rPr>
          <w:fldChar w:fldCharType="separate"/>
        </w:r>
        <w:r w:rsidRPr="00DB250C">
          <w:rPr>
            <w:noProof/>
            <w:sz w:val="20"/>
            <w:szCs w:val="20"/>
          </w:rPr>
          <w:t>2</w:t>
        </w:r>
        <w:r w:rsidRPr="00DB250C">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225064"/>
      <w:docPartObj>
        <w:docPartGallery w:val="Page Numbers (Bottom of Page)"/>
        <w:docPartUnique/>
      </w:docPartObj>
    </w:sdtPr>
    <w:sdtEndPr>
      <w:rPr>
        <w:noProof/>
      </w:rPr>
    </w:sdtEndPr>
    <w:sdtContent>
      <w:p w14:paraId="7B30C8AC" w14:textId="4F92E031" w:rsidR="008A10E5" w:rsidRPr="00FF4A76" w:rsidRDefault="00FF4A76" w:rsidP="00FF4A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354D" w14:textId="77777777" w:rsidR="009B31EE" w:rsidRDefault="009B31EE" w:rsidP="008A10E5">
      <w:pPr>
        <w:spacing w:after="0" w:line="240" w:lineRule="auto"/>
      </w:pPr>
      <w:r>
        <w:separator/>
      </w:r>
    </w:p>
  </w:footnote>
  <w:footnote w:type="continuationSeparator" w:id="0">
    <w:p w14:paraId="1067D8BD" w14:textId="77777777" w:rsidR="009B31EE" w:rsidRDefault="009B31EE" w:rsidP="008A10E5">
      <w:pPr>
        <w:spacing w:after="0" w:line="240" w:lineRule="auto"/>
      </w:pPr>
      <w:r>
        <w:continuationSeparator/>
      </w:r>
    </w:p>
  </w:footnote>
  <w:footnote w:type="continuationNotice" w:id="1">
    <w:p w14:paraId="451FC7E7" w14:textId="77777777" w:rsidR="009B31EE" w:rsidRDefault="009B31EE">
      <w:pPr>
        <w:spacing w:after="0" w:line="240" w:lineRule="auto"/>
      </w:pPr>
    </w:p>
  </w:footnote>
  <w:footnote w:id="2">
    <w:p w14:paraId="28075F6F" w14:textId="77777777" w:rsidR="00C60C10" w:rsidRPr="004C0E6E" w:rsidRDefault="00C60C10" w:rsidP="00C60C10">
      <w:pPr>
        <w:pStyle w:val="FootnoteText"/>
        <w:rPr>
          <w:rFonts w:ascii="Arial" w:hAnsi="Arial" w:cs="Arial"/>
        </w:rPr>
      </w:pPr>
      <w:r>
        <w:rPr>
          <w:rStyle w:val="FootnoteReference"/>
        </w:rPr>
        <w:footnoteRef/>
      </w:r>
      <w:r>
        <w:t xml:space="preserve"> </w:t>
      </w:r>
      <w:r w:rsidRPr="004C0E6E">
        <w:rPr>
          <w:rFonts w:ascii="Arial" w:hAnsi="Arial" w:cs="Arial"/>
        </w:rPr>
        <w:t xml:space="preserve">For clarity, the term “glass producers” uses the meaning assigned in the Recycling Modernization Act. For most glass packaging, the “producer” is the entity that produces the product packaged in glass (e.g., a winery, or manufacturer of spaghetti sauce or jam). This is often different from the owner of the glass furnace where bottles and jars are manufactured. </w:t>
      </w:r>
    </w:p>
  </w:footnote>
  <w:footnote w:id="3">
    <w:p w14:paraId="3DE4FB58" w14:textId="77777777" w:rsidR="00C60C10" w:rsidRPr="0097721E" w:rsidRDefault="00C60C10" w:rsidP="00C60C10">
      <w:pPr>
        <w:pStyle w:val="FootnoteText"/>
        <w:rPr>
          <w:rFonts w:ascii="Arial" w:hAnsi="Arial" w:cs="Arial"/>
        </w:rPr>
      </w:pPr>
      <w:r w:rsidRPr="0097721E">
        <w:rPr>
          <w:rStyle w:val="FootnoteReference"/>
          <w:rFonts w:ascii="Arial" w:hAnsi="Arial" w:cs="Arial"/>
        </w:rPr>
        <w:footnoteRef/>
      </w:r>
      <w:r w:rsidRPr="0097721E">
        <w:rPr>
          <w:rFonts w:ascii="Arial" w:hAnsi="Arial" w:cs="Arial"/>
        </w:rPr>
        <w:t xml:space="preserve"> See OAR 340-090-0040. Some local governments are required to choose element (3)(b) (weekly on-route collection), while others choose to do so as an optional element. </w:t>
      </w:r>
    </w:p>
  </w:footnote>
  <w:footnote w:id="4">
    <w:p w14:paraId="148B2687" w14:textId="77777777" w:rsidR="00C60C10" w:rsidRDefault="00C60C10" w:rsidP="00C60C10">
      <w:pPr>
        <w:pStyle w:val="FootnoteText"/>
      </w:pPr>
      <w:r w:rsidRPr="0097721E">
        <w:rPr>
          <w:rStyle w:val="FootnoteReference"/>
          <w:rFonts w:ascii="Arial" w:hAnsi="Arial" w:cs="Arial"/>
        </w:rPr>
        <w:footnoteRef/>
      </w:r>
      <w:r w:rsidRPr="0097721E">
        <w:rPr>
          <w:rFonts w:ascii="Arial" w:hAnsi="Arial" w:cs="Arial"/>
        </w:rPr>
        <w:t xml:space="preserve"> While this option is included on the list of “options for reducing costs to producers” it is possible that it would actually increase costs to producers, given that it would increase costs at commingled recycling processing facilities, and those costs are subject to compensation by the PRO. Additional evaluation would be needed to determine if this option would, in fact, translate to lower fees for users (producers) of glass.</w:t>
      </w:r>
      <w:r>
        <w:t xml:space="preserve">  </w:t>
      </w:r>
    </w:p>
  </w:footnote>
  <w:footnote w:id="5">
    <w:p w14:paraId="3951CE6D" w14:textId="07E8B27D" w:rsidR="00C60C10" w:rsidRPr="0097721E" w:rsidRDefault="00C60C10" w:rsidP="00C60C10">
      <w:pPr>
        <w:pStyle w:val="FootnoteText"/>
        <w:rPr>
          <w:rFonts w:ascii="Arial" w:hAnsi="Arial" w:cs="Arial"/>
        </w:rPr>
      </w:pPr>
      <w:r w:rsidRPr="0097721E">
        <w:rPr>
          <w:rStyle w:val="FootnoteReference"/>
          <w:rFonts w:ascii="Arial" w:hAnsi="Arial" w:cs="Arial"/>
        </w:rPr>
        <w:footnoteRef/>
      </w:r>
      <w:r w:rsidRPr="0097721E">
        <w:rPr>
          <w:rFonts w:ascii="Arial" w:hAnsi="Arial" w:cs="Arial"/>
        </w:rPr>
        <w:t xml:space="preserve"> </w:t>
      </w:r>
      <w:r w:rsidR="00CA1D84">
        <w:rPr>
          <w:rFonts w:ascii="Arial" w:hAnsi="Arial" w:cs="Arial"/>
        </w:rPr>
        <w:t>T</w:t>
      </w:r>
      <w:r w:rsidRPr="0097721E">
        <w:rPr>
          <w:rFonts w:ascii="Arial" w:hAnsi="Arial" w:cs="Arial"/>
        </w:rPr>
        <w:t>he impact on glass producers might be a short-term increase in costs</w:t>
      </w:r>
      <w:r w:rsidR="00010F87">
        <w:rPr>
          <w:rFonts w:ascii="Arial" w:hAnsi="Arial" w:cs="Arial"/>
        </w:rPr>
        <w:t xml:space="preserve"> (to pay for trucks and containers)</w:t>
      </w:r>
      <w:r w:rsidRPr="0097721E">
        <w:rPr>
          <w:rFonts w:ascii="Arial" w:hAnsi="Arial" w:cs="Arial"/>
        </w:rPr>
        <w:t>, followed by a longer period of reduced costs.</w:t>
      </w:r>
    </w:p>
  </w:footnote>
  <w:footnote w:id="6">
    <w:p w14:paraId="12690D15" w14:textId="4D172426" w:rsidR="00C60C10" w:rsidRPr="0097721E" w:rsidRDefault="00C60C10" w:rsidP="00C60C10">
      <w:pPr>
        <w:pStyle w:val="FootnoteText"/>
        <w:rPr>
          <w:rFonts w:ascii="Arial" w:hAnsi="Arial" w:cs="Arial"/>
        </w:rPr>
      </w:pPr>
      <w:r w:rsidRPr="0097721E">
        <w:rPr>
          <w:rStyle w:val="FootnoteReference"/>
          <w:rFonts w:ascii="Arial" w:hAnsi="Arial" w:cs="Arial"/>
        </w:rPr>
        <w:footnoteRef/>
      </w:r>
      <w:r w:rsidRPr="0097721E">
        <w:rPr>
          <w:rFonts w:ascii="Arial" w:hAnsi="Arial" w:cs="Arial"/>
        </w:rPr>
        <w:t xml:space="preserve"> The concept of “baseline status” would be to state that any local government that was voluntarily offering on-route collection of glass on a specified date would then be obligated under the new rule to continue providing on-route collection of glass in perpetuity</w:t>
      </w:r>
      <w:r w:rsidR="00106301">
        <w:rPr>
          <w:rFonts w:ascii="Arial" w:hAnsi="Arial" w:cs="Arial"/>
        </w:rPr>
        <w:t xml:space="preserve"> (or for a period of X years)</w:t>
      </w:r>
      <w:r w:rsidRPr="0097721E">
        <w:rPr>
          <w:rFonts w:ascii="Arial" w:hAnsi="Arial" w:cs="Arial"/>
        </w:rPr>
        <w:t>. This mechanism would basically “freeze” or “lock-in” the on-route collection system. Because the current system consists of services that have been established voluntarily, if this approach were to be taken, DEQ would recommend offering an initial “exit period” to give local governments an opportunity to opt out of on-route glass service before the “lock-in” date goes into effect.</w:t>
      </w:r>
    </w:p>
  </w:footnote>
  <w:footnote w:id="7">
    <w:p w14:paraId="63279E2B" w14:textId="2F674ECB" w:rsidR="00C60C10" w:rsidRPr="00A36A9E" w:rsidRDefault="00C60C10" w:rsidP="0097721E">
      <w:pPr>
        <w:pStyle w:val="ListParagraph"/>
        <w:ind w:left="0"/>
        <w:rPr>
          <w:i/>
          <w:iCs/>
          <w:sz w:val="28"/>
          <w:szCs w:val="28"/>
        </w:rPr>
      </w:pPr>
      <w:r w:rsidRPr="0097721E">
        <w:rPr>
          <w:rStyle w:val="FootnoteReference"/>
          <w:rFonts w:cs="Arial"/>
          <w:sz w:val="20"/>
          <w:szCs w:val="20"/>
        </w:rPr>
        <w:footnoteRef/>
      </w:r>
      <w:r w:rsidRPr="0097721E">
        <w:rPr>
          <w:rFonts w:cs="Arial"/>
          <w:sz w:val="20"/>
          <w:szCs w:val="20"/>
        </w:rPr>
        <w:t xml:space="preserve"> </w:t>
      </w:r>
      <w:r w:rsidR="00C430CD">
        <w:rPr>
          <w:rFonts w:cs="Arial"/>
          <w:sz w:val="20"/>
          <w:szCs w:val="20"/>
        </w:rPr>
        <w:t>T</w:t>
      </w:r>
      <w:r w:rsidRPr="0097721E">
        <w:rPr>
          <w:rFonts w:cs="Arial"/>
          <w:sz w:val="20"/>
          <w:szCs w:val="20"/>
        </w:rPr>
        <w:t xml:space="preserve">he PRO is required to meet convenience standards for depots, </w:t>
      </w:r>
      <w:r w:rsidR="00C430CD">
        <w:rPr>
          <w:rFonts w:cs="Arial"/>
          <w:sz w:val="20"/>
          <w:szCs w:val="20"/>
        </w:rPr>
        <w:t xml:space="preserve">yet </w:t>
      </w:r>
      <w:r w:rsidRPr="0097721E">
        <w:rPr>
          <w:rFonts w:cs="Arial"/>
          <w:sz w:val="20"/>
          <w:szCs w:val="20"/>
        </w:rPr>
        <w:t>in some of those communities the local governments prefer to voluntarily provide on-route collection of glass</w:t>
      </w:r>
      <w:r w:rsidR="00C430CD">
        <w:rPr>
          <w:rFonts w:cs="Arial"/>
          <w:sz w:val="20"/>
          <w:szCs w:val="20"/>
        </w:rPr>
        <w:t>. Rules</w:t>
      </w:r>
      <w:r w:rsidRPr="0097721E">
        <w:rPr>
          <w:rFonts w:cs="Arial"/>
          <w:sz w:val="20"/>
          <w:szCs w:val="20"/>
        </w:rPr>
        <w:t xml:space="preserve"> allow the PRO to meet convenience standards through alternative approaches, including on-route collection</w:t>
      </w:r>
      <w:r w:rsidR="00C430CD">
        <w:rPr>
          <w:rFonts w:cs="Arial"/>
          <w:sz w:val="20"/>
          <w:szCs w:val="20"/>
        </w:rPr>
        <w:t xml:space="preserve">. In such cases, </w:t>
      </w:r>
      <w:r w:rsidRPr="0097721E">
        <w:rPr>
          <w:rFonts w:cs="Arial"/>
          <w:sz w:val="20"/>
          <w:szCs w:val="20"/>
        </w:rPr>
        <w:t xml:space="preserve">a PRO may be willing to offer a local </w:t>
      </w:r>
      <w:r w:rsidRPr="00A36A9E">
        <w:rPr>
          <w:sz w:val="20"/>
          <w:szCs w:val="20"/>
        </w:rPr>
        <w:t>government financial compensation in an amount not-to-exceed what it would otherwise incur to meet convenience standards through depots.</w:t>
      </w:r>
    </w:p>
    <w:p w14:paraId="01EBB2AA" w14:textId="77777777" w:rsidR="00C60C10" w:rsidRDefault="00C60C10" w:rsidP="00C60C1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35C57"/>
    <w:multiLevelType w:val="hybridMultilevel"/>
    <w:tmpl w:val="8FD2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53489"/>
    <w:multiLevelType w:val="hybridMultilevel"/>
    <w:tmpl w:val="364ED5B2"/>
    <w:lvl w:ilvl="0" w:tplc="C6E4BEFE">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4160E"/>
    <w:multiLevelType w:val="hybridMultilevel"/>
    <w:tmpl w:val="B6C6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93B93"/>
    <w:multiLevelType w:val="hybridMultilevel"/>
    <w:tmpl w:val="64188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510EA"/>
    <w:multiLevelType w:val="hybridMultilevel"/>
    <w:tmpl w:val="327E985C"/>
    <w:lvl w:ilvl="0" w:tplc="DA4049F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B29D3"/>
    <w:multiLevelType w:val="hybridMultilevel"/>
    <w:tmpl w:val="7BEE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BC1C72"/>
    <w:multiLevelType w:val="hybridMultilevel"/>
    <w:tmpl w:val="10FC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D00E8"/>
    <w:multiLevelType w:val="hybridMultilevel"/>
    <w:tmpl w:val="1328627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EA71FCD"/>
    <w:multiLevelType w:val="hybridMultilevel"/>
    <w:tmpl w:val="5088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96107"/>
    <w:multiLevelType w:val="hybridMultilevel"/>
    <w:tmpl w:val="2330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07A63"/>
    <w:multiLevelType w:val="hybridMultilevel"/>
    <w:tmpl w:val="26F601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8811EF"/>
    <w:multiLevelType w:val="hybridMultilevel"/>
    <w:tmpl w:val="C8085754"/>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757434"/>
    <w:multiLevelType w:val="hybridMultilevel"/>
    <w:tmpl w:val="7FB0F29E"/>
    <w:lvl w:ilvl="0" w:tplc="DA4049F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D4259"/>
    <w:multiLevelType w:val="hybridMultilevel"/>
    <w:tmpl w:val="1DAA4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E6559"/>
    <w:multiLevelType w:val="hybridMultilevel"/>
    <w:tmpl w:val="E4E0FBBE"/>
    <w:lvl w:ilvl="0" w:tplc="DA4049F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A583E"/>
    <w:multiLevelType w:val="hybridMultilevel"/>
    <w:tmpl w:val="2B9EC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559AB"/>
    <w:multiLevelType w:val="hybridMultilevel"/>
    <w:tmpl w:val="8A10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597B00"/>
    <w:multiLevelType w:val="hybridMultilevel"/>
    <w:tmpl w:val="E802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E336DC"/>
    <w:multiLevelType w:val="hybridMultilevel"/>
    <w:tmpl w:val="BA0A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EB6DCB"/>
    <w:multiLevelType w:val="hybridMultilevel"/>
    <w:tmpl w:val="C6A0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9116740">
    <w:abstractNumId w:val="8"/>
  </w:num>
  <w:num w:numId="2" w16cid:durableId="271593287">
    <w:abstractNumId w:val="14"/>
  </w:num>
  <w:num w:numId="3" w16cid:durableId="1320886689">
    <w:abstractNumId w:val="12"/>
  </w:num>
  <w:num w:numId="4" w16cid:durableId="798885845">
    <w:abstractNumId w:val="4"/>
  </w:num>
  <w:num w:numId="5" w16cid:durableId="893539439">
    <w:abstractNumId w:val="17"/>
  </w:num>
  <w:num w:numId="6" w16cid:durableId="220555198">
    <w:abstractNumId w:val="3"/>
  </w:num>
  <w:num w:numId="7" w16cid:durableId="773596283">
    <w:abstractNumId w:val="2"/>
  </w:num>
  <w:num w:numId="8" w16cid:durableId="1746757520">
    <w:abstractNumId w:val="13"/>
  </w:num>
  <w:num w:numId="9" w16cid:durableId="446118633">
    <w:abstractNumId w:val="9"/>
  </w:num>
  <w:num w:numId="10" w16cid:durableId="1846360580">
    <w:abstractNumId w:val="15"/>
  </w:num>
  <w:num w:numId="11" w16cid:durableId="126440735">
    <w:abstractNumId w:val="6"/>
  </w:num>
  <w:num w:numId="12" w16cid:durableId="1872720064">
    <w:abstractNumId w:val="5"/>
  </w:num>
  <w:num w:numId="13" w16cid:durableId="1497382688">
    <w:abstractNumId w:val="19"/>
  </w:num>
  <w:num w:numId="14" w16cid:durableId="1560046564">
    <w:abstractNumId w:val="16"/>
  </w:num>
  <w:num w:numId="15" w16cid:durableId="140461062">
    <w:abstractNumId w:val="10"/>
  </w:num>
  <w:num w:numId="16" w16cid:durableId="1507476584">
    <w:abstractNumId w:val="18"/>
  </w:num>
  <w:num w:numId="17" w16cid:durableId="1867526548">
    <w:abstractNumId w:val="1"/>
  </w:num>
  <w:num w:numId="18" w16cid:durableId="2032997910">
    <w:abstractNumId w:val="7"/>
  </w:num>
  <w:num w:numId="19" w16cid:durableId="856771778">
    <w:abstractNumId w:val="11"/>
  </w:num>
  <w:num w:numId="20" w16cid:durableId="135838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846"/>
    <w:rsid w:val="000022D9"/>
    <w:rsid w:val="00010F87"/>
    <w:rsid w:val="00036675"/>
    <w:rsid w:val="000444A3"/>
    <w:rsid w:val="00046094"/>
    <w:rsid w:val="00083228"/>
    <w:rsid w:val="000961B2"/>
    <w:rsid w:val="000A1948"/>
    <w:rsid w:val="000A55EB"/>
    <w:rsid w:val="000B73E1"/>
    <w:rsid w:val="000E0E35"/>
    <w:rsid w:val="000F582B"/>
    <w:rsid w:val="000F729F"/>
    <w:rsid w:val="001060FB"/>
    <w:rsid w:val="00106301"/>
    <w:rsid w:val="00123078"/>
    <w:rsid w:val="00125C62"/>
    <w:rsid w:val="00127FA1"/>
    <w:rsid w:val="00146B21"/>
    <w:rsid w:val="00180F13"/>
    <w:rsid w:val="00193008"/>
    <w:rsid w:val="001B5897"/>
    <w:rsid w:val="001C3B5D"/>
    <w:rsid w:val="001C684C"/>
    <w:rsid w:val="001C6FBB"/>
    <w:rsid w:val="001E3F94"/>
    <w:rsid w:val="002219C6"/>
    <w:rsid w:val="00224A9D"/>
    <w:rsid w:val="00233C41"/>
    <w:rsid w:val="00260684"/>
    <w:rsid w:val="00282ABA"/>
    <w:rsid w:val="00282F26"/>
    <w:rsid w:val="00284715"/>
    <w:rsid w:val="002914F4"/>
    <w:rsid w:val="002A1D00"/>
    <w:rsid w:val="002A5546"/>
    <w:rsid w:val="002B1C11"/>
    <w:rsid w:val="002C2AE7"/>
    <w:rsid w:val="002E774B"/>
    <w:rsid w:val="002F09FF"/>
    <w:rsid w:val="00344803"/>
    <w:rsid w:val="003706C6"/>
    <w:rsid w:val="003832BB"/>
    <w:rsid w:val="00386301"/>
    <w:rsid w:val="003D15A4"/>
    <w:rsid w:val="003E2144"/>
    <w:rsid w:val="003F589C"/>
    <w:rsid w:val="004205E6"/>
    <w:rsid w:val="00420612"/>
    <w:rsid w:val="00421773"/>
    <w:rsid w:val="0045133C"/>
    <w:rsid w:val="00470187"/>
    <w:rsid w:val="004874AE"/>
    <w:rsid w:val="004A7B2E"/>
    <w:rsid w:val="004B424E"/>
    <w:rsid w:val="004C0E6E"/>
    <w:rsid w:val="004C2FBE"/>
    <w:rsid w:val="004E4CBF"/>
    <w:rsid w:val="004F746F"/>
    <w:rsid w:val="00500BED"/>
    <w:rsid w:val="0052013F"/>
    <w:rsid w:val="005412B0"/>
    <w:rsid w:val="00552754"/>
    <w:rsid w:val="00572242"/>
    <w:rsid w:val="0057570F"/>
    <w:rsid w:val="00593CAE"/>
    <w:rsid w:val="00597907"/>
    <w:rsid w:val="005E7D02"/>
    <w:rsid w:val="00600049"/>
    <w:rsid w:val="00613990"/>
    <w:rsid w:val="006243BB"/>
    <w:rsid w:val="0064505D"/>
    <w:rsid w:val="00674B18"/>
    <w:rsid w:val="006A37E2"/>
    <w:rsid w:val="006A543C"/>
    <w:rsid w:val="006D376C"/>
    <w:rsid w:val="006F1E06"/>
    <w:rsid w:val="00701B61"/>
    <w:rsid w:val="00720050"/>
    <w:rsid w:val="00722AAD"/>
    <w:rsid w:val="007721F2"/>
    <w:rsid w:val="00774DFC"/>
    <w:rsid w:val="00776358"/>
    <w:rsid w:val="00776A0E"/>
    <w:rsid w:val="00784F28"/>
    <w:rsid w:val="007956D6"/>
    <w:rsid w:val="007B0B49"/>
    <w:rsid w:val="007B175C"/>
    <w:rsid w:val="007B6345"/>
    <w:rsid w:val="007F1898"/>
    <w:rsid w:val="00816719"/>
    <w:rsid w:val="00891242"/>
    <w:rsid w:val="00892D19"/>
    <w:rsid w:val="008A10E5"/>
    <w:rsid w:val="008C5C8C"/>
    <w:rsid w:val="008F41E3"/>
    <w:rsid w:val="008F53C2"/>
    <w:rsid w:val="00913A57"/>
    <w:rsid w:val="00923CC1"/>
    <w:rsid w:val="00941C0A"/>
    <w:rsid w:val="00964B4A"/>
    <w:rsid w:val="00966CEB"/>
    <w:rsid w:val="0097721E"/>
    <w:rsid w:val="009967E8"/>
    <w:rsid w:val="009A38A0"/>
    <w:rsid w:val="009B009E"/>
    <w:rsid w:val="009B31EE"/>
    <w:rsid w:val="009D4B94"/>
    <w:rsid w:val="009E7E90"/>
    <w:rsid w:val="00A35350"/>
    <w:rsid w:val="00A44FC1"/>
    <w:rsid w:val="00A64263"/>
    <w:rsid w:val="00A80C22"/>
    <w:rsid w:val="00AA3FA1"/>
    <w:rsid w:val="00AA7122"/>
    <w:rsid w:val="00AD1846"/>
    <w:rsid w:val="00AE0BC3"/>
    <w:rsid w:val="00AE58F3"/>
    <w:rsid w:val="00AE64B5"/>
    <w:rsid w:val="00B06B4A"/>
    <w:rsid w:val="00B2396F"/>
    <w:rsid w:val="00B30457"/>
    <w:rsid w:val="00B30CBE"/>
    <w:rsid w:val="00B35545"/>
    <w:rsid w:val="00B456D2"/>
    <w:rsid w:val="00B6307D"/>
    <w:rsid w:val="00BA438F"/>
    <w:rsid w:val="00BA49A8"/>
    <w:rsid w:val="00BA5E67"/>
    <w:rsid w:val="00BF1215"/>
    <w:rsid w:val="00BF3297"/>
    <w:rsid w:val="00C05BE2"/>
    <w:rsid w:val="00C430CD"/>
    <w:rsid w:val="00C60C10"/>
    <w:rsid w:val="00CA1D84"/>
    <w:rsid w:val="00CB0C52"/>
    <w:rsid w:val="00CC5625"/>
    <w:rsid w:val="00CD1224"/>
    <w:rsid w:val="00CD2223"/>
    <w:rsid w:val="00D04EA1"/>
    <w:rsid w:val="00D40364"/>
    <w:rsid w:val="00D674CA"/>
    <w:rsid w:val="00DA2074"/>
    <w:rsid w:val="00DB250C"/>
    <w:rsid w:val="00DF590B"/>
    <w:rsid w:val="00E07300"/>
    <w:rsid w:val="00E22EB6"/>
    <w:rsid w:val="00E41419"/>
    <w:rsid w:val="00E479A8"/>
    <w:rsid w:val="00EC6A4F"/>
    <w:rsid w:val="00EE34D7"/>
    <w:rsid w:val="00F07ECA"/>
    <w:rsid w:val="00F12C9C"/>
    <w:rsid w:val="00F1597E"/>
    <w:rsid w:val="00F35D80"/>
    <w:rsid w:val="00F53516"/>
    <w:rsid w:val="00F6753A"/>
    <w:rsid w:val="00F868AB"/>
    <w:rsid w:val="00F94168"/>
    <w:rsid w:val="00FD5FDF"/>
    <w:rsid w:val="00FE63E7"/>
    <w:rsid w:val="00FF0C8B"/>
    <w:rsid w:val="00FF4A76"/>
    <w:rsid w:val="08AC7A22"/>
    <w:rsid w:val="08E3DCA8"/>
    <w:rsid w:val="13E940E2"/>
    <w:rsid w:val="1E66FBC0"/>
    <w:rsid w:val="1F0B92E8"/>
    <w:rsid w:val="261F797A"/>
    <w:rsid w:val="2B5DC901"/>
    <w:rsid w:val="7FB590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6AE73"/>
  <w15:chartTrackingRefBased/>
  <w15:docId w15:val="{829F9A52-F2DC-410C-9DE4-C9C64A4E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846"/>
    <w:pPr>
      <w:spacing w:after="120"/>
    </w:pPr>
    <w:rPr>
      <w:rFonts w:ascii="Arial" w:hAnsi="Arial"/>
      <w:color w:val="000000" w:themeColor="text1"/>
      <w:sz w:val="22"/>
    </w:rPr>
  </w:style>
  <w:style w:type="paragraph" w:styleId="Heading1">
    <w:name w:val="heading 1"/>
    <w:basedOn w:val="Normal"/>
    <w:next w:val="Normal"/>
    <w:link w:val="Heading1Char"/>
    <w:uiPriority w:val="9"/>
    <w:qFormat/>
    <w:rsid w:val="00AD1846"/>
    <w:pPr>
      <w:outlineLvl w:val="0"/>
    </w:pPr>
    <w:rPr>
      <w:rFonts w:cs="Arial"/>
      <w:b/>
      <w:bCs/>
      <w:sz w:val="40"/>
      <w:szCs w:val="40"/>
    </w:rPr>
  </w:style>
  <w:style w:type="paragraph" w:styleId="Heading2">
    <w:name w:val="heading 2"/>
    <w:basedOn w:val="Normal"/>
    <w:next w:val="Normal"/>
    <w:link w:val="Heading2Char"/>
    <w:uiPriority w:val="9"/>
    <w:unhideWhenUsed/>
    <w:qFormat/>
    <w:rsid w:val="00AD1846"/>
    <w:pPr>
      <w:keepNext/>
      <w:keepLines/>
      <w:spacing w:before="120"/>
      <w:outlineLvl w:val="1"/>
    </w:pPr>
    <w:rPr>
      <w:rFonts w:eastAsiaTheme="majorEastAsia" w:cstheme="majorBidi"/>
      <w:b/>
      <w:sz w:val="36"/>
      <w:szCs w:val="32"/>
    </w:rPr>
  </w:style>
  <w:style w:type="paragraph" w:styleId="Heading3">
    <w:name w:val="heading 3"/>
    <w:basedOn w:val="Normal"/>
    <w:next w:val="Normal"/>
    <w:link w:val="Heading3Char"/>
    <w:uiPriority w:val="9"/>
    <w:unhideWhenUsed/>
    <w:qFormat/>
    <w:rsid w:val="008A10E5"/>
    <w:pPr>
      <w:spacing w:before="120"/>
      <w:outlineLvl w:val="2"/>
    </w:pPr>
    <w:rPr>
      <w:b/>
      <w:bCs/>
      <w:sz w:val="32"/>
      <w:szCs w:val="32"/>
    </w:rPr>
  </w:style>
  <w:style w:type="paragraph" w:styleId="Heading4">
    <w:name w:val="heading 4"/>
    <w:basedOn w:val="Normal"/>
    <w:next w:val="Normal"/>
    <w:link w:val="Heading4Char"/>
    <w:uiPriority w:val="9"/>
    <w:unhideWhenUsed/>
    <w:qFormat/>
    <w:rsid w:val="00AD1846"/>
    <w:pPr>
      <w:keepNext/>
      <w:keepLines/>
      <w:spacing w:before="120" w:line="240" w:lineRule="auto"/>
      <w:outlineLvl w:val="3"/>
    </w:pPr>
    <w:rPr>
      <w:rFonts w:eastAsiaTheme="majorEastAsia" w:cstheme="majorBidi"/>
      <w:b/>
      <w:iCs/>
      <w:sz w:val="24"/>
    </w:rPr>
  </w:style>
  <w:style w:type="paragraph" w:styleId="Heading5">
    <w:name w:val="heading 5"/>
    <w:basedOn w:val="Normal"/>
    <w:next w:val="Normal"/>
    <w:link w:val="Heading5Char"/>
    <w:uiPriority w:val="9"/>
    <w:semiHidden/>
    <w:unhideWhenUsed/>
    <w:qFormat/>
    <w:rsid w:val="00AD1846"/>
    <w:pPr>
      <w:keepNext/>
      <w:keepLines/>
      <w:spacing w:before="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AD1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
    <w:name w:val="Label"/>
    <w:basedOn w:val="Normal"/>
    <w:link w:val="LabelChar"/>
    <w:rsid w:val="00776358"/>
    <w:pPr>
      <w:spacing w:before="360" w:after="0" w:line="240" w:lineRule="auto"/>
      <w:ind w:left="2160"/>
      <w:outlineLvl w:val="1"/>
    </w:pPr>
    <w:rPr>
      <w:rFonts w:eastAsiaTheme="minorEastAsia" w:cs="Arial"/>
      <w:b/>
      <w:bCs/>
      <w:color w:val="FFFFFF" w:themeColor="background1"/>
      <w:kern w:val="20"/>
      <w:sz w:val="72"/>
      <w:szCs w:val="72"/>
      <w:lang w:val="en"/>
    </w:rPr>
  </w:style>
  <w:style w:type="character" w:customStyle="1" w:styleId="LabelChar">
    <w:name w:val="Label Char"/>
    <w:basedOn w:val="DefaultParagraphFont"/>
    <w:link w:val="Label"/>
    <w:rsid w:val="00776358"/>
    <w:rPr>
      <w:rFonts w:ascii="Arial" w:eastAsiaTheme="minorEastAsia" w:hAnsi="Arial" w:cs="Arial"/>
      <w:b/>
      <w:bCs/>
      <w:color w:val="FFFFFF" w:themeColor="background1"/>
      <w:kern w:val="20"/>
      <w:sz w:val="72"/>
      <w:szCs w:val="72"/>
      <w:lang w:val="en"/>
    </w:rPr>
  </w:style>
  <w:style w:type="paragraph" w:styleId="Title">
    <w:name w:val="Title"/>
    <w:basedOn w:val="Normal"/>
    <w:next w:val="Normal"/>
    <w:link w:val="TitleChar"/>
    <w:autoRedefine/>
    <w:uiPriority w:val="10"/>
    <w:rsid w:val="00776358"/>
    <w:pPr>
      <w:spacing w:before="120" w:line="240" w:lineRule="auto"/>
      <w:outlineLvl w:val="1"/>
    </w:pPr>
    <w:rPr>
      <w:rFonts w:eastAsiaTheme="minorEastAsia" w:cs="Arial"/>
      <w:b/>
      <w:bCs/>
      <w:kern w:val="20"/>
      <w:sz w:val="40"/>
      <w:szCs w:val="72"/>
      <w:lang w:val="en"/>
    </w:rPr>
  </w:style>
  <w:style w:type="character" w:customStyle="1" w:styleId="TitleChar">
    <w:name w:val="Title Char"/>
    <w:basedOn w:val="DefaultParagraphFont"/>
    <w:link w:val="Title"/>
    <w:uiPriority w:val="10"/>
    <w:rsid w:val="00776358"/>
    <w:rPr>
      <w:rFonts w:ascii="Arial" w:eastAsiaTheme="minorEastAsia" w:hAnsi="Arial" w:cs="Arial"/>
      <w:b/>
      <w:bCs/>
      <w:color w:val="000000" w:themeColor="text1"/>
      <w:kern w:val="20"/>
      <w:sz w:val="40"/>
      <w:szCs w:val="72"/>
      <w:lang w:val="en"/>
    </w:rPr>
  </w:style>
  <w:style w:type="paragraph" w:styleId="Subtitle">
    <w:name w:val="Subtitle"/>
    <w:basedOn w:val="Normal"/>
    <w:next w:val="Normal"/>
    <w:link w:val="SubtitleChar"/>
    <w:uiPriority w:val="11"/>
    <w:unhideWhenUsed/>
    <w:rsid w:val="007B175C"/>
    <w:pPr>
      <w:numPr>
        <w:ilvl w:val="1"/>
      </w:numPr>
      <w:spacing w:line="240" w:lineRule="auto"/>
      <w:outlineLvl w:val="0"/>
    </w:pPr>
    <w:rPr>
      <w:rFonts w:eastAsiaTheme="minorEastAsia"/>
      <w:b/>
      <w:sz w:val="28"/>
      <w:szCs w:val="22"/>
    </w:rPr>
  </w:style>
  <w:style w:type="character" w:customStyle="1" w:styleId="SubtitleChar">
    <w:name w:val="Subtitle Char"/>
    <w:basedOn w:val="DefaultParagraphFont"/>
    <w:link w:val="Subtitle"/>
    <w:uiPriority w:val="11"/>
    <w:rsid w:val="007B175C"/>
    <w:rPr>
      <w:rFonts w:ascii="Arial" w:eastAsiaTheme="minorEastAsia" w:hAnsi="Arial"/>
      <w:b/>
      <w:sz w:val="28"/>
      <w:szCs w:val="22"/>
    </w:rPr>
  </w:style>
  <w:style w:type="paragraph" w:styleId="Caption">
    <w:name w:val="caption"/>
    <w:basedOn w:val="Normal"/>
    <w:next w:val="Normal"/>
    <w:uiPriority w:val="35"/>
    <w:unhideWhenUsed/>
    <w:qFormat/>
    <w:rsid w:val="00D04EA1"/>
    <w:pPr>
      <w:spacing w:after="40" w:line="240" w:lineRule="auto"/>
    </w:pPr>
    <w:rPr>
      <w:rFonts w:cs="Arial"/>
      <w:b/>
      <w:iCs/>
      <w:color w:val="0E2841" w:themeColor="text2"/>
      <w:sz w:val="20"/>
      <w:szCs w:val="18"/>
    </w:rPr>
  </w:style>
  <w:style w:type="character" w:customStyle="1" w:styleId="Heading4Char">
    <w:name w:val="Heading 4 Char"/>
    <w:basedOn w:val="DefaultParagraphFont"/>
    <w:link w:val="Heading4"/>
    <w:uiPriority w:val="9"/>
    <w:rsid w:val="00AD1846"/>
    <w:rPr>
      <w:rFonts w:ascii="Arial" w:eastAsiaTheme="majorEastAsia" w:hAnsi="Arial" w:cstheme="majorBidi"/>
      <w:b/>
      <w:iCs/>
      <w:color w:val="000000" w:themeColor="text1"/>
    </w:rPr>
  </w:style>
  <w:style w:type="character" w:customStyle="1" w:styleId="Heading1Char">
    <w:name w:val="Heading 1 Char"/>
    <w:basedOn w:val="DefaultParagraphFont"/>
    <w:link w:val="Heading1"/>
    <w:uiPriority w:val="9"/>
    <w:rsid w:val="00AD1846"/>
    <w:rPr>
      <w:rFonts w:ascii="Arial" w:hAnsi="Arial" w:cs="Arial"/>
      <w:b/>
      <w:bCs/>
      <w:color w:val="000000" w:themeColor="text1"/>
      <w:sz w:val="40"/>
      <w:szCs w:val="40"/>
    </w:rPr>
  </w:style>
  <w:style w:type="character" w:customStyle="1" w:styleId="Heading2Char">
    <w:name w:val="Heading 2 Char"/>
    <w:basedOn w:val="DefaultParagraphFont"/>
    <w:link w:val="Heading2"/>
    <w:uiPriority w:val="9"/>
    <w:rsid w:val="00AD1846"/>
    <w:rPr>
      <w:rFonts w:ascii="Arial" w:eastAsiaTheme="majorEastAsia" w:hAnsi="Arial" w:cstheme="majorBidi"/>
      <w:b/>
      <w:color w:val="000000" w:themeColor="text1"/>
      <w:sz w:val="36"/>
      <w:szCs w:val="32"/>
    </w:rPr>
  </w:style>
  <w:style w:type="character" w:customStyle="1" w:styleId="Heading3Char">
    <w:name w:val="Heading 3 Char"/>
    <w:basedOn w:val="DefaultParagraphFont"/>
    <w:link w:val="Heading3"/>
    <w:uiPriority w:val="9"/>
    <w:rsid w:val="008A10E5"/>
    <w:rPr>
      <w:rFonts w:ascii="Arial" w:hAnsi="Arial"/>
      <w:b/>
      <w:bCs/>
      <w:color w:val="000000" w:themeColor="text1"/>
      <w:sz w:val="32"/>
      <w:szCs w:val="32"/>
    </w:rPr>
  </w:style>
  <w:style w:type="character" w:customStyle="1" w:styleId="Heading5Char">
    <w:name w:val="Heading 5 Char"/>
    <w:basedOn w:val="DefaultParagraphFont"/>
    <w:link w:val="Heading5"/>
    <w:uiPriority w:val="9"/>
    <w:semiHidden/>
    <w:rsid w:val="00AD1846"/>
    <w:rPr>
      <w:rFonts w:ascii="Arial" w:eastAsiaTheme="majorEastAsia" w:hAnsi="Arial" w:cstheme="majorBidi"/>
      <w:b/>
      <w:color w:val="000000" w:themeColor="text1"/>
      <w:sz w:val="22"/>
    </w:rPr>
  </w:style>
  <w:style w:type="character" w:customStyle="1" w:styleId="Heading6Char">
    <w:name w:val="Heading 6 Char"/>
    <w:basedOn w:val="DefaultParagraphFont"/>
    <w:link w:val="Heading6"/>
    <w:uiPriority w:val="9"/>
    <w:semiHidden/>
    <w:rsid w:val="00AD1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846"/>
    <w:rPr>
      <w:rFonts w:eastAsiaTheme="majorEastAsia" w:cstheme="majorBidi"/>
      <w:color w:val="272727" w:themeColor="text1" w:themeTint="D8"/>
    </w:rPr>
  </w:style>
  <w:style w:type="paragraph" w:styleId="Quote">
    <w:name w:val="Quote"/>
    <w:basedOn w:val="Normal"/>
    <w:next w:val="Normal"/>
    <w:link w:val="QuoteChar"/>
    <w:uiPriority w:val="29"/>
    <w:rsid w:val="00AD1846"/>
    <w:pPr>
      <w:spacing w:before="160"/>
      <w:jc w:val="center"/>
    </w:pPr>
    <w:rPr>
      <w:i/>
      <w:iCs/>
      <w:color w:val="404040" w:themeColor="text1" w:themeTint="BF"/>
    </w:rPr>
  </w:style>
  <w:style w:type="character" w:customStyle="1" w:styleId="QuoteChar">
    <w:name w:val="Quote Char"/>
    <w:basedOn w:val="DefaultParagraphFont"/>
    <w:link w:val="Quote"/>
    <w:uiPriority w:val="29"/>
    <w:rsid w:val="00AD1846"/>
    <w:rPr>
      <w:i/>
      <w:iCs/>
      <w:color w:val="404040" w:themeColor="text1" w:themeTint="BF"/>
    </w:rPr>
  </w:style>
  <w:style w:type="paragraph" w:styleId="ListParagraph">
    <w:name w:val="List Paragraph"/>
    <w:basedOn w:val="Normal"/>
    <w:uiPriority w:val="34"/>
    <w:qFormat/>
    <w:rsid w:val="00AD1846"/>
    <w:pPr>
      <w:ind w:left="720"/>
      <w:contextualSpacing/>
    </w:pPr>
  </w:style>
  <w:style w:type="character" w:styleId="IntenseEmphasis">
    <w:name w:val="Intense Emphasis"/>
    <w:basedOn w:val="DefaultParagraphFont"/>
    <w:uiPriority w:val="21"/>
    <w:rsid w:val="00AD1846"/>
    <w:rPr>
      <w:i/>
      <w:iCs/>
      <w:color w:val="0F4761" w:themeColor="accent1" w:themeShade="BF"/>
    </w:rPr>
  </w:style>
  <w:style w:type="paragraph" w:styleId="IntenseQuote">
    <w:name w:val="Intense Quote"/>
    <w:basedOn w:val="Normal"/>
    <w:next w:val="Normal"/>
    <w:link w:val="IntenseQuoteChar"/>
    <w:uiPriority w:val="30"/>
    <w:rsid w:val="00AD1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846"/>
    <w:rPr>
      <w:i/>
      <w:iCs/>
      <w:color w:val="0F4761" w:themeColor="accent1" w:themeShade="BF"/>
    </w:rPr>
  </w:style>
  <w:style w:type="character" w:styleId="IntenseReference">
    <w:name w:val="Intense Reference"/>
    <w:basedOn w:val="DefaultParagraphFont"/>
    <w:uiPriority w:val="32"/>
    <w:rsid w:val="00AD1846"/>
    <w:rPr>
      <w:b/>
      <w:bCs/>
      <w:smallCaps/>
      <w:color w:val="0F4761" w:themeColor="accent1" w:themeShade="BF"/>
      <w:spacing w:val="5"/>
    </w:rPr>
  </w:style>
  <w:style w:type="paragraph" w:styleId="Header">
    <w:name w:val="header"/>
    <w:basedOn w:val="Normal"/>
    <w:link w:val="HeaderChar"/>
    <w:uiPriority w:val="99"/>
    <w:unhideWhenUsed/>
    <w:rsid w:val="008A1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0E5"/>
    <w:rPr>
      <w:rFonts w:ascii="Arial" w:hAnsi="Arial"/>
      <w:color w:val="000000" w:themeColor="text1"/>
      <w:sz w:val="22"/>
    </w:rPr>
  </w:style>
  <w:style w:type="paragraph" w:styleId="Footer">
    <w:name w:val="footer"/>
    <w:basedOn w:val="Normal"/>
    <w:link w:val="FooterChar"/>
    <w:uiPriority w:val="99"/>
    <w:unhideWhenUsed/>
    <w:rsid w:val="008A1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0E5"/>
    <w:rPr>
      <w:rFonts w:ascii="Arial" w:hAnsi="Arial"/>
      <w:color w:val="000000" w:themeColor="text1"/>
      <w:sz w:val="22"/>
    </w:rPr>
  </w:style>
  <w:style w:type="character" w:styleId="Hyperlink">
    <w:name w:val="Hyperlink"/>
    <w:basedOn w:val="DefaultParagraphFont"/>
    <w:uiPriority w:val="99"/>
    <w:unhideWhenUsed/>
    <w:rsid w:val="008A10E5"/>
    <w:rPr>
      <w:color w:val="467886" w:themeColor="hyperlink"/>
      <w:u w:val="single"/>
    </w:rPr>
  </w:style>
  <w:style w:type="paragraph" w:customStyle="1" w:styleId="Footnote">
    <w:name w:val="Footnote"/>
    <w:basedOn w:val="Normal"/>
    <w:link w:val="FootnoteChar"/>
    <w:rsid w:val="008A10E5"/>
    <w:pPr>
      <w:spacing w:before="160" w:after="60" w:line="240" w:lineRule="auto"/>
    </w:pPr>
    <w:rPr>
      <w:b/>
      <w:bCs/>
      <w:noProof/>
      <w:color w:val="FFFFFF" w:themeColor="background1"/>
      <w:szCs w:val="22"/>
    </w:rPr>
  </w:style>
  <w:style w:type="character" w:customStyle="1" w:styleId="FootnoteChar">
    <w:name w:val="Footnote Char"/>
    <w:basedOn w:val="DefaultParagraphFont"/>
    <w:link w:val="Footnote"/>
    <w:rsid w:val="008A10E5"/>
    <w:rPr>
      <w:rFonts w:ascii="Arial" w:hAnsi="Arial"/>
      <w:b/>
      <w:bCs/>
      <w:noProof/>
      <w:color w:val="FFFFFF" w:themeColor="background1"/>
      <w:sz w:val="22"/>
      <w:szCs w:val="22"/>
    </w:rPr>
  </w:style>
  <w:style w:type="table" w:styleId="TableGrid">
    <w:name w:val="Table Grid"/>
    <w:basedOn w:val="TableNormal"/>
    <w:uiPriority w:val="39"/>
    <w:rsid w:val="007B6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7B6345"/>
    <w:pPr>
      <w:spacing w:after="0" w:line="240" w:lineRule="auto"/>
      <w:jc w:val="center"/>
    </w:pPr>
    <w:rPr>
      <w:b/>
      <w:bCs/>
    </w:rPr>
  </w:style>
  <w:style w:type="character" w:customStyle="1" w:styleId="TableHeaderChar">
    <w:name w:val="Table Header Char"/>
    <w:basedOn w:val="DefaultParagraphFont"/>
    <w:link w:val="TableHeader"/>
    <w:rsid w:val="007B6345"/>
    <w:rPr>
      <w:rFonts w:ascii="Arial" w:hAnsi="Arial"/>
      <w:b/>
      <w:bCs/>
      <w:color w:val="000000" w:themeColor="text1"/>
      <w:sz w:val="22"/>
    </w:rPr>
  </w:style>
  <w:style w:type="character" w:styleId="UnresolvedMention">
    <w:name w:val="Unresolved Mention"/>
    <w:basedOn w:val="DefaultParagraphFont"/>
    <w:uiPriority w:val="99"/>
    <w:semiHidden/>
    <w:unhideWhenUsed/>
    <w:rsid w:val="00F12C9C"/>
    <w:rPr>
      <w:color w:val="605E5C"/>
      <w:shd w:val="clear" w:color="auto" w:fill="E1DFDD"/>
    </w:rPr>
  </w:style>
  <w:style w:type="character" w:styleId="CommentReference">
    <w:name w:val="annotation reference"/>
    <w:basedOn w:val="DefaultParagraphFont"/>
    <w:uiPriority w:val="99"/>
    <w:semiHidden/>
    <w:unhideWhenUsed/>
    <w:rsid w:val="002219C6"/>
    <w:rPr>
      <w:sz w:val="16"/>
      <w:szCs w:val="16"/>
    </w:rPr>
  </w:style>
  <w:style w:type="paragraph" w:styleId="CommentText">
    <w:name w:val="annotation text"/>
    <w:basedOn w:val="Normal"/>
    <w:link w:val="CommentTextChar"/>
    <w:uiPriority w:val="99"/>
    <w:unhideWhenUsed/>
    <w:rsid w:val="002219C6"/>
    <w:pPr>
      <w:spacing w:after="160" w:line="240" w:lineRule="auto"/>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2219C6"/>
    <w:rPr>
      <w:sz w:val="20"/>
      <w:szCs w:val="20"/>
    </w:rPr>
  </w:style>
  <w:style w:type="paragraph" w:styleId="FootnoteText">
    <w:name w:val="footnote text"/>
    <w:basedOn w:val="Normal"/>
    <w:link w:val="FootnoteTextChar"/>
    <w:uiPriority w:val="99"/>
    <w:unhideWhenUsed/>
    <w:rsid w:val="002219C6"/>
    <w:pPr>
      <w:spacing w:after="0" w:line="240" w:lineRule="auto"/>
    </w:pPr>
    <w:rPr>
      <w:rFonts w:asciiTheme="minorHAnsi" w:hAnsiTheme="minorHAnsi"/>
      <w:color w:val="auto"/>
      <w:sz w:val="20"/>
      <w:szCs w:val="20"/>
    </w:rPr>
  </w:style>
  <w:style w:type="character" w:customStyle="1" w:styleId="FootnoteTextChar">
    <w:name w:val="Footnote Text Char"/>
    <w:basedOn w:val="DefaultParagraphFont"/>
    <w:link w:val="FootnoteText"/>
    <w:uiPriority w:val="99"/>
    <w:rsid w:val="002219C6"/>
    <w:rPr>
      <w:sz w:val="20"/>
      <w:szCs w:val="20"/>
    </w:rPr>
  </w:style>
  <w:style w:type="character" w:styleId="FootnoteReference">
    <w:name w:val="footnote reference"/>
    <w:basedOn w:val="DefaultParagraphFont"/>
    <w:uiPriority w:val="99"/>
    <w:semiHidden/>
    <w:unhideWhenUsed/>
    <w:rsid w:val="002219C6"/>
    <w:rPr>
      <w:vertAlign w:val="superscript"/>
    </w:rPr>
  </w:style>
  <w:style w:type="character" w:styleId="Mention">
    <w:name w:val="Mention"/>
    <w:basedOn w:val="DefaultParagraphFont"/>
    <w:uiPriority w:val="99"/>
    <w:unhideWhenUsed/>
    <w:rsid w:val="002219C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674B18"/>
    <w:pPr>
      <w:spacing w:after="120"/>
    </w:pPr>
    <w:rPr>
      <w:rFonts w:ascii="Arial" w:hAnsi="Arial"/>
      <w:b/>
      <w:bCs/>
      <w:color w:val="000000" w:themeColor="text1"/>
    </w:rPr>
  </w:style>
  <w:style w:type="character" w:customStyle="1" w:styleId="CommentSubjectChar">
    <w:name w:val="Comment Subject Char"/>
    <w:basedOn w:val="CommentTextChar"/>
    <w:link w:val="CommentSubject"/>
    <w:uiPriority w:val="99"/>
    <w:semiHidden/>
    <w:rsid w:val="00674B18"/>
    <w:rPr>
      <w:rFonts w:ascii="Arial" w:hAnsi="Arial"/>
      <w:b/>
      <w:bCs/>
      <w:color w:val="000000" w:themeColor="text1"/>
      <w:sz w:val="20"/>
      <w:szCs w:val="20"/>
    </w:rPr>
  </w:style>
  <w:style w:type="paragraph" w:styleId="Revision">
    <w:name w:val="Revision"/>
    <w:hidden/>
    <w:uiPriority w:val="99"/>
    <w:semiHidden/>
    <w:rsid w:val="00E07300"/>
    <w:pPr>
      <w:spacing w:after="0" w:line="240" w:lineRule="auto"/>
    </w:pPr>
    <w:rPr>
      <w:rFonts w:ascii="Arial" w:hAnsi="Arial"/>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anie.Caldera@DEQ.Oregon.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regon.gov/deq/rulemaking/Pages/Recycling2023.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deq/rulemaking/Pages/rma2026.aspx" TargetMode="External"/><Relationship Id="rId5" Type="http://schemas.openxmlformats.org/officeDocument/2006/relationships/styles" Target="styles.xml"/><Relationship Id="rId15" Type="http://schemas.openxmlformats.org/officeDocument/2006/relationships/hyperlink" Target="https://www.oregon.gov/deq/about-us/Pages/titleVIaccess.aspx"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deq/recycling/pages/modernizing-oregons-recycling-syste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B50B40939EF4CA7B63E968F7225EE" ma:contentTypeVersion="3" ma:contentTypeDescription="Create a new document." ma:contentTypeScope="" ma:versionID="2a7d35e55fa50e45481485a56f4c284b">
  <xsd:schema xmlns:xsd="http://www.w3.org/2001/XMLSchema" xmlns:xs="http://www.w3.org/2001/XMLSchema" xmlns:p="http://schemas.microsoft.com/office/2006/metadata/properties" xmlns:ns2="6b3c66af-2c5e-4a64-b1f0-eca17e4268a6" targetNamespace="http://schemas.microsoft.com/office/2006/metadata/properties" ma:root="true" ma:fieldsID="3683e58581ea1345059d98bdcffe62ed" ns2:_="">
    <xsd:import namespace="6b3c66af-2c5e-4a64-b1f0-eca17e4268a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c66af-2c5e-4a64-b1f0-eca17e426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A9E35-03A8-4D67-B646-A45125253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c66af-2c5e-4a64-b1f0-eca17e426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34078E-1FFF-4FF2-831C-6A647FCB79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4A9E89-BCDC-49D7-8922-C93ABA57373D}">
  <ds:schemaRefs>
    <ds:schemaRef ds:uri="http://schemas.microsoft.com/sharepoint/v3/contenttype/forms"/>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8</TotalTime>
  <Pages>6</Pages>
  <Words>2718</Words>
  <Characters>15498</Characters>
  <Application>Microsoft Office Word</Application>
  <DocSecurity>0</DocSecurity>
  <Lines>129</Lines>
  <Paragraphs>36</Paragraphs>
  <ScaleCrop>false</ScaleCrop>
  <Company/>
  <LinksUpToDate>false</LinksUpToDate>
  <CharactersWithSpaces>18180</CharactersWithSpaces>
  <SharedDoc>false</SharedDoc>
  <HLinks>
    <vt:vector size="36" baseType="variant">
      <vt:variant>
        <vt:i4>1769540</vt:i4>
      </vt:variant>
      <vt:variant>
        <vt:i4>9</vt:i4>
      </vt:variant>
      <vt:variant>
        <vt:i4>0</vt:i4>
      </vt:variant>
      <vt:variant>
        <vt:i4>5</vt:i4>
      </vt:variant>
      <vt:variant>
        <vt:lpwstr>https://www.oregon.gov/deq/about-us/Pages/titleVIaccess.aspx</vt:lpwstr>
      </vt:variant>
      <vt:variant>
        <vt:lpwstr/>
      </vt:variant>
      <vt:variant>
        <vt:i4>1638482</vt:i4>
      </vt:variant>
      <vt:variant>
        <vt:i4>6</vt:i4>
      </vt:variant>
      <vt:variant>
        <vt:i4>0</vt:i4>
      </vt:variant>
      <vt:variant>
        <vt:i4>5</vt:i4>
      </vt:variant>
      <vt:variant>
        <vt:lpwstr>https://www.oregon.gov/deq/recycling/pages/modernizing-oregons-recycling-system.aspx</vt:lpwstr>
      </vt:variant>
      <vt:variant>
        <vt:lpwstr/>
      </vt:variant>
      <vt:variant>
        <vt:i4>2949128</vt:i4>
      </vt:variant>
      <vt:variant>
        <vt:i4>3</vt:i4>
      </vt:variant>
      <vt:variant>
        <vt:i4>0</vt:i4>
      </vt:variant>
      <vt:variant>
        <vt:i4>5</vt:i4>
      </vt:variant>
      <vt:variant>
        <vt:lpwstr>mailto:Stephanie.Caldera@DEQ.Oregon.Gov</vt:lpwstr>
      </vt:variant>
      <vt:variant>
        <vt:lpwstr/>
      </vt:variant>
      <vt:variant>
        <vt:i4>8257652</vt:i4>
      </vt:variant>
      <vt:variant>
        <vt:i4>0</vt:i4>
      </vt:variant>
      <vt:variant>
        <vt:i4>0</vt:i4>
      </vt:variant>
      <vt:variant>
        <vt:i4>5</vt:i4>
      </vt:variant>
      <vt:variant>
        <vt:lpwstr>https://www.oregon.gov/deq/rulemaking/Pages/Recycling2023.aspx</vt:lpwstr>
      </vt:variant>
      <vt:variant>
        <vt:lpwstr/>
      </vt:variant>
      <vt:variant>
        <vt:i4>1572902</vt:i4>
      </vt:variant>
      <vt:variant>
        <vt:i4>3</vt:i4>
      </vt:variant>
      <vt:variant>
        <vt:i4>0</vt:i4>
      </vt:variant>
      <vt:variant>
        <vt:i4>5</vt:i4>
      </vt:variant>
      <vt:variant>
        <vt:lpwstr>mailto:Justin.GAST@deq.oregon.gov</vt:lpwstr>
      </vt:variant>
      <vt:variant>
        <vt:lpwstr/>
      </vt:variant>
      <vt:variant>
        <vt:i4>2490391</vt:i4>
      </vt:variant>
      <vt:variant>
        <vt:i4>0</vt:i4>
      </vt:variant>
      <vt:variant>
        <vt:i4>0</vt:i4>
      </vt:variant>
      <vt:variant>
        <vt:i4>5</vt:i4>
      </vt:variant>
      <vt:variant>
        <vt:lpwstr>mailto:David.ALLAWAY@deq.oregon.gov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Public Document A</dc:title>
  <dc:subject/>
  <dc:creator>THOMPSON Michele * DEQ</dc:creator>
  <cp:keywords/>
  <dc:description/>
  <cp:lastModifiedBy>CALDERA Stephanie * DEQ</cp:lastModifiedBy>
  <cp:revision>58</cp:revision>
  <dcterms:created xsi:type="dcterms:W3CDTF">2026-04-05T17:47:00Z</dcterms:created>
  <dcterms:modified xsi:type="dcterms:W3CDTF">2026-04-07T21:33:00Z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0x0101003D2B50B40939EF4CA7B63E968F7225EE</vt:lpwstr>
  </property>
  <property fmtid="{D5CDD505-2E9C-101B-9397-08002B2CF9AE}" pid="3" name="MediaServiceImageTags">
    <vt:lpwstr/>
  </property>
  <property fmtid="{D5CDD505-2E9C-101B-9397-08002B2CF9AE}" pid="4" name="docLang">
    <vt:lpwstr>en</vt:lpwstr>
  </property>
</Properties>
</file>