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882D" w14:textId="18FCDE78" w:rsidR="009B009E" w:rsidRDefault="00AD1846">
      <w:r>
        <w:rPr>
          <w:noProof/>
        </w:rPr>
        <w:drawing>
          <wp:inline distT="0" distB="0" distL="0" distR="0" wp14:anchorId="0DB623FF" wp14:editId="5837DC74">
            <wp:extent cx="2317317" cy="457200"/>
            <wp:effectExtent l="0" t="0" r="6985" b="0"/>
            <wp:docPr id="1734063460" name="Picture 1" descr="Oregon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63460" name="Picture 1" descr="Oregon DEQ Logo"/>
                    <pic:cNvPicPr/>
                  </pic:nvPicPr>
                  <pic:blipFill>
                    <a:blip r:embed="rId10">
                      <a:extLst>
                        <a:ext uri="{28A0092B-C50C-407E-A947-70E740481C1C}">
                          <a14:useLocalDpi xmlns:a14="http://schemas.microsoft.com/office/drawing/2010/main" val="0"/>
                        </a:ext>
                      </a:extLst>
                    </a:blip>
                    <a:stretch>
                      <a:fillRect/>
                    </a:stretch>
                  </pic:blipFill>
                  <pic:spPr>
                    <a:xfrm>
                      <a:off x="0" y="0"/>
                      <a:ext cx="2317317" cy="457200"/>
                    </a:xfrm>
                    <a:prstGeom prst="rect">
                      <a:avLst/>
                    </a:prstGeom>
                  </pic:spPr>
                </pic:pic>
              </a:graphicData>
            </a:graphic>
          </wp:inline>
        </w:drawing>
      </w:r>
    </w:p>
    <w:p w14:paraId="21852C31" w14:textId="34E0C35B" w:rsidR="00AD1846" w:rsidRDefault="00B30457" w:rsidP="008F41E3">
      <w:pPr>
        <w:pStyle w:val="Heading1"/>
        <w:spacing w:after="0"/>
      </w:pPr>
      <w:r>
        <w:t>Glass Background Paper 1: History and Context</w:t>
      </w:r>
    </w:p>
    <w:p w14:paraId="28053F31" w14:textId="1CE778C3" w:rsidR="001C684C" w:rsidRDefault="001C684C" w:rsidP="002219C6">
      <w:r>
        <w:t>April 6, 2026</w:t>
      </w:r>
    </w:p>
    <w:p w14:paraId="50BF1CF1" w14:textId="77777777" w:rsidR="001C684C" w:rsidRDefault="001C684C" w:rsidP="002219C6"/>
    <w:p w14:paraId="31FBF3CC" w14:textId="34A31E7F" w:rsidR="002219C6" w:rsidRDefault="002219C6" w:rsidP="002219C6">
      <w:r>
        <w:t xml:space="preserve">DEQ convened a </w:t>
      </w:r>
      <w:r w:rsidR="00193008">
        <w:t xml:space="preserve">2026 </w:t>
      </w:r>
      <w:r>
        <w:t xml:space="preserve">Technical Workgroup on Glass Collection to provide input to DEQ on opportunities to reduce costs for glass producers related to the collection of glass for recycling, and potential impacts of those options. The Technical Workgroup’s charter can be viewed </w:t>
      </w:r>
      <w:r w:rsidR="00E87BD0">
        <w:t xml:space="preserve">on the </w:t>
      </w:r>
      <w:hyperlink r:id="rId11" w:tooltip="RMA2026_Rulemaking" w:history="1">
        <w:r w:rsidR="00E87BD0" w:rsidRPr="00E87BD0">
          <w:rPr>
            <w:rStyle w:val="Hyperlink"/>
          </w:rPr>
          <w:t>2026 RMA Rulemaking webpage</w:t>
        </w:r>
      </w:hyperlink>
      <w:r w:rsidR="00E87BD0">
        <w:t>.</w:t>
      </w:r>
      <w:r>
        <w:t xml:space="preserve"> </w:t>
      </w:r>
    </w:p>
    <w:p w14:paraId="29C4B533" w14:textId="1E1B4373" w:rsidR="002219C6" w:rsidRDefault="002219C6" w:rsidP="002219C6">
      <w:r>
        <w:t>DEQ prepared two background papers to inform and support members of the Technical Workgroup. This first background paper provides history and context for glass recycling in Oregon.</w:t>
      </w:r>
      <w:r w:rsidR="00AA7122">
        <w:t xml:space="preserve"> </w:t>
      </w:r>
      <w:r>
        <w:t xml:space="preserve">It summarizes the </w:t>
      </w:r>
      <w:r w:rsidR="00AE0BC3">
        <w:t>history</w:t>
      </w:r>
      <w:r>
        <w:t xml:space="preserve"> of glass recycling and related policy in Oregon, including prior to the Recycling Modernization Act</w:t>
      </w:r>
      <w:r w:rsidR="00AA7122">
        <w:t>,</w:t>
      </w:r>
      <w:r>
        <w:t xml:space="preserve"> and changes resulting from the Recycling Modernization Act. A second background paper summarizes options to reduce costs for glass producers related to the collection of glass for recycling, and information regarding statutory criteria for recycling acceptance lists. </w:t>
      </w:r>
    </w:p>
    <w:p w14:paraId="3AA548CE" w14:textId="77777777" w:rsidR="001C684C" w:rsidRPr="00EF7A2B" w:rsidRDefault="001C684C" w:rsidP="002219C6"/>
    <w:p w14:paraId="7A682211" w14:textId="5DC0732D" w:rsidR="002219C6" w:rsidRDefault="002219C6" w:rsidP="001C684C">
      <w:pPr>
        <w:pStyle w:val="Heading2"/>
      </w:pPr>
      <w:r>
        <w:t xml:space="preserve">Glass </w:t>
      </w:r>
      <w:r w:rsidR="001C684C">
        <w:t>r</w:t>
      </w:r>
      <w:r>
        <w:t xml:space="preserve">ecycling </w:t>
      </w:r>
      <w:r w:rsidR="001C684C">
        <w:t>p</w:t>
      </w:r>
      <w:r>
        <w:t>rior to the Recycling Modernization Act</w:t>
      </w:r>
    </w:p>
    <w:p w14:paraId="4325DBBA" w14:textId="16F7426D" w:rsidR="00AD0784" w:rsidRDefault="6D396B15" w:rsidP="008E4FDE">
      <w:pPr>
        <w:pStyle w:val="Heading4"/>
      </w:pPr>
      <w:r>
        <w:t xml:space="preserve">1970s: </w:t>
      </w:r>
      <w:r w:rsidR="1B6685D6">
        <w:t>Bottle Bill starts up; limited collection of</w:t>
      </w:r>
      <w:r w:rsidR="42136418">
        <w:t xml:space="preserve"> </w:t>
      </w:r>
      <w:r w:rsidR="19654FFD">
        <w:t xml:space="preserve">other </w:t>
      </w:r>
      <w:r w:rsidR="42136418">
        <w:t>glass for recycling</w:t>
      </w:r>
    </w:p>
    <w:p w14:paraId="07EFDD64" w14:textId="3DC83103" w:rsidR="002219C6" w:rsidRDefault="1098D8DA" w:rsidP="002219C6">
      <w:r>
        <w:t xml:space="preserve">Post-consumer glass has been collected for recycling in Oregon since the 1970s. Soda and beer bottles have been subject to Oregon’s bottle bill since its inception in 1971, and in the 1970s, glass was collected at a network of recycling depots in </w:t>
      </w:r>
      <w:r w:rsidR="64958A44">
        <w:t xml:space="preserve">some </w:t>
      </w:r>
      <w:r>
        <w:t>communities</w:t>
      </w:r>
      <w:r w:rsidR="64958A44">
        <w:t>,</w:t>
      </w:r>
      <w:r>
        <w:t xml:space="preserve"> such as Portland and Eugene. </w:t>
      </w:r>
      <w:r w:rsidR="2F7C6DDA">
        <w:t>At that time,</w:t>
      </w:r>
      <w:r>
        <w:t xml:space="preserve"> glass bottles and jars collected through these source-segregated collection programs went directly to the Owens-Illinois glass bottle plant in Northeast Portland. </w:t>
      </w:r>
      <w:r w:rsidR="00081670">
        <w:t>That</w:t>
      </w:r>
      <w:r>
        <w:t xml:space="preserve"> plant provided revenue to recycling collectors as an incentive to support recycling: originally $40 per ton for all glass, and then for many years a color-differentiated pricing schedule ($40 per ton for clear glass, $20 per ton for brown glass and $5 per ton for green glass)</w:t>
      </w:r>
      <w:r w:rsidR="04780955">
        <w:t>.</w:t>
      </w:r>
      <w:r>
        <w:t xml:space="preserve"> </w:t>
      </w:r>
    </w:p>
    <w:p w14:paraId="46C4196D" w14:textId="072CA16E" w:rsidR="002648AF" w:rsidRDefault="004529A8" w:rsidP="008E4FDE">
      <w:pPr>
        <w:pStyle w:val="Heading4"/>
      </w:pPr>
      <w:r>
        <w:t xml:space="preserve">1980s-1990s: </w:t>
      </w:r>
      <w:r w:rsidR="002648AF">
        <w:t xml:space="preserve">Expanded statewide </w:t>
      </w:r>
      <w:r w:rsidR="00195607">
        <w:t>recycling</w:t>
      </w:r>
      <w:r w:rsidR="00B2485A">
        <w:t>; separated collection</w:t>
      </w:r>
    </w:p>
    <w:p w14:paraId="180CF882" w14:textId="7C0066EC" w:rsidR="002219C6" w:rsidRDefault="1098D8DA" w:rsidP="002219C6">
      <w:r>
        <w:t xml:space="preserve">Responding to public concerns involving both resource conservation and landfill capacity and impacts, Oregon’s legislature adopted the Opportunity to Recycle </w:t>
      </w:r>
      <w:r w:rsidR="00A046A6">
        <w:t xml:space="preserve">(OTR) </w:t>
      </w:r>
      <w:r>
        <w:t xml:space="preserve">Act in 1983 and expanded the scope of that Act in 1991. One result was a significant expansion in glass collection across the state. The basic principle of the Opportunity to Recycle Act was that local governments, and the waste industry service providers which they regulate, should make opportunities to separate and recycle “recyclable materials” as convenient as garbage disposal. Statute provided that recyclable materials were any material that passed an “economic test” – if the material could be collected, transported and marketed at a cost lower than the cost to collect, transport and dispose of the material as garbage, it </w:t>
      </w:r>
      <w:proofErr w:type="gramStart"/>
      <w:r>
        <w:t>was considered to be</w:t>
      </w:r>
      <w:proofErr w:type="gramEnd"/>
      <w:r>
        <w:t xml:space="preserve"> a “recyclable material” and subject to the opportunity requirements of the law.</w:t>
      </w:r>
    </w:p>
    <w:p w14:paraId="44A64906" w14:textId="77777777" w:rsidR="002219C6" w:rsidRDefault="002219C6" w:rsidP="002219C6">
      <w:r>
        <w:t xml:space="preserve">As a practical consequence of these laws, Oregon saw a significant expansion in collection infrastructure for glass. At solid waste disposal sites accepting garbage from the public (including transfer stations), drop-off or depot-style opportunities for glass (and other recyclable materials) were introduced. In many communities, on-route (e.g., “curbside”) collection of glass was also added as a service to customers of on-route garbage collection. </w:t>
      </w:r>
    </w:p>
    <w:p w14:paraId="75C4F3E4" w14:textId="77777777" w:rsidR="00655B9A" w:rsidRDefault="1098D8DA" w:rsidP="002219C6">
      <w:r>
        <w:lastRenderedPageBreak/>
        <w:t>Initially, on-route collection programs collected each material on a source segregated basis</w:t>
      </w:r>
      <w:r w:rsidR="2F7C6DDA">
        <w:t>. P</w:t>
      </w:r>
      <w:r>
        <w:t xml:space="preserve">rimary materials (e.g., glass, newsprint, cardboard, etc.) were separated by the generator and then hand-loaded into separate containers on the truck – and glass was sometimes further sorted by color. </w:t>
      </w:r>
    </w:p>
    <w:p w14:paraId="3A83A352" w14:textId="3AFF13F8" w:rsidR="00655B9A" w:rsidRDefault="00B2485A" w:rsidP="008E4FDE">
      <w:pPr>
        <w:pStyle w:val="Heading4"/>
      </w:pPr>
      <w:r>
        <w:t xml:space="preserve">Early 2000s: </w:t>
      </w:r>
      <w:r w:rsidR="00B33903">
        <w:t>Beginning of commingled collection</w:t>
      </w:r>
      <w:r w:rsidR="00B21558">
        <w:t>; expanded processing</w:t>
      </w:r>
    </w:p>
    <w:p w14:paraId="3A4C550E" w14:textId="28310ED7" w:rsidR="002219C6" w:rsidRDefault="1098D8DA" w:rsidP="002219C6">
      <w:r>
        <w:t xml:space="preserve">However, around the </w:t>
      </w:r>
      <w:r w:rsidR="2F7C6DDA">
        <w:t xml:space="preserve">early 2000s, </w:t>
      </w:r>
      <w:r>
        <w:t>faced with rising labor costs and worker injuries, on-route collection systems in Oregon largely transitioned to commingled collection, and later, to roll carts with automated or semi-automated collection. Commingled collection, in turn, necessitated the downstream processing (sorting) of mixed recyclables, and this led to significant expansion in commingled recycling processing facilities</w:t>
      </w:r>
      <w:r w:rsidR="61A7DD5D">
        <w:t xml:space="preserve">, </w:t>
      </w:r>
      <w:r>
        <w:t xml:space="preserve">previously </w:t>
      </w:r>
      <w:r w:rsidR="126232EA">
        <w:t xml:space="preserve">known in Oregon as </w:t>
      </w:r>
      <w:r>
        <w:t>“material recovery facilities” or “MRFs”.</w:t>
      </w:r>
    </w:p>
    <w:p w14:paraId="1D67C6D1" w14:textId="4475B983" w:rsidR="002219C6" w:rsidRDefault="002219C6" w:rsidP="002219C6">
      <w:r>
        <w:t xml:space="preserve">In many parts of the United States, commingled collection included glass mixed with all other accepted materials; this approach was often referred to as “single stream recycling”. However, most collection programs in Oregon did not adopt the “single stream” approach, choosing instead to collect glass separate from all other materials. The reasons for this involved the tendency of glass to break; broken glass is harder to recover in a commingled processing facility, leading to lower yield </w:t>
      </w:r>
      <w:r w:rsidR="0057570F">
        <w:t>and l</w:t>
      </w:r>
      <w:r>
        <w:t>ess actual recycling at the end market</w:t>
      </w:r>
      <w:r w:rsidR="0057570F">
        <w:t>,</w:t>
      </w:r>
      <w:r>
        <w:t xml:space="preserve"> as well as cross-contamination of other materials (e.g., glass fragments going to paper mills). Indeed, during the 2000s, one of the largest buyers of waste paper from Oregon</w:t>
      </w:r>
      <w:r w:rsidR="00EE12F4">
        <w:t xml:space="preserve"> </w:t>
      </w:r>
      <w:r>
        <w:t xml:space="preserve"> </w:t>
      </w:r>
      <w:r w:rsidR="001A683E">
        <w:t xml:space="preserve">actively </w:t>
      </w:r>
      <w:r>
        <w:t xml:space="preserve">promoted the message that “glass and paper don’t mix” and repeatedly </w:t>
      </w:r>
      <w:r w:rsidR="00DB26AA">
        <w:t xml:space="preserve">reported </w:t>
      </w:r>
      <w:r>
        <w:t xml:space="preserve">that glass fragments in bales of paper were causing hundreds of thousands – if not millions – of dollars in costs </w:t>
      </w:r>
      <w:r w:rsidR="00EE12F4">
        <w:t>at a single mill</w:t>
      </w:r>
      <w:r>
        <w:t xml:space="preserve"> as a consequence of down time, equipment damage (glass is abrasive to papermaking machinery), and disposal costs.</w:t>
      </w:r>
    </w:p>
    <w:p w14:paraId="3142F367" w14:textId="735AA8A2" w:rsidR="002219C6" w:rsidRDefault="002219C6" w:rsidP="002219C6">
      <w:r>
        <w:t>Despite this, several communities in Oregon (including portions of Linn, Benton, Hood River, and Jackson counties) operated single-stream programs for several years. A primary reason was that separate collection of glass is expensive, requiring either a separate truck, or a separate, dedicated compartment for glass in the commingled recycling truck. Dedicated compartments (e.g., “dual stream” collection) can pose challenges if compartments are not sized properly, as they increase the potential for collection vehicles to hit capacity prematurely, thereby requiring extra time to leave the route, dump contents, and return.</w:t>
      </w:r>
    </w:p>
    <w:p w14:paraId="410A96E9" w14:textId="5B622423" w:rsidR="00FE37DF" w:rsidRDefault="00FE37DF" w:rsidP="008E4FDE">
      <w:pPr>
        <w:pStyle w:val="Heading4"/>
      </w:pPr>
      <w:r>
        <w:t xml:space="preserve">2000s-2010s: </w:t>
      </w:r>
      <w:r w:rsidR="00B179E1">
        <w:t>Rising costs</w:t>
      </w:r>
      <w:r w:rsidR="0075123A">
        <w:t xml:space="preserve">; </w:t>
      </w:r>
      <w:r w:rsidR="00266D75">
        <w:t xml:space="preserve">ongoing </w:t>
      </w:r>
      <w:r w:rsidR="0075123A">
        <w:t>rural concerns</w:t>
      </w:r>
    </w:p>
    <w:p w14:paraId="70808816" w14:textId="57C144C3" w:rsidR="002219C6" w:rsidRDefault="002219C6" w:rsidP="002219C6">
      <w:r>
        <w:t xml:space="preserve">Additional challenges with glass recycling during the 2000s and 2010s involved increasingly unfavorable economics. Once collectors started mixing different colors of glass together, what had been a revenue stream became a cost (mixed-colored glass typically requires a fee to tip). With a relatively stable and inelastic supply (once established, municipal collection programs became difficult to dial back), and few other buyers of glass in the region, the Owens-Illinois plant and then the </w:t>
      </w:r>
      <w:proofErr w:type="gramStart"/>
      <w:r>
        <w:t>Glass to Glass</w:t>
      </w:r>
      <w:proofErr w:type="gramEnd"/>
      <w:r>
        <w:t xml:space="preserve"> facility in Portland began to demonstrate the characteristics of a monopsony</w:t>
      </w:r>
      <w:r w:rsidR="7848233B">
        <w:t xml:space="preserve">, </w:t>
      </w:r>
      <w:r>
        <w:t xml:space="preserve">a market characterized by multiple sellers and a single buyer. Average </w:t>
      </w:r>
      <w:r w:rsidR="2406422D">
        <w:t xml:space="preserve">per-ton </w:t>
      </w:r>
      <w:r>
        <w:t xml:space="preserve">fees paid for color-sorted glass in 2026 are very similar to the fees in the 1980s, despite </w:t>
      </w:r>
      <w:r w:rsidR="5A6D1BE5">
        <w:t>four decades</w:t>
      </w:r>
      <w:r>
        <w:t xml:space="preserve"> of inflation.  </w:t>
      </w:r>
    </w:p>
    <w:p w14:paraId="0DF1B3C0" w14:textId="004D91DF" w:rsidR="002219C6" w:rsidRDefault="1098D8DA" w:rsidP="002219C6">
      <w:r>
        <w:t>Particularly at times of high fuel prices, challenging economics frequently led more distant</w:t>
      </w:r>
      <w:r w:rsidR="5C928975">
        <w:t>-to-Portland</w:t>
      </w:r>
      <w:r>
        <w:t xml:space="preserve"> communities (e.g., Deschutes and Coos Counties) to </w:t>
      </w:r>
      <w:r w:rsidR="72710D68">
        <w:t xml:space="preserve">voice their worries </w:t>
      </w:r>
      <w:r>
        <w:t>about high costs</w:t>
      </w:r>
      <w:r w:rsidR="26652EE1">
        <w:t xml:space="preserve"> and</w:t>
      </w:r>
      <w:r>
        <w:t xml:space="preserve"> inadequate compensation</w:t>
      </w:r>
      <w:r w:rsidR="26652EE1">
        <w:t>,</w:t>
      </w:r>
      <w:r>
        <w:t xml:space="preserve"> and to question whether glass collection should even still be required, due to glass potentially failing the aforementioned “economic test” </w:t>
      </w:r>
      <w:r w:rsidR="5C928975">
        <w:t xml:space="preserve">for recyclable materials. </w:t>
      </w:r>
      <w:r>
        <w:t xml:space="preserve">This challenge illustrated a significant problem with the economic test: materials could fall out of status as a “recyclable material” in one month (due to high fuel prices, for example), only to regain status in the next month. But recycling collection systems, dependent upon both infrastructure and </w:t>
      </w:r>
      <w:r w:rsidR="001F12E5">
        <w:t xml:space="preserve">public </w:t>
      </w:r>
      <w:r>
        <w:t xml:space="preserve">participation, are not so nimbly changed. As many local governments have discovered, </w:t>
      </w:r>
      <w:r w:rsidR="001F12E5">
        <w:t xml:space="preserve">public </w:t>
      </w:r>
      <w:r>
        <w:t xml:space="preserve">behavior is not akin to a light switch, especially once recycling behaviors and expectations are normalized and habituated. </w:t>
      </w:r>
    </w:p>
    <w:p w14:paraId="0C8974B1" w14:textId="19E90836" w:rsidR="002219C6" w:rsidRDefault="002219C6" w:rsidP="002219C6">
      <w:r>
        <w:lastRenderedPageBreak/>
        <w:t>Economic challenges for distant</w:t>
      </w:r>
      <w:r w:rsidR="00AE64B5">
        <w:t>-to-Portland</w:t>
      </w:r>
      <w:r>
        <w:t xml:space="preserve"> programs also led to creative proposals for alternative end markets. Chief among these was the idea of using post-consumer glass as a base layer for the construction of temporary roads inside the footprint of operating landfills. After months of public debate, DEQ in 2004 adopted an internal management directive allowing glass used in that way to still count as “recycling” for purposes of recovery rate calculations and OTR compliance, if certain conditions were met. The use of glass in this application reduced transportation-related costs for communities far from Portland, and the glass was arguably displacing a virgin feedstock (gravel), but the idea that a material could be “recycled” by placing into the working area of a landfill (where it would subsequently be buried under garbage) struck some recycling advocates as objectionable. </w:t>
      </w:r>
    </w:p>
    <w:p w14:paraId="1248C72A" w14:textId="5A75BCE7" w:rsidR="0075123A" w:rsidRDefault="00D90B44" w:rsidP="008E4FDE">
      <w:pPr>
        <w:pStyle w:val="Heading4"/>
      </w:pPr>
      <w:r>
        <w:t>2010s</w:t>
      </w:r>
      <w:r w:rsidR="000B66D0">
        <w:t>-2020s</w:t>
      </w:r>
      <w:r>
        <w:t xml:space="preserve">: </w:t>
      </w:r>
      <w:r w:rsidR="0075123A">
        <w:t>Changes to end markets</w:t>
      </w:r>
      <w:r w:rsidR="008C1949">
        <w:t xml:space="preserve">; a life-cycle </w:t>
      </w:r>
      <w:r w:rsidR="00902546">
        <w:t>approach</w:t>
      </w:r>
    </w:p>
    <w:p w14:paraId="104E56A9" w14:textId="37015D58" w:rsidR="002219C6" w:rsidRDefault="002219C6" w:rsidP="002219C6">
      <w:r>
        <w:t>The 2010s</w:t>
      </w:r>
      <w:r w:rsidR="006D7562">
        <w:t xml:space="preserve"> and 2020s</w:t>
      </w:r>
      <w:r>
        <w:t xml:space="preserve"> also saw changes in end markets for glass. In 2013, a joint venture between Owens-Illinois and </w:t>
      </w:r>
      <w:proofErr w:type="spellStart"/>
      <w:r>
        <w:t>eCullet</w:t>
      </w:r>
      <w:proofErr w:type="spellEnd"/>
      <w:r>
        <w:t xml:space="preserve"> lead to the opening of the </w:t>
      </w:r>
      <w:proofErr w:type="gramStart"/>
      <w:r>
        <w:t>Glass to Glass</w:t>
      </w:r>
      <w:proofErr w:type="gramEnd"/>
      <w:r>
        <w:t xml:space="preserve"> facility in Portland. This glass beneficiation facility was designed to better remove contamination in post-consumer collected glass while improving yield. Glass to Glass was originally intended to feed the Owens-Illinois glass furnaces in Northeast Portland</w:t>
      </w:r>
      <w:r w:rsidR="0075258B">
        <w:t>.</w:t>
      </w:r>
      <w:r w:rsidR="006B0104">
        <w:t xml:space="preserve"> But</w:t>
      </w:r>
      <w:r>
        <w:t xml:space="preserve"> emerging concerns involving air toxics at that site and environmental justice impacts on the surrounding neighborhood led to a series of investigations, fines and enforcement actions by the US EPA and Oregon DEQ. </w:t>
      </w:r>
    </w:p>
    <w:p w14:paraId="285F5941" w14:textId="36B34901" w:rsidR="002219C6" w:rsidRDefault="002219C6" w:rsidP="54C72875">
      <w:r>
        <w:t>The Owens facility in Portland closed in 2025, citing a need to reduce redundancy in production capacity</w:t>
      </w:r>
      <w:r w:rsidR="00060A32">
        <w:t xml:space="preserve">. </w:t>
      </w:r>
      <w:r>
        <w:t xml:space="preserve"> </w:t>
      </w:r>
      <w:r w:rsidR="00060A32">
        <w:t>S</w:t>
      </w:r>
      <w:r>
        <w:t>ince that closure Glass to Glass has been marketing Oregon-sourced glass</w:t>
      </w:r>
      <w:r w:rsidR="00720050">
        <w:t xml:space="preserve">, </w:t>
      </w:r>
      <w:r>
        <w:t>from both bottle bill and opportunity to recycle collections</w:t>
      </w:r>
      <w:r w:rsidR="00720050">
        <w:t xml:space="preserve">, </w:t>
      </w:r>
      <w:r>
        <w:t>to other Owens-Illinois and non-OI bottling plants in the US.</w:t>
      </w:r>
      <w:r w:rsidR="008F11DD">
        <w:t xml:space="preserve"> The </w:t>
      </w:r>
      <w:proofErr w:type="gramStart"/>
      <w:r w:rsidR="008F11DD">
        <w:t>Glass to Glass</w:t>
      </w:r>
      <w:proofErr w:type="gramEnd"/>
      <w:r w:rsidR="008F11DD">
        <w:t xml:space="preserve"> facility remains open.</w:t>
      </w:r>
    </w:p>
    <w:p w14:paraId="6CEFCD81" w14:textId="17048BCC" w:rsidR="002219C6" w:rsidRDefault="00AC6B69" w:rsidP="002219C6">
      <w:r>
        <w:t>In</w:t>
      </w:r>
      <w:r w:rsidR="002219C6">
        <w:t xml:space="preserve"> 2012 Oregon DEQ proposed an update to the state’s solid waste management plan, the </w:t>
      </w:r>
      <w:r w:rsidR="002219C6">
        <w:rPr>
          <w:i/>
          <w:iCs/>
        </w:rPr>
        <w:t xml:space="preserve">2050 Vision and Framework for Action. </w:t>
      </w:r>
      <w:r w:rsidR="002219C6">
        <w:t xml:space="preserve">Adopted by the state’s Environmental Quality Commission and then memorialized by the Legislature in 2015 and 2021, the </w:t>
      </w:r>
      <w:r w:rsidR="002219C6">
        <w:rPr>
          <w:i/>
          <w:iCs/>
        </w:rPr>
        <w:t>2050 Vision</w:t>
      </w:r>
      <w:r w:rsidR="002219C6">
        <w:t xml:space="preserve"> proposed a major reformulation of recycling policy. Under the </w:t>
      </w:r>
      <w:r w:rsidR="002219C6">
        <w:rPr>
          <w:i/>
          <w:iCs/>
        </w:rPr>
        <w:t>2050 Vision</w:t>
      </w:r>
      <w:r w:rsidR="002219C6">
        <w:t xml:space="preserve">, recycling was reoriented </w:t>
      </w:r>
      <w:proofErr w:type="gramStart"/>
      <w:r w:rsidR="002219C6">
        <w:t>as a means to</w:t>
      </w:r>
      <w:proofErr w:type="gramEnd"/>
      <w:r w:rsidR="002219C6">
        <w:t xml:space="preserve"> achieving a higher-order goal: a future where all Oregonians produce and use materials responsibly – conserving resources</w:t>
      </w:r>
      <w:r w:rsidR="001425F4">
        <w:t>,</w:t>
      </w:r>
      <w:r w:rsidR="002219C6">
        <w:t xml:space="preserve"> protecting the environment and enhancing wellbeing. This approach is contrasted to the policy approach in some other states, where recycling is promoted primarily </w:t>
      </w:r>
      <w:proofErr w:type="gramStart"/>
      <w:r w:rsidR="002219C6">
        <w:t>as a means to</w:t>
      </w:r>
      <w:proofErr w:type="gramEnd"/>
      <w:r w:rsidR="002219C6">
        <w:t xml:space="preserve"> divert materials from landfill, or advanced “for the sake of recycling”. As a practical matter, one consequence of this policy shift was to acknowledge that not all recycling is the same. In the service of higher-order goals (conserving resources, reducing pollution, etc.), some materials are more important to recycle than others, and some end markets may deliver superior environmental benefits than others. </w:t>
      </w:r>
    </w:p>
    <w:p w14:paraId="46ABC539" w14:textId="5D43BFAC" w:rsidR="002219C6" w:rsidRDefault="002219C6" w:rsidP="002219C6">
      <w:r>
        <w:t xml:space="preserve">These ideas stemmed in part from an effort to more critically examine the environmental impacts of materials and recycling that Oregon DEQ began in the mid-2000s.  As it relates to glass and popular conceptions involving glass (and other packaging materials), </w:t>
      </w:r>
      <w:r w:rsidR="00C36545">
        <w:t>three</w:t>
      </w:r>
      <w:r>
        <w:t xml:space="preserve"> primary outcomes of such assessments stand out</w:t>
      </w:r>
      <w:r w:rsidR="005F264F">
        <w:t>. DEQ found</w:t>
      </w:r>
      <w:r>
        <w:t>:</w:t>
      </w:r>
    </w:p>
    <w:p w14:paraId="46BA032F" w14:textId="2D6C0776" w:rsidR="00DA40C4" w:rsidRDefault="005F264F" w:rsidP="00DA40C4">
      <w:pPr>
        <w:pStyle w:val="ListParagraph"/>
        <w:numPr>
          <w:ilvl w:val="0"/>
          <w:numId w:val="14"/>
        </w:numPr>
        <w:spacing w:after="160"/>
      </w:pPr>
      <w:r w:rsidRPr="005F264F">
        <w:rPr>
          <w:b/>
          <w:bCs/>
        </w:rPr>
        <w:t>T</w:t>
      </w:r>
      <w:r w:rsidR="002219C6" w:rsidRPr="005F264F">
        <w:rPr>
          <w:b/>
          <w:bCs/>
        </w:rPr>
        <w:t xml:space="preserve">he environmental benefits of recycling glass are relatively modest, especially when compared to other recyclables such as metal and paper. </w:t>
      </w:r>
      <w:r w:rsidR="002219C6">
        <w:t xml:space="preserve">For example, in its report on the state’s Material Recovery Survey for calendar year 2010, DEQ found that container glass contributed 7.9 percent of the tonnage of material recycled (across all material categories) and 5.0 percent of the tonnage of all material recovered (where recovery = recycling + composting + “counting” energy recovery). But the recycling of that glass contributed only 1.0 percent of the energy savings from all recycling, and 1.1 percent of the GHG reductions from waste recovery. </w:t>
      </w:r>
    </w:p>
    <w:p w14:paraId="7DA1FBE5" w14:textId="5DCD97E7" w:rsidR="002219C6" w:rsidRDefault="005F264F" w:rsidP="008E4FDE">
      <w:pPr>
        <w:pStyle w:val="ListParagraph"/>
        <w:numPr>
          <w:ilvl w:val="0"/>
          <w:numId w:val="14"/>
        </w:numPr>
        <w:spacing w:after="160"/>
      </w:pPr>
      <w:r w:rsidRPr="001C0879">
        <w:rPr>
          <w:b/>
          <w:bCs/>
        </w:rPr>
        <w:t>T</w:t>
      </w:r>
      <w:r w:rsidR="002219C6" w:rsidRPr="001C0879">
        <w:rPr>
          <w:b/>
          <w:bCs/>
        </w:rPr>
        <w:t>he choice of end markets does matter.</w:t>
      </w:r>
      <w:r w:rsidR="002219C6">
        <w:t xml:space="preserve"> Preliminary assessments of the “glass in landfill roadbeds” policy found that on a per-ton basis, recycling of glass back into glass bottles resulted in significantly higher energy savings and GHG reductions when compared to using glass as an aggregate </w:t>
      </w:r>
      <w:r w:rsidR="002219C6">
        <w:lastRenderedPageBreak/>
        <w:t>displacement, even after higher transportation impacts are factored in.</w:t>
      </w:r>
      <w:r w:rsidR="000951D7">
        <w:t xml:space="preserve"> Despite</w:t>
      </w:r>
      <w:r w:rsidR="264B0878">
        <w:t xml:space="preserve"> </w:t>
      </w:r>
      <w:r w:rsidR="00F873DB">
        <w:t xml:space="preserve">that finding, </w:t>
      </w:r>
      <w:r w:rsidR="00A124A7">
        <w:t>r</w:t>
      </w:r>
      <w:r w:rsidR="000951D7">
        <w:t>ecycling</w:t>
      </w:r>
      <w:r w:rsidR="002219C6" w:rsidRPr="00741BB7">
        <w:t xml:space="preserve"> glass bottles back to bottles </w:t>
      </w:r>
      <w:r w:rsidR="00193398" w:rsidRPr="00741BB7">
        <w:t>may not be</w:t>
      </w:r>
      <w:r w:rsidR="002219C6" w:rsidRPr="00741BB7">
        <w:t xml:space="preserve"> preferable to “downcycling” </w:t>
      </w:r>
      <w:r w:rsidR="0047039E" w:rsidRPr="00741BB7">
        <w:t>glass</w:t>
      </w:r>
      <w:r w:rsidR="002219C6" w:rsidRPr="00741BB7">
        <w:t xml:space="preserve"> into some other application</w:t>
      </w:r>
      <w:r w:rsidR="00B6259D">
        <w:t>s</w:t>
      </w:r>
      <w:r w:rsidR="002219C6" w:rsidRPr="00741BB7">
        <w:t>.</w:t>
      </w:r>
      <w:r w:rsidR="002219C6">
        <w:t xml:space="preserve"> </w:t>
      </w:r>
      <w:r w:rsidR="0047039E">
        <w:t xml:space="preserve">There is little evidence for the popular wisdom surrounding “closed loop” recycling. </w:t>
      </w:r>
      <w:r w:rsidR="002219C6">
        <w:t>Put differently, while glass packaging may be “infinitely recyclable”, there may be environmental benefits to recycling glass in pathways where the resulting product cannot be recycled again.</w:t>
      </w:r>
      <w:r w:rsidR="002219C6">
        <w:rPr>
          <w:rStyle w:val="FootnoteReference"/>
        </w:rPr>
        <w:footnoteReference w:id="2"/>
      </w:r>
    </w:p>
    <w:p w14:paraId="4A496C3D" w14:textId="5474E1B4" w:rsidR="002219C6" w:rsidRDefault="008D62B5" w:rsidP="008E4FDE">
      <w:pPr>
        <w:pStyle w:val="ListParagraph"/>
        <w:numPr>
          <w:ilvl w:val="0"/>
          <w:numId w:val="14"/>
        </w:numPr>
        <w:spacing w:after="160"/>
      </w:pPr>
      <w:r w:rsidRPr="008D62B5">
        <w:rPr>
          <w:b/>
          <w:bCs/>
        </w:rPr>
        <w:t xml:space="preserve">“Recyclable” is not always environmentally better. </w:t>
      </w:r>
      <w:r w:rsidR="002219C6">
        <w:t>DEQ research published in 2018 found that the popular attribute of “recyclability” does not correlate consistently with environmental benefits, when competing packaging options are evaluated through the lens of life cycle assessment.</w:t>
      </w:r>
      <w:r w:rsidR="002219C6">
        <w:rPr>
          <w:rStyle w:val="FootnoteReference"/>
        </w:rPr>
        <w:footnoteReference w:id="3"/>
      </w:r>
      <w:r w:rsidR="002219C6">
        <w:t xml:space="preserve"> This finding was not specific to, or limited to, comparisons of glass packaging vs. other options, but rather challenges the </w:t>
      </w:r>
      <w:r w:rsidR="00A124A7">
        <w:t xml:space="preserve">broader </w:t>
      </w:r>
      <w:r w:rsidR="002219C6">
        <w:t xml:space="preserve">perception that since recycling is beneficial, materials that are recyclable are inherently “better” from an environmental perspective. This research does not suggest that glass is a “bad choice” from an environmental perspective. Rather, DEQ’s conclusion is that when considering different materials and formats that may be used in packaging (not limited to glass), the mere fact that one package option is recyclable does not reliably predict or correlate with a lower environmental impact.   </w:t>
      </w:r>
    </w:p>
    <w:p w14:paraId="4CDB40CD" w14:textId="77777777" w:rsidR="001C684C" w:rsidRDefault="001C684C" w:rsidP="001C684C">
      <w:pPr>
        <w:pStyle w:val="ListParagraph"/>
        <w:spacing w:after="160"/>
      </w:pPr>
    </w:p>
    <w:p w14:paraId="531209C7" w14:textId="77777777" w:rsidR="00297DA0" w:rsidRDefault="00297DA0" w:rsidP="001C684C">
      <w:pPr>
        <w:pStyle w:val="Heading2"/>
      </w:pPr>
      <w:r>
        <w:t xml:space="preserve">The Recycling Modernization Act </w:t>
      </w:r>
    </w:p>
    <w:p w14:paraId="7DCA374C" w14:textId="6B8B1E30" w:rsidR="002219C6" w:rsidRDefault="002219C6" w:rsidP="008E4FDE">
      <w:pPr>
        <w:pStyle w:val="Heading4"/>
      </w:pPr>
      <w:r>
        <w:t xml:space="preserve">National Sword, </w:t>
      </w:r>
      <w:r w:rsidR="001C684C">
        <w:t>r</w:t>
      </w:r>
      <w:r>
        <w:t xml:space="preserve">ecycling </w:t>
      </w:r>
      <w:r w:rsidR="001C684C">
        <w:t>d</w:t>
      </w:r>
      <w:r>
        <w:t>isruptions and the Recycling Steering Committee</w:t>
      </w:r>
    </w:p>
    <w:p w14:paraId="51B86854" w14:textId="2303A3CA" w:rsidR="002219C6" w:rsidRDefault="1098D8DA" w:rsidP="002219C6">
      <w:r>
        <w:t>In 2017, China’s National Sword policy threw recycling collection programs</w:t>
      </w:r>
      <w:r w:rsidR="7AC0E076">
        <w:t xml:space="preserve"> across the country,</w:t>
      </w:r>
      <w:r>
        <w:t xml:space="preserve"> in</w:t>
      </w:r>
      <w:r w:rsidR="2DC143B4">
        <w:t>cluding</w:t>
      </w:r>
      <w:r>
        <w:t xml:space="preserve"> Oregon</w:t>
      </w:r>
      <w:r w:rsidR="21A3249D">
        <w:t>,</w:t>
      </w:r>
      <w:r>
        <w:t xml:space="preserve"> into disarray. Overnight, </w:t>
      </w:r>
      <w:r w:rsidR="362CB8FF">
        <w:t xml:space="preserve">Oregon lost access to </w:t>
      </w:r>
      <w:r>
        <w:t xml:space="preserve">major </w:t>
      </w:r>
      <w:r w:rsidR="2DD82661">
        <w:t xml:space="preserve">overseas </w:t>
      </w:r>
      <w:r>
        <w:t>end markets</w:t>
      </w:r>
      <w:r w:rsidR="6EAFEA88">
        <w:t xml:space="preserve"> for fiber and plastics</w:t>
      </w:r>
      <w:r>
        <w:t xml:space="preserve">, and the cost of recycling rose dramatically. While local governments and service providers scrambled to make short-term changes, partners in Oregon also called for a longer-term review of policy. </w:t>
      </w:r>
    </w:p>
    <w:p w14:paraId="2A8732F6" w14:textId="77777777" w:rsidR="002219C6" w:rsidRDefault="002219C6" w:rsidP="002219C6">
      <w:r>
        <w:t xml:space="preserve">It became apparent that Oregon’s core recycling policies, adopted largely in the 1980s and early 1990s, had been designed for a world that no longer existed: a world of intensive source segregation, largely reliant on domestic end markets, with no commingling, no processing, limited exports, very few plastics, and minimal contamination. </w:t>
      </w:r>
    </w:p>
    <w:p w14:paraId="1FBAD60B" w14:textId="25EB4FAA" w:rsidR="002219C6" w:rsidRDefault="1098D8DA" w:rsidP="002219C6">
      <w:r>
        <w:t xml:space="preserve">In response, DEQ convened a Recycling Steering Committee, comprised of representatives of 15 parties active in recycling in Oregon, and charged it with finding a consensus solution to the challenges made apparent by National Sword. After </w:t>
      </w:r>
      <w:r w:rsidR="008A6EF8">
        <w:t>several</w:t>
      </w:r>
      <w:r w:rsidR="2CB7E06B">
        <w:t xml:space="preserve"> </w:t>
      </w:r>
      <w:r>
        <w:t>years of deliberation, in October 2020 the members of the Recycling Steering Committee found consensus agreement on a framework package of policy changes that became the basis of S</w:t>
      </w:r>
      <w:r w:rsidR="004B007D">
        <w:t xml:space="preserve">enate </w:t>
      </w:r>
      <w:r>
        <w:t>B</w:t>
      </w:r>
      <w:r w:rsidR="004B007D">
        <w:t>ill</w:t>
      </w:r>
      <w:r>
        <w:t xml:space="preserve"> 582, Oregon’s Plastic Pollution and Recycling Modernization Act (RMA).</w:t>
      </w:r>
    </w:p>
    <w:p w14:paraId="191A3E8C" w14:textId="77777777" w:rsidR="001C684C" w:rsidRPr="006D40E4" w:rsidRDefault="001C684C" w:rsidP="002219C6"/>
    <w:p w14:paraId="5DB23332" w14:textId="2F325EAD" w:rsidR="002219C6" w:rsidRPr="00F73471" w:rsidRDefault="002219C6" w:rsidP="008E4FDE">
      <w:pPr>
        <w:pStyle w:val="Heading4"/>
      </w:pPr>
      <w:r>
        <w:t xml:space="preserve">Recycling Modernization Act: Major </w:t>
      </w:r>
      <w:r w:rsidR="001C684C">
        <w:t>e</w:t>
      </w:r>
      <w:r>
        <w:t>lements</w:t>
      </w:r>
    </w:p>
    <w:p w14:paraId="1862DEC8" w14:textId="60B6E9EB" w:rsidR="002219C6" w:rsidRDefault="002219C6" w:rsidP="002219C6">
      <w:r>
        <w:t>The RMA was heavily debated – and amended – by the Oregon Legislature, which ultimately adopted it in 2021. The Act was signed into law by then Governor Kate Brown on August 6 of that year. The law went into effect on January 1, 2022, with most requirements going into effect July 1, 2025.</w:t>
      </w:r>
    </w:p>
    <w:p w14:paraId="24095B6D" w14:textId="77777777" w:rsidR="002219C6" w:rsidRDefault="002219C6" w:rsidP="002219C6">
      <w:r>
        <w:lastRenderedPageBreak/>
        <w:t>Many elements of the RMA relate to glass, including the following major elements:</w:t>
      </w:r>
    </w:p>
    <w:p w14:paraId="160523FD" w14:textId="5C5B2347" w:rsidR="002219C6" w:rsidRDefault="00EA3DF5" w:rsidP="002219C6">
      <w:pPr>
        <w:pStyle w:val="ListParagraph"/>
        <w:numPr>
          <w:ilvl w:val="0"/>
          <w:numId w:val="8"/>
        </w:numPr>
        <w:spacing w:after="160"/>
      </w:pPr>
      <w:r w:rsidRPr="008E4FDE">
        <w:rPr>
          <w:b/>
          <w:bCs/>
        </w:rPr>
        <w:t>Statewide collection lists.</w:t>
      </w:r>
      <w:r>
        <w:t xml:space="preserve"> </w:t>
      </w:r>
      <w:r w:rsidR="002219C6">
        <w:t>The state establishes (through rule, primarily) several statewide collection lists, including:</w:t>
      </w:r>
    </w:p>
    <w:p w14:paraId="5E426E03" w14:textId="77777777" w:rsidR="002219C6" w:rsidRDefault="002219C6" w:rsidP="002219C6">
      <w:pPr>
        <w:pStyle w:val="ListParagraph"/>
        <w:numPr>
          <w:ilvl w:val="1"/>
          <w:numId w:val="8"/>
        </w:numPr>
        <w:spacing w:after="160"/>
      </w:pPr>
      <w:r>
        <w:t>A local government recycling acceptance list (materials which local governments must collect for recycling as part of their Opportunity to Recycle requirements).</w:t>
      </w:r>
    </w:p>
    <w:p w14:paraId="35833F68" w14:textId="77777777" w:rsidR="002219C6" w:rsidRDefault="002219C6" w:rsidP="002219C6">
      <w:pPr>
        <w:pStyle w:val="ListParagraph"/>
        <w:numPr>
          <w:ilvl w:val="1"/>
          <w:numId w:val="8"/>
        </w:numPr>
        <w:spacing w:after="160"/>
      </w:pPr>
      <w:r>
        <w:t xml:space="preserve">A subset of that list, the Uniform Statewide Collection List, which identifies materials that </w:t>
      </w:r>
      <w:r>
        <w:rPr>
          <w:i/>
          <w:iCs/>
        </w:rPr>
        <w:t>may be</w:t>
      </w:r>
      <w:r>
        <w:t xml:space="preserve"> collected commingled.</w:t>
      </w:r>
    </w:p>
    <w:p w14:paraId="07245C37" w14:textId="77777777" w:rsidR="002219C6" w:rsidRDefault="002219C6" w:rsidP="002219C6">
      <w:pPr>
        <w:pStyle w:val="ListParagraph"/>
        <w:numPr>
          <w:ilvl w:val="1"/>
          <w:numId w:val="8"/>
        </w:numPr>
        <w:spacing w:after="160"/>
      </w:pPr>
      <w:r>
        <w:t xml:space="preserve">A PRO recycling acceptance list, identifying materials that the Producer Responsibility Organization (PRO) must provide for depot collection of, or collection through alternative means. </w:t>
      </w:r>
    </w:p>
    <w:p w14:paraId="18F25EE2" w14:textId="4E8AF6A5" w:rsidR="002219C6" w:rsidRDefault="00EA3DF5" w:rsidP="002219C6">
      <w:pPr>
        <w:pStyle w:val="ListParagraph"/>
        <w:numPr>
          <w:ilvl w:val="0"/>
          <w:numId w:val="8"/>
        </w:numPr>
        <w:spacing w:after="160"/>
      </w:pPr>
      <w:r w:rsidRPr="008E4FDE">
        <w:rPr>
          <w:b/>
          <w:bCs/>
        </w:rPr>
        <w:t>Collection and performance s</w:t>
      </w:r>
      <w:r w:rsidR="00E71EA7" w:rsidRPr="008E4FDE">
        <w:rPr>
          <w:b/>
          <w:bCs/>
        </w:rPr>
        <w:t>tandards</w:t>
      </w:r>
      <w:r w:rsidR="00E71EA7">
        <w:t xml:space="preserve">. </w:t>
      </w:r>
      <w:r w:rsidR="002219C6">
        <w:t xml:space="preserve">For any material on the PRO recycling acceptance list, the PRO is also required to meet convenience standards, collection targets, and performance standards (also established primarily through rule). </w:t>
      </w:r>
    </w:p>
    <w:p w14:paraId="252EC0B8" w14:textId="2508A462" w:rsidR="002219C6" w:rsidRDefault="00E71EA7" w:rsidP="002219C6">
      <w:pPr>
        <w:pStyle w:val="ListParagraph"/>
        <w:numPr>
          <w:ilvl w:val="0"/>
          <w:numId w:val="8"/>
        </w:numPr>
        <w:spacing w:after="160"/>
      </w:pPr>
      <w:r w:rsidRPr="008E4FDE">
        <w:rPr>
          <w:b/>
          <w:bCs/>
        </w:rPr>
        <w:t>Responsible end markets.</w:t>
      </w:r>
      <w:r>
        <w:t xml:space="preserve"> </w:t>
      </w:r>
      <w:r w:rsidR="002219C6">
        <w:t xml:space="preserve">For materials on the PRO recycling list that are collected for recycling, the PRO has sole responsibility to ensure that such materials are recycled at responsible end markets. The PRO also has a responsibility to ensure that such materials are managed in accordance with the policy hierarchy of ORS 459.015(2) (see below), if doing so is practicable. </w:t>
      </w:r>
    </w:p>
    <w:p w14:paraId="0DA42AAA" w14:textId="4790D5E9" w:rsidR="002219C6" w:rsidRDefault="00256172" w:rsidP="002219C6">
      <w:pPr>
        <w:pStyle w:val="ListParagraph"/>
        <w:numPr>
          <w:ilvl w:val="0"/>
          <w:numId w:val="8"/>
        </w:numPr>
        <w:spacing w:after="160"/>
      </w:pPr>
      <w:r w:rsidRPr="008E4FDE">
        <w:rPr>
          <w:b/>
          <w:bCs/>
        </w:rPr>
        <w:t>Producer responsibility.</w:t>
      </w:r>
      <w:r>
        <w:t xml:space="preserve"> </w:t>
      </w:r>
      <w:r w:rsidR="002219C6">
        <w:t xml:space="preserve">“Producers” of all covered products (including glass packaging) are required to join a producer responsibility organization, report volumes of covered products sold into the state, and pay fees. For most products packaged in glass, the </w:t>
      </w:r>
      <w:proofErr w:type="gramStart"/>
      <w:r w:rsidR="002219C6">
        <w:t>obligated</w:t>
      </w:r>
      <w:proofErr w:type="gramEnd"/>
      <w:r w:rsidR="002219C6">
        <w:t xml:space="preserve"> producer is the company that manufactures the packaged product (e.g., a winery), not the manufacturer of the glass packaging itself. </w:t>
      </w:r>
    </w:p>
    <w:p w14:paraId="6E056ABC" w14:textId="77777777" w:rsidR="002219C6" w:rsidRDefault="002219C6" w:rsidP="002219C6">
      <w:pPr>
        <w:pStyle w:val="ListParagraph"/>
        <w:numPr>
          <w:ilvl w:val="1"/>
          <w:numId w:val="8"/>
        </w:numPr>
        <w:spacing w:after="160"/>
      </w:pPr>
      <w:r>
        <w:t>The PRO sets fees annually in accordance with a fee-setting method described in the PRO’s program plan, which is approved by DEQ.</w:t>
      </w:r>
    </w:p>
    <w:p w14:paraId="60DCAA3A" w14:textId="77777777" w:rsidR="002219C6" w:rsidRDefault="002219C6" w:rsidP="002219C6">
      <w:pPr>
        <w:pStyle w:val="ListParagraph"/>
        <w:numPr>
          <w:ilvl w:val="1"/>
          <w:numId w:val="8"/>
        </w:numPr>
        <w:spacing w:after="160"/>
      </w:pPr>
      <w:r>
        <w:t>The PRO is not allowed to cross-subsidize materials (e.g., glass fees pay for management of glass, not plastic).</w:t>
      </w:r>
    </w:p>
    <w:p w14:paraId="0C7B5DB2" w14:textId="185707C9" w:rsidR="002219C6" w:rsidRDefault="00AA70CB" w:rsidP="002219C6">
      <w:pPr>
        <w:pStyle w:val="ListParagraph"/>
        <w:numPr>
          <w:ilvl w:val="0"/>
          <w:numId w:val="8"/>
        </w:numPr>
        <w:spacing w:after="160"/>
      </w:pPr>
      <w:r w:rsidRPr="008E4FDE">
        <w:rPr>
          <w:b/>
          <w:bCs/>
        </w:rPr>
        <w:t>New revenue in the system.</w:t>
      </w:r>
      <w:r>
        <w:t xml:space="preserve"> </w:t>
      </w:r>
      <w:r w:rsidR="002219C6">
        <w:t>PRO fees are used to perform multiple functions, including, but not limited to:</w:t>
      </w:r>
    </w:p>
    <w:p w14:paraId="73C63B58" w14:textId="77777777" w:rsidR="002219C6" w:rsidRDefault="002219C6" w:rsidP="002219C6">
      <w:pPr>
        <w:pStyle w:val="ListParagraph"/>
        <w:numPr>
          <w:ilvl w:val="1"/>
          <w:numId w:val="8"/>
        </w:numPr>
        <w:spacing w:after="160"/>
      </w:pPr>
      <w:r>
        <w:t>Reimbursing local governments and service providers for costs (limited by statute) associated with implementing generator-facing programming to reduce contamination.</w:t>
      </w:r>
    </w:p>
    <w:p w14:paraId="16DF9C54" w14:textId="77777777" w:rsidR="002219C6" w:rsidRDefault="002219C6" w:rsidP="002219C6">
      <w:pPr>
        <w:pStyle w:val="ListParagraph"/>
        <w:numPr>
          <w:ilvl w:val="1"/>
          <w:numId w:val="8"/>
        </w:numPr>
        <w:spacing w:after="160"/>
      </w:pPr>
      <w:r>
        <w:t>Reimbursing local governments and service providers for the cost of transporting glass (and other covered products) collected for recycling if it subsequently travels more than 50 miles to an end market.</w:t>
      </w:r>
    </w:p>
    <w:p w14:paraId="1B7CF1A6" w14:textId="77777777" w:rsidR="002219C6" w:rsidRDefault="002219C6" w:rsidP="002219C6">
      <w:pPr>
        <w:pStyle w:val="ListParagraph"/>
        <w:numPr>
          <w:ilvl w:val="1"/>
          <w:numId w:val="8"/>
        </w:numPr>
        <w:spacing w:after="160"/>
      </w:pPr>
      <w:r>
        <w:t xml:space="preserve">Paying for </w:t>
      </w:r>
      <w:proofErr w:type="gramStart"/>
      <w:r>
        <w:t>recycling of</w:t>
      </w:r>
      <w:proofErr w:type="gramEnd"/>
      <w:r>
        <w:t xml:space="preserve"> materials on the PRO Recycling Acceptance List (including collection).</w:t>
      </w:r>
    </w:p>
    <w:p w14:paraId="234F2A73" w14:textId="6BACCBC9" w:rsidR="002219C6" w:rsidRDefault="1098D8DA" w:rsidP="002219C6">
      <w:pPr>
        <w:pStyle w:val="ListParagraph"/>
        <w:numPr>
          <w:ilvl w:val="1"/>
          <w:numId w:val="8"/>
        </w:numPr>
        <w:spacing w:after="160"/>
      </w:pPr>
      <w:r>
        <w:t xml:space="preserve">Reimbursing commingled </w:t>
      </w:r>
      <w:r w:rsidR="087E049F">
        <w:t xml:space="preserve">recycling </w:t>
      </w:r>
      <w:r>
        <w:t xml:space="preserve">processing facilities for the cost of processing and marketing materials on the Uniform Statewide Collection </w:t>
      </w:r>
      <w:proofErr w:type="gramStart"/>
      <w:r>
        <w:t>List, and</w:t>
      </w:r>
      <w:proofErr w:type="gramEnd"/>
      <w:r>
        <w:t xml:space="preserve"> removing </w:t>
      </w:r>
      <w:r w:rsidR="7DF32DA4">
        <w:t xml:space="preserve">and disposing of </w:t>
      </w:r>
      <w:r>
        <w:t>contaminants.</w:t>
      </w:r>
    </w:p>
    <w:p w14:paraId="2F1C39A5" w14:textId="14205F2D" w:rsidR="002219C6" w:rsidRDefault="005415EB" w:rsidP="002219C6">
      <w:pPr>
        <w:pStyle w:val="ListParagraph"/>
        <w:numPr>
          <w:ilvl w:val="1"/>
          <w:numId w:val="8"/>
        </w:numPr>
        <w:spacing w:after="160"/>
      </w:pPr>
      <w:r>
        <w:t>Ensuring, where practicable, that certain materials collected for recycling</w:t>
      </w:r>
      <w:r w:rsidR="000E4B48">
        <w:t xml:space="preserve"> are sent to </w:t>
      </w:r>
      <w:r w:rsidR="1098D8DA">
        <w:t>responsible end market</w:t>
      </w:r>
      <w:r w:rsidR="000E4B48">
        <w:t>s</w:t>
      </w:r>
      <w:r w:rsidR="1098D8DA">
        <w:t>.</w:t>
      </w:r>
    </w:p>
    <w:p w14:paraId="68DC4DCC" w14:textId="6B2AF651" w:rsidR="002219C6" w:rsidRDefault="002219C6" w:rsidP="002219C6">
      <w:pPr>
        <w:pStyle w:val="ListParagraph"/>
        <w:numPr>
          <w:ilvl w:val="1"/>
          <w:numId w:val="8"/>
        </w:numPr>
        <w:spacing w:after="160"/>
      </w:pPr>
      <w:r>
        <w:t>Paying into a</w:t>
      </w:r>
      <w:r w:rsidR="00CE2C5C">
        <w:t>n impact reduction fund</w:t>
      </w:r>
      <w:r>
        <w:t xml:space="preserve"> (beginning in 2026) that DEQ will use to implement programs to reduce the environmental impacts of covered products through means other than recycling (such as reuse, or </w:t>
      </w:r>
      <w:r w:rsidR="00951941">
        <w:t xml:space="preserve">improved </w:t>
      </w:r>
      <w:r w:rsidR="00AF5434">
        <w:t>production</w:t>
      </w:r>
      <w:r>
        <w:t>).</w:t>
      </w:r>
    </w:p>
    <w:p w14:paraId="77630844" w14:textId="77777777" w:rsidR="006118E7" w:rsidRDefault="002219C6" w:rsidP="00503BBB">
      <w:pPr>
        <w:pStyle w:val="ListParagraph"/>
        <w:numPr>
          <w:ilvl w:val="0"/>
          <w:numId w:val="8"/>
        </w:numPr>
      </w:pPr>
      <w:r w:rsidRPr="008E4FDE">
        <w:rPr>
          <w:b/>
          <w:bCs/>
        </w:rPr>
        <w:t>The Recycling Modernization Act also changed several relevant elements of historic statute.</w:t>
      </w:r>
      <w:r>
        <w:t xml:space="preserve"> </w:t>
      </w:r>
    </w:p>
    <w:p w14:paraId="4B21AA47" w14:textId="6A38842C" w:rsidR="006118E7" w:rsidRDefault="006118E7" w:rsidP="008E4FDE">
      <w:pPr>
        <w:pStyle w:val="ListParagraph"/>
        <w:numPr>
          <w:ilvl w:val="1"/>
          <w:numId w:val="15"/>
        </w:numPr>
      </w:pPr>
      <w:r>
        <w:t>I</w:t>
      </w:r>
      <w:r w:rsidR="002219C6">
        <w:t xml:space="preserve">t changed the definition of “recyclable material” to remove consideration of the “economic test” for any material designated by the EQC to either the local government recycling acceptance list or the PRO recycling acceptance list; such materials are now “recyclable materials” regardless of economic conditions. </w:t>
      </w:r>
    </w:p>
    <w:p w14:paraId="66A189A9" w14:textId="15338AD7" w:rsidR="002219C6" w:rsidRDefault="006118E7" w:rsidP="008E4FDE">
      <w:pPr>
        <w:pStyle w:val="ListParagraph"/>
        <w:numPr>
          <w:ilvl w:val="1"/>
          <w:numId w:val="15"/>
        </w:numPr>
      </w:pPr>
      <w:r>
        <w:lastRenderedPageBreak/>
        <w:t>It</w:t>
      </w:r>
      <w:r w:rsidR="002219C6">
        <w:t xml:space="preserve"> changed the historic policy hierarchy (ORS 459.015(2)) to reflect the principles of the </w:t>
      </w:r>
      <w:r w:rsidR="002219C6" w:rsidRPr="00503BBB">
        <w:rPr>
          <w:i/>
          <w:iCs/>
        </w:rPr>
        <w:t>2050 Vision</w:t>
      </w:r>
      <w:r w:rsidR="002219C6">
        <w:t xml:space="preserve"> and to place explicit priority on recycling pathways that deliver superior environmental outcomes, or, when such outcomes are not known, recycling pathways that displace more impactful materials (e.g., silica, cement) over recycling pathways that displace less impactful materials (e.g., gravel). </w:t>
      </w:r>
    </w:p>
    <w:p w14:paraId="6B1A54E9" w14:textId="77777777" w:rsidR="001C684C" w:rsidRPr="00574975" w:rsidRDefault="001C684C" w:rsidP="002366A0"/>
    <w:p w14:paraId="5E2B1094" w14:textId="50A99C87" w:rsidR="002219C6" w:rsidRPr="00E22EB6" w:rsidRDefault="002219C6" w:rsidP="008E4FDE">
      <w:pPr>
        <w:pStyle w:val="Heading2"/>
      </w:pPr>
      <w:r w:rsidRPr="00E22EB6">
        <w:t>2022-2023</w:t>
      </w:r>
      <w:r w:rsidR="008863B9">
        <w:t>:</w:t>
      </w:r>
      <w:r w:rsidRPr="00E22EB6">
        <w:t xml:space="preserve"> </w:t>
      </w:r>
      <w:r w:rsidR="00886E0C">
        <w:t>C</w:t>
      </w:r>
      <w:r w:rsidR="008E2766">
        <w:t>onsultation,</w:t>
      </w:r>
      <w:r w:rsidR="008E2766" w:rsidRPr="00E22EB6">
        <w:t xml:space="preserve"> </w:t>
      </w:r>
      <w:r w:rsidR="001C684C" w:rsidRPr="00E22EB6">
        <w:t>r</w:t>
      </w:r>
      <w:r w:rsidRPr="00E22EB6">
        <w:t>esearch</w:t>
      </w:r>
      <w:r w:rsidR="008863B9">
        <w:t xml:space="preserve">, </w:t>
      </w:r>
      <w:r w:rsidR="0069131F" w:rsidRPr="00E22EB6">
        <w:t>and</w:t>
      </w:r>
      <w:r w:rsidRPr="00E22EB6">
        <w:t xml:space="preserve"> </w:t>
      </w:r>
      <w:r w:rsidR="001C684C" w:rsidRPr="00E22EB6">
        <w:t>r</w:t>
      </w:r>
      <w:r w:rsidRPr="00E22EB6">
        <w:t>ulemaking</w:t>
      </w:r>
    </w:p>
    <w:p w14:paraId="2C2F3F5F" w14:textId="1089865C" w:rsidR="00886E0C" w:rsidRDefault="002219C6" w:rsidP="002219C6">
      <w:r>
        <w:t>In 2022 DEQ launched the first administrative rulemaking in support of the Recycling Modernization Act. In the scope of that multi-topic rulemaking was the initial establishment of statewide recycling acceptance lists.</w:t>
      </w:r>
      <w:r w:rsidR="00886E0C">
        <w:t xml:space="preserve"> </w:t>
      </w:r>
      <w:r>
        <w:t xml:space="preserve">ORS 459A.914(3) requires consideration of multiple criteria before adding any material to recycling acceptance lists. </w:t>
      </w:r>
    </w:p>
    <w:p w14:paraId="23404298" w14:textId="6FEA3634" w:rsidR="005A4E82" w:rsidRDefault="3E5BA329" w:rsidP="008E4FDE">
      <w:pPr>
        <w:pStyle w:val="Heading4"/>
      </w:pPr>
      <w:r>
        <w:t xml:space="preserve">Consultation on whether </w:t>
      </w:r>
      <w:r w:rsidR="000F5EC0">
        <w:t xml:space="preserve">and how </w:t>
      </w:r>
      <w:r>
        <w:t xml:space="preserve">to accept glass for recycling </w:t>
      </w:r>
    </w:p>
    <w:p w14:paraId="6EF2E946" w14:textId="7080FEA5" w:rsidR="0007233E" w:rsidRDefault="002219C6" w:rsidP="008E4FDE">
      <w:r>
        <w:t>Throughout 2022 and much of 2023, DEQ engaged in numerous conversations and studies intended to consider the potential recycling of a wide variety of materials, and evaluation of those materials against the statutory criteria. This work included</w:t>
      </w:r>
      <w:r w:rsidR="00F2194D">
        <w:t xml:space="preserve"> six </w:t>
      </w:r>
      <w:r>
        <w:t>meetings of a Technical Workgroup on Recycling Acceptance Lists</w:t>
      </w:r>
      <w:r w:rsidR="00F2194D">
        <w:t xml:space="preserve"> and multiple consultations with a Rulemaking Advisory Committee. </w:t>
      </w:r>
    </w:p>
    <w:p w14:paraId="119ADE44" w14:textId="77777777" w:rsidR="00F2194D" w:rsidRDefault="00F2194D" w:rsidP="00F2194D">
      <w:pPr>
        <w:pStyle w:val="ListParagraph"/>
        <w:numPr>
          <w:ilvl w:val="0"/>
          <w:numId w:val="16"/>
        </w:numPr>
      </w:pPr>
      <w:r>
        <w:t xml:space="preserve">DEQ issued a </w:t>
      </w:r>
      <w:hyperlink r:id="rId12" w:history="1">
        <w:r w:rsidRPr="00314DB3">
          <w:rPr>
            <w:rStyle w:val="Hyperlink"/>
          </w:rPr>
          <w:t>Request for Information</w:t>
        </w:r>
      </w:hyperlink>
      <w:r>
        <w:t xml:space="preserve"> that sought information about different materials and considerations relative to the statutory criteria in ORS 459A.914(3). The Glass Packaging Institute’s response can be viewed here: </w:t>
      </w:r>
      <w:hyperlink r:id="rId13" w:history="1">
        <w:r w:rsidRPr="00F224A8">
          <w:rPr>
            <w:rStyle w:val="Hyperlink"/>
          </w:rPr>
          <w:t>https://www.oregon.gov/deq/recycling/Documents/recGlassResponse.pdf</w:t>
        </w:r>
      </w:hyperlink>
      <w:r>
        <w:t xml:space="preserve">. </w:t>
      </w:r>
    </w:p>
    <w:p w14:paraId="3A8C25EC" w14:textId="44AD1BB9" w:rsidR="007951A1" w:rsidRDefault="002219C6" w:rsidP="005F59C5">
      <w:pPr>
        <w:pStyle w:val="ListParagraph"/>
        <w:numPr>
          <w:ilvl w:val="0"/>
          <w:numId w:val="16"/>
        </w:numPr>
      </w:pPr>
      <w:r>
        <w:t xml:space="preserve">DEQ discussed glass-related issues at several meetings of its 2022 Technical Workgroup on Recycling Acceptance Lists. Agendas, presentation materials and summaries of those meetings can be viewed at this webpage: </w:t>
      </w:r>
      <w:hyperlink r:id="rId14" w:history="1">
        <w:r w:rsidRPr="001C23F9">
          <w:rPr>
            <w:rStyle w:val="Hyperlink"/>
          </w:rPr>
          <w:t>https://www.oregon.gov/deq/recycling/Pages/Material-Lists.aspx</w:t>
        </w:r>
      </w:hyperlink>
      <w:r>
        <w:t xml:space="preserve">.Glass was specifically featured on the agenda of the fourth meeting (July 19) of the technical workgroup, where DEQ presented preliminary results of a screening-level life cycle assessment of glass recycling. At that meeting, Scott </w:t>
      </w:r>
      <w:proofErr w:type="spellStart"/>
      <w:r>
        <w:t>DeFife</w:t>
      </w:r>
      <w:proofErr w:type="spellEnd"/>
      <w:r>
        <w:t xml:space="preserve"> of the Glass Packaging Institute requested the inclusion of additional scenarios. </w:t>
      </w:r>
    </w:p>
    <w:p w14:paraId="7F921FA8" w14:textId="085185F1" w:rsidR="002219C6" w:rsidRDefault="002219C6" w:rsidP="008E4FDE">
      <w:pPr>
        <w:pStyle w:val="ListParagraph"/>
        <w:numPr>
          <w:ilvl w:val="0"/>
          <w:numId w:val="16"/>
        </w:numPr>
      </w:pPr>
      <w:r>
        <w:t xml:space="preserve">DEQ also shared and requested feedback on its preliminary evaluation of glass against statutory criteria in ORS 459A.914(3) (see </w:t>
      </w:r>
      <w:hyperlink r:id="rId15" w:history="1">
        <w:r w:rsidRPr="0061793D">
          <w:rPr>
            <w:rStyle w:val="Hyperlink"/>
          </w:rPr>
          <w:t>https://www.oregon.gov/deq/recycling/Documents/recWorkEvalTWG071922.pdf</w:t>
        </w:r>
      </w:hyperlink>
      <w:r>
        <w:t>).</w:t>
      </w:r>
    </w:p>
    <w:p w14:paraId="4F52471A" w14:textId="77777777" w:rsidR="00723A23" w:rsidRDefault="00A6317A" w:rsidP="008E4FDE">
      <w:pPr>
        <w:pStyle w:val="Heading4"/>
      </w:pPr>
      <w:r>
        <w:t xml:space="preserve">Research about </w:t>
      </w:r>
      <w:r w:rsidR="00723A23">
        <w:t>environmental impacts of glass recycling</w:t>
      </w:r>
    </w:p>
    <w:p w14:paraId="23D56EAA" w14:textId="357B1E9D" w:rsidR="002219C6" w:rsidRDefault="002219C6" w:rsidP="002219C6">
      <w:r>
        <w:t xml:space="preserve">DEQ revised the screening-level life cycle assessment of glass and published </w:t>
      </w:r>
      <w:hyperlink r:id="rId16" w:history="1">
        <w:r w:rsidRPr="00580256">
          <w:rPr>
            <w:rStyle w:val="Hyperlink"/>
          </w:rPr>
          <w:t>updated results</w:t>
        </w:r>
      </w:hyperlink>
      <w:r>
        <w:t xml:space="preserve"> in December 2022. Key findings of that analysis included the following:</w:t>
      </w:r>
    </w:p>
    <w:p w14:paraId="4E032255" w14:textId="77777777" w:rsidR="002219C6" w:rsidRPr="00615EC5" w:rsidRDefault="002219C6" w:rsidP="002219C6">
      <w:pPr>
        <w:pStyle w:val="ListParagraph"/>
        <w:numPr>
          <w:ilvl w:val="0"/>
          <w:numId w:val="10"/>
        </w:numPr>
        <w:spacing w:after="160"/>
      </w:pPr>
      <w:r w:rsidRPr="008E4FDE">
        <w:rPr>
          <w:b/>
          <w:bCs/>
        </w:rPr>
        <w:t xml:space="preserve">The end market is critical for realizing the benefits of glass recycling. </w:t>
      </w:r>
      <w:r w:rsidRPr="00615EC5">
        <w:t>“Closed loop” recycling is not necessarily better than “open loop”.</w:t>
      </w:r>
    </w:p>
    <w:p w14:paraId="69490805" w14:textId="77777777" w:rsidR="002219C6" w:rsidRPr="008E4FDE" w:rsidRDefault="002219C6" w:rsidP="002219C6">
      <w:pPr>
        <w:pStyle w:val="ListParagraph"/>
        <w:numPr>
          <w:ilvl w:val="0"/>
          <w:numId w:val="10"/>
        </w:numPr>
        <w:spacing w:after="160"/>
        <w:rPr>
          <w:b/>
          <w:bCs/>
        </w:rPr>
      </w:pPr>
      <w:r w:rsidRPr="008E4FDE">
        <w:rPr>
          <w:b/>
          <w:bCs/>
        </w:rPr>
        <w:t xml:space="preserve">If glass is collected via drop-off sites, the convenience (density) of those sites matters. </w:t>
      </w:r>
    </w:p>
    <w:p w14:paraId="31C58C4C" w14:textId="3BD0448A" w:rsidR="002219C6" w:rsidRPr="00615EC5" w:rsidRDefault="002219C6" w:rsidP="002219C6">
      <w:pPr>
        <w:pStyle w:val="ListParagraph"/>
        <w:numPr>
          <w:ilvl w:val="1"/>
          <w:numId w:val="10"/>
        </w:numPr>
        <w:spacing w:after="160"/>
      </w:pPr>
      <w:r w:rsidRPr="00615EC5">
        <w:t>If users are making special trips to transport glass to drop-off sites, the environmental benefits of recycling glass are smaller. If drop-off sites are conveniently located</w:t>
      </w:r>
      <w:r w:rsidR="0046123F">
        <w:t>,</w:t>
      </w:r>
      <w:r w:rsidRPr="00615EC5">
        <w:t xml:space="preserve"> </w:t>
      </w:r>
      <w:proofErr w:type="gramStart"/>
      <w:r w:rsidRPr="00615EC5">
        <w:t>so as to</w:t>
      </w:r>
      <w:proofErr w:type="gramEnd"/>
      <w:r w:rsidRPr="00615EC5">
        <w:t xml:space="preserve"> minimize extra driving</w:t>
      </w:r>
      <w:r>
        <w:t xml:space="preserve"> by users</w:t>
      </w:r>
      <w:r w:rsidRPr="00615EC5">
        <w:t>, the environmental benefits of recycling glass are higher.</w:t>
      </w:r>
    </w:p>
    <w:p w14:paraId="02A40958" w14:textId="530D796F" w:rsidR="002219C6" w:rsidRPr="00615EC5" w:rsidRDefault="0043707C" w:rsidP="002219C6">
      <w:pPr>
        <w:pStyle w:val="ListParagraph"/>
        <w:numPr>
          <w:ilvl w:val="0"/>
          <w:numId w:val="10"/>
        </w:numPr>
        <w:spacing w:after="160"/>
      </w:pPr>
      <w:r w:rsidRPr="008E4FDE">
        <w:rPr>
          <w:b/>
          <w:bCs/>
        </w:rPr>
        <w:t>On-route (curbside) collection appears to be less environmentally desirable than drop-off collection</w:t>
      </w:r>
      <w:r w:rsidRPr="00615EC5">
        <w:t xml:space="preserve"> </w:t>
      </w:r>
      <w:r w:rsidR="00901C8B">
        <w:t>b</w:t>
      </w:r>
      <w:r w:rsidR="002219C6" w:rsidRPr="00615EC5">
        <w:t xml:space="preserve">ecause of the added impacts of </w:t>
      </w:r>
      <w:r w:rsidR="002219C6">
        <w:t xml:space="preserve">on-route </w:t>
      </w:r>
      <w:r w:rsidR="002219C6" w:rsidRPr="00615EC5">
        <w:t>collection vehicles, combined with the relatively small benefits of using post-consumer glass to produce new glass products</w:t>
      </w:r>
      <w:r w:rsidR="00F7408E">
        <w:t>.</w:t>
      </w:r>
      <w:r w:rsidR="002219C6" w:rsidRPr="00615EC5">
        <w:t xml:space="preserve"> </w:t>
      </w:r>
    </w:p>
    <w:p w14:paraId="6A071E41" w14:textId="3CEC5BA9" w:rsidR="002219C6" w:rsidRPr="00615EC5" w:rsidRDefault="002219C6" w:rsidP="002219C6">
      <w:pPr>
        <w:pStyle w:val="ListParagraph"/>
        <w:numPr>
          <w:ilvl w:val="1"/>
          <w:numId w:val="10"/>
        </w:numPr>
        <w:spacing w:after="160"/>
      </w:pPr>
      <w:r w:rsidRPr="00615EC5">
        <w:t xml:space="preserve">On-route collection in a dedicated truck likely leads to higher impacts than </w:t>
      </w:r>
      <w:r>
        <w:t xml:space="preserve">collection in </w:t>
      </w:r>
      <w:r w:rsidRPr="00615EC5">
        <w:t>a combined truck, although these results have higher uncertainty.</w:t>
      </w:r>
    </w:p>
    <w:p w14:paraId="2E2080AE" w14:textId="77777777" w:rsidR="002219C6" w:rsidRPr="00615EC5" w:rsidRDefault="002219C6" w:rsidP="002219C6">
      <w:pPr>
        <w:pStyle w:val="ListParagraph"/>
        <w:numPr>
          <w:ilvl w:val="0"/>
          <w:numId w:val="10"/>
        </w:numPr>
        <w:spacing w:after="160"/>
      </w:pPr>
      <w:r w:rsidRPr="008E4FDE">
        <w:rPr>
          <w:b/>
          <w:bCs/>
        </w:rPr>
        <w:lastRenderedPageBreak/>
        <w:t>Landfilling can be less impactful than some recycling end markets</w:t>
      </w:r>
      <w:r w:rsidRPr="00615EC5">
        <w:t>, particularly if drop-off depots are not conveniently located.</w:t>
      </w:r>
    </w:p>
    <w:p w14:paraId="793AAEBA" w14:textId="77777777" w:rsidR="002407A3" w:rsidRDefault="002407A3" w:rsidP="008E4FDE">
      <w:pPr>
        <w:pStyle w:val="Heading4"/>
      </w:pPr>
      <w:r>
        <w:t>Rulemaking</w:t>
      </w:r>
    </w:p>
    <w:p w14:paraId="721AF88B" w14:textId="77777777" w:rsidR="00750A75" w:rsidRDefault="002219C6" w:rsidP="002219C6">
      <w:r>
        <w:t xml:space="preserve">Following consultations through the Technical Workgroup, public dialog on glass recycling transitioned to a </w:t>
      </w:r>
      <w:hyperlink r:id="rId17" w:history="1">
        <w:r w:rsidRPr="00964C8A">
          <w:rPr>
            <w:rStyle w:val="Hyperlink"/>
          </w:rPr>
          <w:t>Rulemaking Advisory Committee</w:t>
        </w:r>
      </w:hyperlink>
      <w:r>
        <w:t xml:space="preserve">, which took up the topic of recycling acceptance lists at meetings in November 2022, and January, March and April 2023. </w:t>
      </w:r>
    </w:p>
    <w:p w14:paraId="6C394F60" w14:textId="77777777" w:rsidR="00750A75" w:rsidRDefault="002219C6" w:rsidP="00750A75">
      <w:pPr>
        <w:pStyle w:val="ListParagraph"/>
        <w:numPr>
          <w:ilvl w:val="0"/>
          <w:numId w:val="17"/>
        </w:numPr>
      </w:pPr>
      <w:r>
        <w:t xml:space="preserve">In a </w:t>
      </w:r>
      <w:hyperlink r:id="rId18" w:history="1">
        <w:r w:rsidRPr="006F3B69">
          <w:rPr>
            <w:rStyle w:val="Hyperlink"/>
          </w:rPr>
          <w:t>rule concept</w:t>
        </w:r>
      </w:hyperlink>
      <w:r>
        <w:t xml:space="preserve"> published Dec. 28, 2022, DEQ recommended placing glass bottles and jars on the PRO Recycling Acceptance List, while also requiring on-route collection from non-residential generators in the Metro </w:t>
      </w:r>
      <w:proofErr w:type="spellStart"/>
      <w:r>
        <w:t>wasteshed</w:t>
      </w:r>
      <w:proofErr w:type="spellEnd"/>
      <w:r>
        <w:t xml:space="preserve">. </w:t>
      </w:r>
    </w:p>
    <w:p w14:paraId="2FF54E41" w14:textId="5FA8DD29" w:rsidR="002219C6" w:rsidRDefault="002219C6" w:rsidP="008E4FDE">
      <w:pPr>
        <w:pStyle w:val="ListParagraph"/>
        <w:numPr>
          <w:ilvl w:val="1"/>
          <w:numId w:val="17"/>
        </w:numPr>
      </w:pPr>
      <w:r>
        <w:t>This specific on-route collection mandate was justified due to the analysis indicating a higher environmental benefit resulting from both lower collection impacts per ton of glass collected (bars and restaurants tend to be concentrated in specific areas, as opposed to on-route collection of lower volumes requiring many more stops and truck hours in low-density residential neighborhoods) as well as shorter transport distances to market (the Metro region being home to Glass to Glass and the Owens-Illinois plant).</w:t>
      </w:r>
    </w:p>
    <w:p w14:paraId="37BC86F1" w14:textId="77777777" w:rsidR="009462BB" w:rsidRPr="008E4FDE" w:rsidRDefault="002219C6" w:rsidP="00750A75">
      <w:pPr>
        <w:pStyle w:val="ListParagraph"/>
        <w:numPr>
          <w:ilvl w:val="0"/>
          <w:numId w:val="17"/>
        </w:numPr>
        <w:rPr>
          <w:b/>
          <w:bCs/>
        </w:rPr>
      </w:pPr>
      <w:proofErr w:type="gramStart"/>
      <w:r>
        <w:t>The Dec</w:t>
      </w:r>
      <w:proofErr w:type="gramEnd"/>
      <w:r>
        <w:t>. 28, 2022</w:t>
      </w:r>
      <w:r w:rsidR="001C684C">
        <w:t>,</w:t>
      </w:r>
      <w:r>
        <w:t xml:space="preserve"> rule concept document summarizes the research undertaken into glass and the major considerations that led to DEQ’s rulemaking recommendation. Because the outcomes of DEQ’s recommendation are now being examined, it is important to understand DEQ’s rationale at the time. </w:t>
      </w:r>
      <w:r w:rsidRPr="008E4FDE">
        <w:rPr>
          <w:b/>
          <w:bCs/>
        </w:rPr>
        <w:t xml:space="preserve">DEQ strongly encourages members of the current Technical Workgroup on Glass Recycling to review the section on glass on pages </w:t>
      </w:r>
      <w:r w:rsidR="001C684C" w:rsidRPr="008E4FDE">
        <w:rPr>
          <w:b/>
          <w:bCs/>
        </w:rPr>
        <w:t>seven through</w:t>
      </w:r>
      <w:r w:rsidRPr="008E4FDE">
        <w:rPr>
          <w:b/>
          <w:bCs/>
        </w:rPr>
        <w:t xml:space="preserve"> 10 of the </w:t>
      </w:r>
      <w:hyperlink r:id="rId19" w:history="1">
        <w:r w:rsidRPr="008E4FDE">
          <w:rPr>
            <w:rStyle w:val="Hyperlink"/>
            <w:b/>
            <w:bCs/>
          </w:rPr>
          <w:t>rule concept</w:t>
        </w:r>
      </w:hyperlink>
      <w:r w:rsidRPr="008E4FDE">
        <w:rPr>
          <w:b/>
          <w:bCs/>
        </w:rPr>
        <w:t xml:space="preserve">. </w:t>
      </w:r>
    </w:p>
    <w:p w14:paraId="18479D0C" w14:textId="77777777" w:rsidR="00961AEE" w:rsidRDefault="002219C6" w:rsidP="009462BB">
      <w:pPr>
        <w:pStyle w:val="ListParagraph"/>
        <w:numPr>
          <w:ilvl w:val="1"/>
          <w:numId w:val="17"/>
        </w:numPr>
      </w:pPr>
      <w:r>
        <w:t>In summary, DEQ’s recommendation was based on the relatively high costs and relatively low environmental benefits of on-route collection of glass. DEQ found it difficult to justify mandating that local governments provide for on-route collection (except in the case of commercial collections in the Metro region</w:t>
      </w:r>
      <w:proofErr w:type="gramStart"/>
      <w:r>
        <w:t>), but</w:t>
      </w:r>
      <w:proofErr w:type="gramEnd"/>
      <w:r>
        <w:t xml:space="preserve"> recognized that local governments might choose to do so for other reasons (such as resident demand). </w:t>
      </w:r>
    </w:p>
    <w:p w14:paraId="5FB9E6AD" w14:textId="4C2B3B4A" w:rsidR="00F9543A" w:rsidRDefault="002219C6" w:rsidP="008E4FDE">
      <w:pPr>
        <w:pStyle w:val="ListParagraph"/>
        <w:numPr>
          <w:ilvl w:val="1"/>
          <w:numId w:val="17"/>
        </w:numPr>
      </w:pPr>
      <w:r>
        <w:t xml:space="preserve">Rather, DEQ mandated an extensive network of depots (via inclusion in the PRO Recycling Acceptance List), with an explicit understanding that in communities that want to continue on-route collection, those communities would be free to do so (on a voluntary basis), and might negotiate with the PRO to receive a subsidy in an amount equal to (or less than) what the PRO would otherwise need to pay to meet convenience standards for depot collection. </w:t>
      </w:r>
    </w:p>
    <w:p w14:paraId="41B0C405" w14:textId="318E6C63" w:rsidR="002219C6" w:rsidRDefault="00DB047E" w:rsidP="008E4FDE">
      <w:pPr>
        <w:pStyle w:val="ListParagraph"/>
        <w:numPr>
          <w:ilvl w:val="0"/>
          <w:numId w:val="17"/>
        </w:numPr>
      </w:pPr>
      <w:r>
        <w:t>DEQ also considered</w:t>
      </w:r>
      <w:r w:rsidR="002219C6">
        <w:t xml:space="preserve"> a separate </w:t>
      </w:r>
      <w:hyperlink r:id="rId20" w:history="1">
        <w:r w:rsidR="002219C6" w:rsidRPr="00EC7CC0">
          <w:rPr>
            <w:rStyle w:val="Hyperlink"/>
          </w:rPr>
          <w:t>“whole system” analysis of recycling scenarios</w:t>
        </w:r>
      </w:hyperlink>
      <w:r w:rsidR="002219C6">
        <w:t xml:space="preserve"> undertaken by Cascadia Consulting Group and DEQ staff. This analysis, which supported the larger recycling acceptance list rulemaking, involved detailed modeling of waste flows, environmental impacts, direct costs and indirect costs for more than twenty different scenarios. Unlike the aforementioned LCA of glass recycling options, this study had an expanded assessment of economic </w:t>
      </w:r>
      <w:proofErr w:type="gramStart"/>
      <w:r w:rsidR="002219C6">
        <w:t>consequences, and</w:t>
      </w:r>
      <w:proofErr w:type="gramEnd"/>
      <w:r w:rsidR="002219C6">
        <w:t xml:space="preserve"> considered multiple permutations of recycling options for a much larger variety of materials. However, glass recycling options were evaluated. For example:</w:t>
      </w:r>
    </w:p>
    <w:p w14:paraId="355CC1AB" w14:textId="3FE0D806" w:rsidR="002219C6" w:rsidRDefault="002219C6" w:rsidP="008E4FDE">
      <w:pPr>
        <w:pStyle w:val="ListParagraph"/>
        <w:numPr>
          <w:ilvl w:val="0"/>
          <w:numId w:val="18"/>
        </w:numPr>
        <w:spacing w:after="160"/>
      </w:pPr>
      <w:r>
        <w:t>Comparison of scenarios 6 and 9 isolates the impact of collecting glass on-route statewide (scenario 6) vs. collecting it on-route in the Metro region but at multi-material depots elsewhere in the state. In contrast to DEQ’s glass-only LCA, this study found that on-route collection resulted in modestly better environmental outcomes, as well as lower operating costs. The reason for divergent results was partially due to differences in assumptions about the behavior of depot users (especially the extent that they would make dedicated vehicle trips to deliver glass). Higher operating costs for depot collection w</w:t>
      </w:r>
      <w:r w:rsidR="008C50D6">
        <w:t>ere</w:t>
      </w:r>
      <w:r>
        <w:t xml:space="preserve"> primarily associated with personal vehicle use (as opposed to service provider costs to operate the depot). DEQ’s consultant emphasized high uncertainty in these estimates. </w:t>
      </w:r>
    </w:p>
    <w:p w14:paraId="427E8C65" w14:textId="77777777" w:rsidR="002219C6" w:rsidRDefault="002219C6" w:rsidP="008E4FDE">
      <w:pPr>
        <w:pStyle w:val="ListParagraph"/>
        <w:numPr>
          <w:ilvl w:val="0"/>
          <w:numId w:val="18"/>
        </w:numPr>
        <w:spacing w:after="160"/>
      </w:pPr>
      <w:r>
        <w:lastRenderedPageBreak/>
        <w:t xml:space="preserve">Scenarios 18, 3 and 19 all involve on-route collection of glass, but the type of truck varies. Scenario 18 uses dedicated glass-only trucks, scenario 19 uses only dual-compartment trucks, and scenario 3 uses the then-current (2022) mix of trucks. Although these results have higher uncertainty, it appears that direct (transactional) costs between the three scenarios are similar, but the dual-stream collections achieve better environmental outcomes and lower social costs due to lower pollution resulting from having fewer trucks on the street. </w:t>
      </w:r>
    </w:p>
    <w:p w14:paraId="24BD338F" w14:textId="763126CB" w:rsidR="00F460AF" w:rsidRPr="002A13E8" w:rsidRDefault="002A13E8" w:rsidP="008E4FDE">
      <w:pPr>
        <w:pStyle w:val="Heading4"/>
      </w:pPr>
      <w:r>
        <w:t xml:space="preserve">2023 to present: </w:t>
      </w:r>
      <w:r w:rsidR="00F460AF" w:rsidRPr="002A13E8">
        <w:t>Adopted rules</w:t>
      </w:r>
      <w:r>
        <w:t>; unintended consequences</w:t>
      </w:r>
    </w:p>
    <w:p w14:paraId="0BDCDF47" w14:textId="2FCC31A7" w:rsidR="002219C6" w:rsidRDefault="002219C6" w:rsidP="002219C6">
      <w:r>
        <w:t xml:space="preserve">DEQ published draft rules in the summer of 2023 and, after considering public comment, </w:t>
      </w:r>
      <w:r w:rsidR="00A1171E">
        <w:t xml:space="preserve">proposed </w:t>
      </w:r>
      <w:r>
        <w:t xml:space="preserve">revised rules that were ultimately adopted by the Environmental Quality Commission in November of 2023. </w:t>
      </w:r>
    </w:p>
    <w:p w14:paraId="336E5F71" w14:textId="77777777" w:rsidR="002219C6" w:rsidRDefault="002219C6" w:rsidP="002219C6">
      <w:r>
        <w:t>Specific to glass, outcomes of that rulemaking included:</w:t>
      </w:r>
    </w:p>
    <w:p w14:paraId="2C5031D1" w14:textId="77777777" w:rsidR="002219C6" w:rsidRDefault="002219C6" w:rsidP="002219C6">
      <w:pPr>
        <w:pStyle w:val="ListParagraph"/>
        <w:numPr>
          <w:ilvl w:val="0"/>
          <w:numId w:val="11"/>
        </w:numPr>
        <w:spacing w:after="160"/>
      </w:pPr>
      <w:r>
        <w:t xml:space="preserve">A mandate on local governments in the Metro </w:t>
      </w:r>
      <w:proofErr w:type="spellStart"/>
      <w:r>
        <w:t>wasteshed</w:t>
      </w:r>
      <w:proofErr w:type="spellEnd"/>
      <w:r>
        <w:t xml:space="preserve"> to provide for on-route collection of glass from non-residential generators.</w:t>
      </w:r>
    </w:p>
    <w:p w14:paraId="1B93E882" w14:textId="77777777" w:rsidR="002219C6" w:rsidRDefault="002219C6" w:rsidP="002219C6">
      <w:pPr>
        <w:pStyle w:val="ListParagraph"/>
        <w:numPr>
          <w:ilvl w:val="0"/>
          <w:numId w:val="11"/>
        </w:numPr>
        <w:spacing w:after="160"/>
      </w:pPr>
      <w:r>
        <w:t>A mandate on the PRO to provide for depot collection of glass across the state, in accordance with convenience standards and performance standards also established in rule.</w:t>
      </w:r>
    </w:p>
    <w:p w14:paraId="144B84F1" w14:textId="77777777" w:rsidR="002219C6" w:rsidRDefault="002219C6" w:rsidP="002219C6">
      <w:pPr>
        <w:pStyle w:val="ListParagraph"/>
        <w:numPr>
          <w:ilvl w:val="0"/>
          <w:numId w:val="11"/>
        </w:numPr>
        <w:spacing w:after="160"/>
      </w:pPr>
      <w:r>
        <w:t>Local governments lacking a mandate to provide on-route collection of glass maintained the ability to provide such a service on a voluntary basis, as well as an opportunity to obtain limited financial compensation from the PRO, if such on-route service could be used to relieve the PRO of its depot collection obligations under convenience standards.</w:t>
      </w:r>
    </w:p>
    <w:p w14:paraId="0857AE83" w14:textId="7AEBD0E6" w:rsidR="001C684C" w:rsidRDefault="002219C6" w:rsidP="002219C6">
      <w:proofErr w:type="gramStart"/>
      <w:r>
        <w:t>All of</w:t>
      </w:r>
      <w:proofErr w:type="gramEnd"/>
      <w:r>
        <w:t xml:space="preserve"> those outcomes were intended as a consequence of the rulemaking. But there was also one unintended consequence – one that ultimately served as the genesis of today’s current technical workgroup and reconsideration of the 2023 listing decision three years later. In the food and beverage market, glass competes against </w:t>
      </w:r>
      <w:proofErr w:type="gramStart"/>
      <w:r>
        <w:t>all of</w:t>
      </w:r>
      <w:proofErr w:type="gramEnd"/>
      <w:r>
        <w:t xml:space="preserve"> the other primary packaging substrates (paper, plastic and metal). </w:t>
      </w:r>
      <w:proofErr w:type="gramStart"/>
      <w:r>
        <w:t>Generally speaking, paper</w:t>
      </w:r>
      <w:proofErr w:type="gramEnd"/>
      <w:r>
        <w:t xml:space="preserve">, plastic and metal packaging used for food and beverages were placed on the Uniform Statewide Collection List, thereby minimizing PRO obligations to pay for collection and associated fees on producers. But the placement of glass packaging on the PRO Recycling Acceptance list had a consequence that the Rulemaking Advisory Committee and Technical Workgroup on Recycling Acceptance Lists never highlighted: that the PRO (and by extension, producers that use glass), would end up with disproportionately higher fees because of an obligation to also pay for collection. </w:t>
      </w:r>
    </w:p>
    <w:p w14:paraId="68463B6D" w14:textId="3EF46A69" w:rsidR="002219C6" w:rsidRDefault="00D44056" w:rsidP="001C684C">
      <w:pPr>
        <w:pStyle w:val="Heading2"/>
      </w:pPr>
      <w:r>
        <w:t xml:space="preserve">Oregon’s </w:t>
      </w:r>
      <w:r w:rsidR="1098D8DA">
        <w:t>Bottle Bill</w:t>
      </w:r>
    </w:p>
    <w:p w14:paraId="6962B3A4" w14:textId="77777777" w:rsidR="002219C6" w:rsidRDefault="002219C6" w:rsidP="002219C6">
      <w:r w:rsidRPr="00366C9E">
        <w:t xml:space="preserve">Even as </w:t>
      </w:r>
      <w:r>
        <w:t>DEQ was actively considering options for the management of glass packaging under the RMA, Legislators were simultaneously considering changes to the state’s iconic Bottle Bill, and specifically, a proposal to add wine and liquor bottles to the bottle redemption system. Doing so would have exempted those packages from covered product obligations under the RMA. It also would have reduced the amount of glass collected on-route and at depots.</w:t>
      </w:r>
    </w:p>
    <w:p w14:paraId="0A927BC4" w14:textId="4799947B" w:rsidR="002219C6" w:rsidRDefault="1098D8DA" w:rsidP="002219C6">
      <w:proofErr w:type="gramStart"/>
      <w:r>
        <w:t>However, and</w:t>
      </w:r>
      <w:proofErr w:type="gramEnd"/>
      <w:r>
        <w:t xml:space="preserve"> despite support from certain segments of the wine industry, wine and liquor bottles </w:t>
      </w:r>
      <w:r w:rsidR="44752D21">
        <w:t xml:space="preserve">have </w:t>
      </w:r>
      <w:r>
        <w:t xml:space="preserve">not </w:t>
      </w:r>
      <w:r w:rsidR="00F63F3A">
        <w:t xml:space="preserve">been </w:t>
      </w:r>
      <w:r>
        <w:t xml:space="preserve">added to Oregon’s Bottle Bill. </w:t>
      </w:r>
      <w:r w:rsidR="003A7156">
        <w:t>Oregon Beverage Recycling Cooperative (</w:t>
      </w:r>
      <w:r>
        <w:t>OBRC</w:t>
      </w:r>
      <w:r w:rsidR="003A7156">
        <w:t>)</w:t>
      </w:r>
      <w:r>
        <w:t xml:space="preserve"> opposed the concept, citing economic and logistical challenges associated with accepting the larger volume of glass through the statewide bottle redemption infrastructure. </w:t>
      </w:r>
    </w:p>
    <w:p w14:paraId="5A867632" w14:textId="77777777" w:rsidR="001C684C" w:rsidRPr="00366C9E" w:rsidRDefault="001C684C" w:rsidP="002219C6"/>
    <w:p w14:paraId="30A2B1DF" w14:textId="09634D79" w:rsidR="002219C6" w:rsidRPr="00F73471" w:rsidRDefault="002219C6" w:rsidP="001C684C">
      <w:pPr>
        <w:pStyle w:val="Heading2"/>
      </w:pPr>
      <w:r>
        <w:lastRenderedPageBreak/>
        <w:t xml:space="preserve">Early </w:t>
      </w:r>
      <w:r w:rsidR="001C684C">
        <w:t>i</w:t>
      </w:r>
      <w:r>
        <w:t xml:space="preserve">mplementation of the RMA (2024 </w:t>
      </w:r>
      <w:r w:rsidR="001C684C">
        <w:t xml:space="preserve">to </w:t>
      </w:r>
      <w:r>
        <w:t>2026)</w:t>
      </w:r>
    </w:p>
    <w:p w14:paraId="6C8E7D2B" w14:textId="136C61D7" w:rsidR="002219C6" w:rsidRPr="002A73ED" w:rsidRDefault="002219C6" w:rsidP="002219C6">
      <w:r w:rsidRPr="002A73ED">
        <w:t xml:space="preserve">Circular Action Alliance was designated as the State’s only producer responsibility organization (PRO) under the RMA with the approval of its first program plan in February 2025. </w:t>
      </w:r>
    </w:p>
    <w:p w14:paraId="3164CD90" w14:textId="77777777" w:rsidR="002219C6" w:rsidRPr="002A73ED" w:rsidRDefault="002219C6" w:rsidP="002219C6">
      <w:r w:rsidRPr="002A73ED">
        <w:t>Early implementation of the RMA specific to glass has included:</w:t>
      </w:r>
    </w:p>
    <w:p w14:paraId="032ED95E" w14:textId="77777777" w:rsidR="002219C6" w:rsidRPr="002A73ED" w:rsidRDefault="002219C6" w:rsidP="002219C6">
      <w:pPr>
        <w:pStyle w:val="ListParagraph"/>
        <w:numPr>
          <w:ilvl w:val="0"/>
          <w:numId w:val="13"/>
        </w:numPr>
        <w:spacing w:after="160"/>
      </w:pPr>
      <w:r w:rsidRPr="002A73ED">
        <w:t>Providing a per-ton financial incentive to communities that choose to continue on-route collection of glass.</w:t>
      </w:r>
    </w:p>
    <w:p w14:paraId="3755ACA3" w14:textId="77777777" w:rsidR="002219C6" w:rsidRPr="002A73ED" w:rsidRDefault="002219C6" w:rsidP="002219C6">
      <w:pPr>
        <w:pStyle w:val="ListParagraph"/>
        <w:numPr>
          <w:ilvl w:val="0"/>
          <w:numId w:val="13"/>
        </w:numPr>
        <w:spacing w:after="160"/>
      </w:pPr>
      <w:r w:rsidRPr="002A73ED">
        <w:t xml:space="preserve">Rolling out a network of </w:t>
      </w:r>
      <w:proofErr w:type="spellStart"/>
      <w:r w:rsidRPr="002A73ED">
        <w:t>RecycleOn</w:t>
      </w:r>
      <w:proofErr w:type="spellEnd"/>
      <w:r w:rsidRPr="002A73ED">
        <w:t xml:space="preserve"> depots and other locations to collect glass and other materials on the PRO Recycling Acceptance List.</w:t>
      </w:r>
    </w:p>
    <w:p w14:paraId="6CCCB99D" w14:textId="77777777" w:rsidR="002219C6" w:rsidRPr="002A73ED" w:rsidRDefault="002219C6" w:rsidP="002219C6">
      <w:pPr>
        <w:pStyle w:val="ListParagraph"/>
        <w:numPr>
          <w:ilvl w:val="0"/>
          <w:numId w:val="13"/>
        </w:numPr>
        <w:spacing w:after="160"/>
      </w:pPr>
      <w:r w:rsidRPr="002A73ED">
        <w:t>Entering into agreements to reimburse local governments and service providers for the cost of transporting glass more than fifty miles to the nearest end market.</w:t>
      </w:r>
    </w:p>
    <w:p w14:paraId="04F9A90F" w14:textId="69E21117" w:rsidR="002219C6" w:rsidRPr="002A73ED" w:rsidRDefault="002219C6" w:rsidP="002219C6">
      <w:pPr>
        <w:pStyle w:val="ListParagraph"/>
        <w:numPr>
          <w:ilvl w:val="0"/>
          <w:numId w:val="13"/>
        </w:numPr>
        <w:spacing w:after="160"/>
      </w:pPr>
      <w:r w:rsidRPr="002A73ED">
        <w:t>Establishing regional consolidation locations in Eastern and Southern Oregon to provide a “hub and s</w:t>
      </w:r>
      <w:r w:rsidR="00AD5F62">
        <w:t>poke</w:t>
      </w:r>
      <w:r w:rsidRPr="002A73ED">
        <w:t>” model for more efficient transportation.</w:t>
      </w:r>
    </w:p>
    <w:p w14:paraId="78D76303" w14:textId="77777777" w:rsidR="002219C6" w:rsidRPr="002A73ED" w:rsidRDefault="002219C6" w:rsidP="002219C6">
      <w:pPr>
        <w:pStyle w:val="ListParagraph"/>
        <w:numPr>
          <w:ilvl w:val="0"/>
          <w:numId w:val="13"/>
        </w:numPr>
        <w:spacing w:after="160"/>
      </w:pPr>
      <w:r w:rsidRPr="002A73ED">
        <w:t xml:space="preserve">Proactively intervening to move glass previously used as landfill cover or </w:t>
      </w:r>
      <w:proofErr w:type="spellStart"/>
      <w:r w:rsidRPr="002A73ED">
        <w:t>roadbase</w:t>
      </w:r>
      <w:proofErr w:type="spellEnd"/>
      <w:r w:rsidRPr="002A73ED">
        <w:t xml:space="preserve"> to Glass to Glass </w:t>
      </w:r>
      <w:r>
        <w:t>for</w:t>
      </w:r>
      <w:r w:rsidRPr="002A73ED">
        <w:t xml:space="preserve"> a variety of communities distant from Portland (Douglas, Josephine, Jackson and Klamath counties and the City of Milton-</w:t>
      </w:r>
      <w:proofErr w:type="spellStart"/>
      <w:r w:rsidRPr="002A73ED">
        <w:t>Freewater</w:t>
      </w:r>
      <w:proofErr w:type="spellEnd"/>
      <w:r w:rsidRPr="002A73ED">
        <w:t>).</w:t>
      </w:r>
    </w:p>
    <w:p w14:paraId="79FE5DA0" w14:textId="77777777" w:rsidR="002219C6" w:rsidRPr="002A73ED" w:rsidRDefault="002219C6" w:rsidP="002219C6">
      <w:pPr>
        <w:pStyle w:val="ListParagraph"/>
        <w:numPr>
          <w:ilvl w:val="0"/>
          <w:numId w:val="13"/>
        </w:numPr>
        <w:spacing w:after="160"/>
      </w:pPr>
      <w:r w:rsidRPr="002A73ED">
        <w:t>Transporting glass collected in Eastern Oregon to a (new-to-Oregon) end market, Environmental Abrasives (in Idaho) that uses the glass to offset demand and use of other materials such as slag products and garnet abrasive.</w:t>
      </w:r>
    </w:p>
    <w:p w14:paraId="2E5AC6ED" w14:textId="40E923CD" w:rsidR="002219C6" w:rsidRPr="002A73ED" w:rsidRDefault="1098D8DA" w:rsidP="002219C6">
      <w:pPr>
        <w:pStyle w:val="ListParagraph"/>
        <w:numPr>
          <w:ilvl w:val="0"/>
          <w:numId w:val="13"/>
        </w:numPr>
        <w:spacing w:after="160"/>
      </w:pPr>
      <w:r>
        <w:t xml:space="preserve">Payment of fees to local governments and service providers to fund generator-facing contamination reduction programming efforts, and a “Contamination Management Fee” to commingled recycling processing facilities to compensate them for their costs </w:t>
      </w:r>
      <w:r w:rsidR="56834789">
        <w:t xml:space="preserve">of </w:t>
      </w:r>
      <w:r>
        <w:t xml:space="preserve">removing </w:t>
      </w:r>
      <w:r w:rsidR="41373969">
        <w:t xml:space="preserve">and disposing (or in some cases, recycling) of </w:t>
      </w:r>
      <w:r>
        <w:t xml:space="preserve">non-USCL covered products (including glass). </w:t>
      </w:r>
    </w:p>
    <w:p w14:paraId="6B8E390D" w14:textId="39FA0705" w:rsidR="002219C6" w:rsidRPr="002A73ED" w:rsidRDefault="002219C6" w:rsidP="002219C6">
      <w:r w:rsidRPr="002A73ED">
        <w:t xml:space="preserve">In 2024 DEQ designated glass bottles and jars as a “Specifically Identified Material” (SIM) due to the potential for changes in how glass </w:t>
      </w:r>
      <w:r>
        <w:t>might be</w:t>
      </w:r>
      <w:r w:rsidRPr="002A73ED">
        <w:t xml:space="preserve"> collected in some communities, and the anticipated need for special outreach materials that local governments and service providers might use to communicate the program change and encourage local generators to change recycling behaviors. CAA delivered these materials in early 2026 and in March of this year, DEQ</w:t>
      </w:r>
      <w:r>
        <w:t>, after consulting with CAA and the Oregon Recycling System Advisory Council,</w:t>
      </w:r>
      <w:r w:rsidRPr="002A73ED">
        <w:t xml:space="preserve"> removed the SIM designation for glass bottles and jars, effective April 1</w:t>
      </w:r>
      <w:r w:rsidR="00941C0A">
        <w:t>, 2026</w:t>
      </w:r>
      <w:r w:rsidRPr="002A73ED">
        <w:t xml:space="preserve">. </w:t>
      </w:r>
    </w:p>
    <w:p w14:paraId="4A2FA873" w14:textId="77777777" w:rsidR="002219C6" w:rsidRPr="002A73ED" w:rsidRDefault="002219C6" w:rsidP="002219C6">
      <w:r w:rsidRPr="002A73ED">
        <w:t>During the current program year (2026), CAA’s fee schedule provides for a base fee of $0.10 per pound for glass. The following pie chart, taken from a CAA presentation earlier this year, provides a breakdown of how glass fees are being spent in 2026.</w:t>
      </w:r>
      <w:r>
        <w:t xml:space="preserve"> The “admin/regulatory/reserves” portion of costs is expected to decline in future years as CAA is still actively building its initial reserve fund in 2026. </w:t>
      </w:r>
    </w:p>
    <w:p w14:paraId="215E2004" w14:textId="77777777" w:rsidR="002219C6" w:rsidRDefault="002219C6" w:rsidP="00284715">
      <w:pPr>
        <w:jc w:val="center"/>
        <w:rPr>
          <w:highlight w:val="yellow"/>
        </w:rPr>
      </w:pPr>
      <w:r w:rsidRPr="002A73ED">
        <w:rPr>
          <w:noProof/>
        </w:rPr>
        <w:lastRenderedPageBreak/>
        <w:drawing>
          <wp:inline distT="0" distB="0" distL="0" distR="0" wp14:anchorId="2B69C549" wp14:editId="733786E1">
            <wp:extent cx="5943600" cy="3317875"/>
            <wp:effectExtent l="19050" t="19050" r="19050" b="15875"/>
            <wp:docPr id="1005257173" name="Picture 1" descr="Pie chart of 2026 glass fe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57173" name="Picture 1" descr="Pie chart of 2026 glass fees&#10;"/>
                    <pic:cNvPicPr/>
                  </pic:nvPicPr>
                  <pic:blipFill>
                    <a:blip r:embed="rId21"/>
                    <a:stretch>
                      <a:fillRect/>
                    </a:stretch>
                  </pic:blipFill>
                  <pic:spPr>
                    <a:xfrm>
                      <a:off x="0" y="0"/>
                      <a:ext cx="5943600" cy="3317875"/>
                    </a:xfrm>
                    <a:prstGeom prst="rect">
                      <a:avLst/>
                    </a:prstGeom>
                    <a:ln>
                      <a:solidFill>
                        <a:schemeClr val="tx1"/>
                      </a:solidFill>
                    </a:ln>
                  </pic:spPr>
                </pic:pic>
              </a:graphicData>
            </a:graphic>
          </wp:inline>
        </w:drawing>
      </w:r>
    </w:p>
    <w:p w14:paraId="32FF03EF" w14:textId="6F925109" w:rsidR="002219C6" w:rsidRPr="00284715" w:rsidRDefault="00284715" w:rsidP="002219C6">
      <w:r w:rsidRPr="00284715">
        <w:t>Chart: Breakdown of 2026 Glass Fees, provided by Circular Action Alliance</w:t>
      </w:r>
    </w:p>
    <w:p w14:paraId="15B35CE7" w14:textId="77777777" w:rsidR="00284715" w:rsidRDefault="00284715" w:rsidP="002219C6">
      <w:pPr>
        <w:rPr>
          <w:highlight w:val="yellow"/>
        </w:rPr>
      </w:pPr>
    </w:p>
    <w:p w14:paraId="7C46B06D" w14:textId="36BD16CF" w:rsidR="002219C6" w:rsidRDefault="1098D8DA" w:rsidP="00B30457">
      <w:pPr>
        <w:pStyle w:val="Heading2"/>
      </w:pPr>
      <w:proofErr w:type="gramStart"/>
      <w:r>
        <w:t xml:space="preserve">Current </w:t>
      </w:r>
      <w:r w:rsidR="77D49522">
        <w:t>s</w:t>
      </w:r>
      <w:r>
        <w:t>tatus</w:t>
      </w:r>
      <w:proofErr w:type="gramEnd"/>
      <w:r>
        <w:t xml:space="preserve"> of </w:t>
      </w:r>
      <w:r w:rsidR="77D49522">
        <w:t>g</w:t>
      </w:r>
      <w:r>
        <w:t xml:space="preserve">lass </w:t>
      </w:r>
      <w:r w:rsidR="77D49522">
        <w:t>co</w:t>
      </w:r>
      <w:r>
        <w:t>llection in Oregon</w:t>
      </w:r>
    </w:p>
    <w:p w14:paraId="3EEB462D" w14:textId="77777777" w:rsidR="002219C6" w:rsidRDefault="002219C6" w:rsidP="002219C6">
      <w:r>
        <w:t xml:space="preserve">In 2024, DEQ estimated that approximately 75% of glass packaging generated as waste in Oregon was recycled, substantially higher than the national average of approximately 31%. Setting aside access to Bottle Bill redemption sites, about 70% of Oregon’s population was estimated as having access to curbside collection of glass, and another 13% had access to depots only. </w:t>
      </w:r>
    </w:p>
    <w:p w14:paraId="66F82093" w14:textId="77777777" w:rsidR="001A4520" w:rsidRDefault="002219C6" w:rsidP="002722EF">
      <w:pPr>
        <w:pStyle w:val="ListParagraph"/>
        <w:numPr>
          <w:ilvl w:val="0"/>
          <w:numId w:val="19"/>
        </w:numPr>
      </w:pPr>
      <w:r>
        <w:t>Communities with on-route collection of glass include many of the state’s larger cities</w:t>
      </w:r>
      <w:r w:rsidR="00DA2074">
        <w:t xml:space="preserve">, including </w:t>
      </w:r>
      <w:proofErr w:type="gramStart"/>
      <w:r>
        <w:t>all of</w:t>
      </w:r>
      <w:proofErr w:type="gramEnd"/>
      <w:r>
        <w:t xml:space="preserve"> the Metro region, Eugene, Salem, and Bend, and many mid-sized and smaller cities such as Brookings, Coos Bay, Ashland, Corvallis, Albany, Woodburn, Astoria, Hood River, and The Dalles. </w:t>
      </w:r>
    </w:p>
    <w:p w14:paraId="7202E554" w14:textId="77777777" w:rsidR="00CF29C7" w:rsidRDefault="002219C6" w:rsidP="001A4520">
      <w:pPr>
        <w:pStyle w:val="ListParagraph"/>
        <w:numPr>
          <w:ilvl w:val="1"/>
          <w:numId w:val="19"/>
        </w:numPr>
      </w:pPr>
      <w:r>
        <w:t xml:space="preserve">Most communities providing on-route collection in the Metro region collect glass weekly, although some collect it every-other-week. </w:t>
      </w:r>
    </w:p>
    <w:p w14:paraId="3E39244B" w14:textId="77777777" w:rsidR="00CF29C7" w:rsidRDefault="002219C6" w:rsidP="00CF29C7">
      <w:pPr>
        <w:pStyle w:val="ListParagraph"/>
        <w:numPr>
          <w:ilvl w:val="1"/>
          <w:numId w:val="19"/>
        </w:numPr>
      </w:pPr>
      <w:r>
        <w:t xml:space="preserve">Outside of the Metro region, most communities with on-route collection provide for either every-other-week or once-a-month collection. </w:t>
      </w:r>
    </w:p>
    <w:p w14:paraId="5CEF3FEA" w14:textId="1383B165" w:rsidR="001A4520" w:rsidRDefault="002219C6" w:rsidP="008E4FDE">
      <w:pPr>
        <w:pStyle w:val="ListParagraph"/>
        <w:numPr>
          <w:ilvl w:val="1"/>
          <w:numId w:val="19"/>
        </w:numPr>
      </w:pPr>
      <w:r>
        <w:t xml:space="preserve">Medford is an anomaly in that it provides for on-route collection of glass only for commercial and multi-family properties. Residential single-family generators are provided with a network of recycling depots located throughout the region. </w:t>
      </w:r>
    </w:p>
    <w:p w14:paraId="4089E992" w14:textId="77777777" w:rsidR="001A4520" w:rsidRDefault="002219C6" w:rsidP="002722EF">
      <w:pPr>
        <w:pStyle w:val="ListParagraph"/>
        <w:numPr>
          <w:ilvl w:val="0"/>
          <w:numId w:val="19"/>
        </w:numPr>
      </w:pPr>
      <w:r>
        <w:t xml:space="preserve">Other Oregon communities that rely on depots for collection include Grants Pass, Roseburg, Tillamook and Columbia Counties, Seaside, and most of Central and Eastern Oregon (outside of Deschutes County). </w:t>
      </w:r>
    </w:p>
    <w:p w14:paraId="62EFFA7F" w14:textId="3BE44DD0" w:rsidR="002219C6" w:rsidRDefault="002219C6" w:rsidP="008E4FDE">
      <w:pPr>
        <w:pStyle w:val="ListParagraph"/>
        <w:numPr>
          <w:ilvl w:val="1"/>
          <w:numId w:val="19"/>
        </w:numPr>
      </w:pPr>
      <w:r>
        <w:t>As CAA implements its first Program Plan (2025</w:t>
      </w:r>
      <w:r w:rsidR="00941C0A">
        <w:t>-</w:t>
      </w:r>
      <w:r>
        <w:t xml:space="preserve">2027), these depot locations are increasingly being funded by CAA.  </w:t>
      </w:r>
    </w:p>
    <w:p w14:paraId="4309C8D5" w14:textId="77777777" w:rsidR="002219C6" w:rsidRDefault="002219C6" w:rsidP="007F1898"/>
    <w:p w14:paraId="1464F382" w14:textId="77777777" w:rsidR="003E2144" w:rsidRPr="00B30457" w:rsidRDefault="003E2144" w:rsidP="00B30457">
      <w:pPr>
        <w:pStyle w:val="Heading2"/>
      </w:pPr>
      <w:r w:rsidRPr="00B30457">
        <w:t>More information</w:t>
      </w:r>
    </w:p>
    <w:p w14:paraId="7FDE7AB8" w14:textId="77777777" w:rsidR="003E2144" w:rsidRPr="003128DA" w:rsidRDefault="003E2144" w:rsidP="003E2144">
      <w:pPr>
        <w:rPr>
          <w:rFonts w:cs="Arial"/>
        </w:rPr>
      </w:pPr>
      <w:r w:rsidRPr="003128DA">
        <w:rPr>
          <w:rFonts w:cs="Arial"/>
        </w:rPr>
        <w:t xml:space="preserve">Contact </w:t>
      </w:r>
      <w:hyperlink r:id="rId22" w:history="1">
        <w:r w:rsidRPr="00FE6CC2">
          <w:rPr>
            <w:rStyle w:val="Hyperlink"/>
            <w:rFonts w:cs="Arial"/>
          </w:rPr>
          <w:t>Stephanie.Caldera@DEQ.Oregon.Gov</w:t>
        </w:r>
      </w:hyperlink>
      <w:r w:rsidRPr="003128DA">
        <w:rPr>
          <w:rFonts w:cs="Arial"/>
        </w:rPr>
        <w:t xml:space="preserve"> or visit DEQ’s </w:t>
      </w:r>
      <w:hyperlink r:id="rId23" w:history="1">
        <w:r w:rsidRPr="003128DA">
          <w:rPr>
            <w:rStyle w:val="Hyperlink"/>
            <w:rFonts w:cs="Arial"/>
          </w:rPr>
          <w:t>Recycling Modernization Act website</w:t>
        </w:r>
      </w:hyperlink>
      <w:r w:rsidRPr="003128DA">
        <w:rPr>
          <w:rFonts w:cs="Arial"/>
        </w:rPr>
        <w:t xml:space="preserve">. </w:t>
      </w:r>
    </w:p>
    <w:p w14:paraId="59BB4C71" w14:textId="48DF7D98" w:rsidR="00FF4A76" w:rsidRDefault="00FF4A76" w:rsidP="008F41E3">
      <w:pPr>
        <w:spacing w:after="60"/>
      </w:pPr>
    </w:p>
    <w:p w14:paraId="6C4EFD72" w14:textId="47E48FD4" w:rsidR="00FF4A76" w:rsidRPr="00FF4A76" w:rsidRDefault="00FF4A76" w:rsidP="00FF4A76">
      <w:pPr>
        <w:pStyle w:val="Heading2"/>
        <w:pBdr>
          <w:top w:val="single" w:sz="4" w:space="1" w:color="auto"/>
        </w:pBdr>
      </w:pPr>
      <w:r w:rsidRPr="00FF4A76">
        <w:t>Non-discrimination statement</w:t>
      </w:r>
    </w:p>
    <w:p w14:paraId="28D006E8" w14:textId="7AD95551" w:rsidR="00AD1846" w:rsidRPr="00A017C9" w:rsidRDefault="00FF4A76" w:rsidP="00FF4A76">
      <w:pPr>
        <w:pStyle w:val="Footnote"/>
        <w:rPr>
          <w:color w:val="000000" w:themeColor="text1"/>
        </w:rPr>
      </w:pPr>
      <w:r w:rsidRPr="00A017C9">
        <w:rPr>
          <w:b w:val="0"/>
          <w:bCs w:val="0"/>
          <w:color w:val="auto"/>
        </w:rPr>
        <w:t>DEQ does not discriminate on the basis of race, color, national origin, disability, age, sex, religion, sexual orientation, gender identity, or marital status in the administration of its programs and activities. For translations or alternate formats, visit DEQ’s</w:t>
      </w:r>
      <w:r w:rsidRPr="00A017C9">
        <w:rPr>
          <w:color w:val="auto"/>
        </w:rPr>
        <w:t> </w:t>
      </w:r>
      <w:hyperlink r:id="rId24" w:tooltip="Civil Rights and Environmental Justice page" w:history="1">
        <w:r w:rsidRPr="00A017C9">
          <w:rPr>
            <w:rStyle w:val="Hyperlink"/>
          </w:rPr>
          <w:t>Civil Rights and Environmental Justice page</w:t>
        </w:r>
      </w:hyperlink>
      <w:r w:rsidRPr="00A017C9">
        <w:rPr>
          <w:color w:val="000000" w:themeColor="text1"/>
        </w:rPr>
        <w:t>.</w:t>
      </w:r>
    </w:p>
    <w:sectPr w:rsidR="00AD1846" w:rsidRPr="00A017C9" w:rsidSect="00FF4A76">
      <w:footerReference w:type="default" r:id="rId25"/>
      <w:footerReference w:type="first" r:id="rId2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A420" w14:textId="77777777" w:rsidR="00DA30C3" w:rsidRDefault="00DA30C3" w:rsidP="008A10E5">
      <w:pPr>
        <w:spacing w:after="0" w:line="240" w:lineRule="auto"/>
      </w:pPr>
      <w:r>
        <w:separator/>
      </w:r>
    </w:p>
  </w:endnote>
  <w:endnote w:type="continuationSeparator" w:id="0">
    <w:p w14:paraId="18BC8865" w14:textId="77777777" w:rsidR="00DA30C3" w:rsidRDefault="00DA30C3" w:rsidP="008A10E5">
      <w:pPr>
        <w:spacing w:after="0" w:line="240" w:lineRule="auto"/>
      </w:pPr>
      <w:r>
        <w:continuationSeparator/>
      </w:r>
    </w:p>
  </w:endnote>
  <w:endnote w:type="continuationNotice" w:id="1">
    <w:p w14:paraId="2A124CEA" w14:textId="77777777" w:rsidR="00DA30C3" w:rsidRDefault="00DA3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138625"/>
      <w:docPartObj>
        <w:docPartGallery w:val="Page Numbers (Bottom of Page)"/>
        <w:docPartUnique/>
      </w:docPartObj>
    </w:sdtPr>
    <w:sdtEndPr>
      <w:rPr>
        <w:noProof/>
        <w:sz w:val="20"/>
        <w:szCs w:val="20"/>
      </w:rPr>
    </w:sdtEndPr>
    <w:sdtContent>
      <w:p w14:paraId="4B1A9444" w14:textId="4AF72484" w:rsidR="008A10E5" w:rsidRPr="00FF4A76" w:rsidRDefault="00DB250C" w:rsidP="00FF4A76">
        <w:pPr>
          <w:pStyle w:val="Footer"/>
          <w:spacing w:before="120"/>
          <w:jc w:val="right"/>
          <w:rPr>
            <w:sz w:val="20"/>
            <w:szCs w:val="20"/>
          </w:rPr>
        </w:pPr>
        <w:r w:rsidRPr="00DB250C">
          <w:rPr>
            <w:sz w:val="20"/>
            <w:szCs w:val="20"/>
          </w:rPr>
          <w:fldChar w:fldCharType="begin"/>
        </w:r>
        <w:r w:rsidRPr="00DB250C">
          <w:rPr>
            <w:sz w:val="20"/>
            <w:szCs w:val="20"/>
          </w:rPr>
          <w:instrText xml:space="preserve"> PAGE   \* MERGEFORMAT </w:instrText>
        </w:r>
        <w:r w:rsidRPr="00DB250C">
          <w:rPr>
            <w:sz w:val="20"/>
            <w:szCs w:val="20"/>
          </w:rPr>
          <w:fldChar w:fldCharType="separate"/>
        </w:r>
        <w:r w:rsidRPr="00DB250C">
          <w:rPr>
            <w:noProof/>
            <w:sz w:val="20"/>
            <w:szCs w:val="20"/>
          </w:rPr>
          <w:t>2</w:t>
        </w:r>
        <w:r w:rsidRPr="00DB250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225064"/>
      <w:docPartObj>
        <w:docPartGallery w:val="Page Numbers (Bottom of Page)"/>
        <w:docPartUnique/>
      </w:docPartObj>
    </w:sdtPr>
    <w:sdtEndPr>
      <w:rPr>
        <w:noProof/>
      </w:rPr>
    </w:sdtEndPr>
    <w:sdtContent>
      <w:p w14:paraId="7B30C8AC" w14:textId="4F92E031" w:rsidR="008A10E5" w:rsidRPr="00FF4A76" w:rsidRDefault="00FF4A76" w:rsidP="00FF4A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E64D" w14:textId="77777777" w:rsidR="00DA30C3" w:rsidRDefault="00DA30C3" w:rsidP="008A10E5">
      <w:pPr>
        <w:spacing w:after="0" w:line="240" w:lineRule="auto"/>
      </w:pPr>
      <w:r>
        <w:separator/>
      </w:r>
    </w:p>
  </w:footnote>
  <w:footnote w:type="continuationSeparator" w:id="0">
    <w:p w14:paraId="4C514F26" w14:textId="77777777" w:rsidR="00DA30C3" w:rsidRDefault="00DA30C3" w:rsidP="008A10E5">
      <w:pPr>
        <w:spacing w:after="0" w:line="240" w:lineRule="auto"/>
      </w:pPr>
      <w:r>
        <w:continuationSeparator/>
      </w:r>
    </w:p>
  </w:footnote>
  <w:footnote w:type="continuationNotice" w:id="1">
    <w:p w14:paraId="16158CF6" w14:textId="77777777" w:rsidR="00DA30C3" w:rsidRDefault="00DA30C3">
      <w:pPr>
        <w:spacing w:after="0" w:line="240" w:lineRule="auto"/>
      </w:pPr>
    </w:p>
  </w:footnote>
  <w:footnote w:id="2">
    <w:p w14:paraId="5D54E1BC" w14:textId="77777777" w:rsidR="002219C6" w:rsidRDefault="002219C6" w:rsidP="002219C6">
      <w:pPr>
        <w:pStyle w:val="FootnoteText"/>
      </w:pPr>
      <w:r>
        <w:rPr>
          <w:rStyle w:val="FootnoteReference"/>
        </w:rPr>
        <w:footnoteRef/>
      </w:r>
      <w:r>
        <w:t xml:space="preserve"> </w:t>
      </w:r>
      <w:r w:rsidRPr="001C684C">
        <w:rPr>
          <w:rFonts w:ascii="Arial" w:hAnsi="Arial" w:cs="Arial"/>
        </w:rPr>
        <w:t xml:space="preserve">For a theoretical exploration of this dynamic, see Geyer, Roland &amp; Kuczenski, Brandon &amp; Zink, Trevor. (2015). Common Misconceptions about Recycling. Journal of Industrial Ecology. 20. 10.1111/jiec.12355. For a practical example, see DEQ’s 2022 “Comparative Life Cycle Assessment of Glass Collection and Recycling”, especially the comparison of end market pathways, contained in this document: </w:t>
      </w:r>
      <w:hyperlink r:id="rId1" w:history="1">
        <w:r w:rsidRPr="001C684C">
          <w:rPr>
            <w:rStyle w:val="Hyperlink"/>
            <w:rFonts w:ascii="Arial" w:hAnsi="Arial" w:cs="Arial"/>
          </w:rPr>
          <w:t>https://www.oregon.gov/deq/recycling/Documents/GlassResults.pdf</w:t>
        </w:r>
      </w:hyperlink>
      <w:r w:rsidRPr="001C684C">
        <w:rPr>
          <w:rFonts w:ascii="Arial" w:hAnsi="Arial" w:cs="Arial"/>
        </w:rPr>
        <w:t>.</w:t>
      </w:r>
    </w:p>
  </w:footnote>
  <w:footnote w:id="3">
    <w:p w14:paraId="1C64C3D1" w14:textId="77777777" w:rsidR="002219C6" w:rsidRPr="00F049DD" w:rsidRDefault="002219C6" w:rsidP="002219C6">
      <w:pPr>
        <w:pStyle w:val="FootnoteText"/>
      </w:pPr>
      <w:r>
        <w:rPr>
          <w:rStyle w:val="FootnoteReference"/>
        </w:rPr>
        <w:footnoteRef/>
      </w:r>
      <w:r>
        <w:t xml:space="preserve"> </w:t>
      </w:r>
      <w:r w:rsidRPr="001C684C">
        <w:rPr>
          <w:rFonts w:ascii="Arial" w:hAnsi="Arial" w:cs="Arial"/>
        </w:rPr>
        <w:t xml:space="preserve">See Vendreis, Jorge &amp; Sauer, Beverly &amp; Hawkins, Troy R. &amp; Allaway, David &amp; Canepa, Peter &amp; Rivin, Jonathan &amp; Mistry, Minal. (2020) The Significance of Environmental Attributes as Indicators of the Life Cycle Environmental Impacts of Packaging and Food Service Ware. Environmental Science &amp; Technology. 54 (9) 5356-5364 as well as a variety of DEQ documents available at: </w:t>
      </w:r>
      <w:hyperlink r:id="rId2" w:history="1">
        <w:r w:rsidRPr="001C684C">
          <w:rPr>
            <w:rStyle w:val="Hyperlink"/>
            <w:rFonts w:ascii="Arial" w:hAnsi="Arial" w:cs="Arial"/>
          </w:rPr>
          <w:t>https://www.oregon.gov/deq/mm/production/Pages/Materials-Attributes.aspx</w:t>
        </w:r>
      </w:hyperlink>
      <w:r w:rsidRPr="001C684C">
        <w:rPr>
          <w:rFonts w:ascii="Arial" w:hAnsi="Arial" w:cs="Arial"/>
        </w:rPr>
        <w:t>.</w:t>
      </w:r>
    </w:p>
    <w:p w14:paraId="60B8DD39" w14:textId="77777777" w:rsidR="002219C6" w:rsidRDefault="002219C6" w:rsidP="002219C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A4D"/>
    <w:multiLevelType w:val="hybridMultilevel"/>
    <w:tmpl w:val="2E7CC09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58671CA"/>
    <w:multiLevelType w:val="hybridMultilevel"/>
    <w:tmpl w:val="2B083E9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30A5D88"/>
    <w:multiLevelType w:val="hybridMultilevel"/>
    <w:tmpl w:val="5192C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61509"/>
    <w:multiLevelType w:val="hybridMultilevel"/>
    <w:tmpl w:val="93022208"/>
    <w:lvl w:ilvl="0" w:tplc="FFFFFFFF">
      <w:start w:val="1"/>
      <w:numFmt w:val="bullet"/>
      <w:lvlText w:val=""/>
      <w:lvlJc w:val="left"/>
      <w:pPr>
        <w:ind w:left="720" w:hanging="360"/>
      </w:pPr>
      <w:rPr>
        <w:rFonts w:ascii="Symbol" w:hAnsi="Symbol" w:hint="default"/>
      </w:rPr>
    </w:lvl>
    <w:lvl w:ilvl="1" w:tplc="AF6C2EC0">
      <w:start w:val="1"/>
      <w:numFmt w:val="decimal"/>
      <w:lvlText w:val="%2."/>
      <w:lvlJc w:val="left"/>
      <w:pPr>
        <w:ind w:left="1440" w:hanging="360"/>
      </w:pPr>
      <w:rPr>
        <w:rFonts w:hint="default"/>
        <w:b/>
        <w:bC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94160E"/>
    <w:multiLevelType w:val="hybridMultilevel"/>
    <w:tmpl w:val="B6C6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93B93"/>
    <w:multiLevelType w:val="hybridMultilevel"/>
    <w:tmpl w:val="6418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510EA"/>
    <w:multiLevelType w:val="hybridMultilevel"/>
    <w:tmpl w:val="327E985C"/>
    <w:lvl w:ilvl="0" w:tplc="DA4049F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B29D3"/>
    <w:multiLevelType w:val="hybridMultilevel"/>
    <w:tmpl w:val="7BEED9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0BC1C72"/>
    <w:multiLevelType w:val="hybridMultilevel"/>
    <w:tmpl w:val="10FC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44704"/>
    <w:multiLevelType w:val="hybridMultilevel"/>
    <w:tmpl w:val="E0EC776A"/>
    <w:lvl w:ilvl="0" w:tplc="AF6C2EC0">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A71FCD"/>
    <w:multiLevelType w:val="hybridMultilevel"/>
    <w:tmpl w:val="5088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96107"/>
    <w:multiLevelType w:val="hybridMultilevel"/>
    <w:tmpl w:val="2330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57434"/>
    <w:multiLevelType w:val="hybridMultilevel"/>
    <w:tmpl w:val="7FB0F29E"/>
    <w:lvl w:ilvl="0" w:tplc="DA4049F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D4259"/>
    <w:multiLevelType w:val="hybridMultilevel"/>
    <w:tmpl w:val="0394B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E6559"/>
    <w:multiLevelType w:val="hybridMultilevel"/>
    <w:tmpl w:val="E4E0FBBE"/>
    <w:lvl w:ilvl="0" w:tplc="DA4049F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A583E"/>
    <w:multiLevelType w:val="hybridMultilevel"/>
    <w:tmpl w:val="2B9EC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93045"/>
    <w:multiLevelType w:val="hybridMultilevel"/>
    <w:tmpl w:val="F650F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07703E"/>
    <w:multiLevelType w:val="hybridMultilevel"/>
    <w:tmpl w:val="F3CC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97B00"/>
    <w:multiLevelType w:val="hybridMultilevel"/>
    <w:tmpl w:val="E802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B6DCB"/>
    <w:multiLevelType w:val="hybridMultilevel"/>
    <w:tmpl w:val="C6A0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116740">
    <w:abstractNumId w:val="10"/>
  </w:num>
  <w:num w:numId="2" w16cid:durableId="271593287">
    <w:abstractNumId w:val="14"/>
  </w:num>
  <w:num w:numId="3" w16cid:durableId="1320886689">
    <w:abstractNumId w:val="12"/>
  </w:num>
  <w:num w:numId="4" w16cid:durableId="798885845">
    <w:abstractNumId w:val="6"/>
  </w:num>
  <w:num w:numId="5" w16cid:durableId="893539439">
    <w:abstractNumId w:val="18"/>
  </w:num>
  <w:num w:numId="6" w16cid:durableId="220555198">
    <w:abstractNumId w:val="5"/>
  </w:num>
  <w:num w:numId="7" w16cid:durableId="773596283">
    <w:abstractNumId w:val="4"/>
  </w:num>
  <w:num w:numId="8" w16cid:durableId="1746757520">
    <w:abstractNumId w:val="13"/>
  </w:num>
  <w:num w:numId="9" w16cid:durableId="446118633">
    <w:abstractNumId w:val="11"/>
  </w:num>
  <w:num w:numId="10" w16cid:durableId="1846360580">
    <w:abstractNumId w:val="15"/>
  </w:num>
  <w:num w:numId="11" w16cid:durableId="126440735">
    <w:abstractNumId w:val="8"/>
  </w:num>
  <w:num w:numId="12" w16cid:durableId="1872720064">
    <w:abstractNumId w:val="7"/>
  </w:num>
  <w:num w:numId="13" w16cid:durableId="1497382688">
    <w:abstractNumId w:val="19"/>
  </w:num>
  <w:num w:numId="14" w16cid:durableId="463474506">
    <w:abstractNumId w:val="9"/>
  </w:num>
  <w:num w:numId="15" w16cid:durableId="866410300">
    <w:abstractNumId w:val="3"/>
  </w:num>
  <w:num w:numId="16" w16cid:durableId="170685354">
    <w:abstractNumId w:val="1"/>
  </w:num>
  <w:num w:numId="17" w16cid:durableId="952708940">
    <w:abstractNumId w:val="2"/>
  </w:num>
  <w:num w:numId="18" w16cid:durableId="985358202">
    <w:abstractNumId w:val="0"/>
  </w:num>
  <w:num w:numId="19" w16cid:durableId="1409428168">
    <w:abstractNumId w:val="17"/>
  </w:num>
  <w:num w:numId="20" w16cid:durableId="1861401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46"/>
    <w:rsid w:val="00010A5A"/>
    <w:rsid w:val="00015190"/>
    <w:rsid w:val="00060A32"/>
    <w:rsid w:val="0007233E"/>
    <w:rsid w:val="00080AD1"/>
    <w:rsid w:val="00081670"/>
    <w:rsid w:val="00083228"/>
    <w:rsid w:val="000951D7"/>
    <w:rsid w:val="0009661C"/>
    <w:rsid w:val="000B66D0"/>
    <w:rsid w:val="000B73E1"/>
    <w:rsid w:val="000E31CE"/>
    <w:rsid w:val="000E4B48"/>
    <w:rsid w:val="000F1408"/>
    <w:rsid w:val="000F34A1"/>
    <w:rsid w:val="000F582B"/>
    <w:rsid w:val="000F5EC0"/>
    <w:rsid w:val="00106463"/>
    <w:rsid w:val="00122C54"/>
    <w:rsid w:val="00123078"/>
    <w:rsid w:val="00127FA1"/>
    <w:rsid w:val="001425F4"/>
    <w:rsid w:val="00180F13"/>
    <w:rsid w:val="00184170"/>
    <w:rsid w:val="00193008"/>
    <w:rsid w:val="00193398"/>
    <w:rsid w:val="00195607"/>
    <w:rsid w:val="001A0199"/>
    <w:rsid w:val="001A4520"/>
    <w:rsid w:val="001A683E"/>
    <w:rsid w:val="001B2BC7"/>
    <w:rsid w:val="001B7093"/>
    <w:rsid w:val="001C0879"/>
    <w:rsid w:val="001C684C"/>
    <w:rsid w:val="001C6FBB"/>
    <w:rsid w:val="001E33CE"/>
    <w:rsid w:val="001E3F94"/>
    <w:rsid w:val="001F12E5"/>
    <w:rsid w:val="00206853"/>
    <w:rsid w:val="00206961"/>
    <w:rsid w:val="00214C78"/>
    <w:rsid w:val="002160C3"/>
    <w:rsid w:val="002219C6"/>
    <w:rsid w:val="002230DC"/>
    <w:rsid w:val="00233C41"/>
    <w:rsid w:val="002366A0"/>
    <w:rsid w:val="002407A3"/>
    <w:rsid w:val="00256172"/>
    <w:rsid w:val="00260684"/>
    <w:rsid w:val="002648AF"/>
    <w:rsid w:val="00266D75"/>
    <w:rsid w:val="002678B3"/>
    <w:rsid w:val="002722EF"/>
    <w:rsid w:val="00284715"/>
    <w:rsid w:val="00285D42"/>
    <w:rsid w:val="00286C2C"/>
    <w:rsid w:val="002914F4"/>
    <w:rsid w:val="00297ADB"/>
    <w:rsid w:val="00297DA0"/>
    <w:rsid w:val="002A13E8"/>
    <w:rsid w:val="002B1C11"/>
    <w:rsid w:val="002C4B84"/>
    <w:rsid w:val="002E774B"/>
    <w:rsid w:val="002F09FF"/>
    <w:rsid w:val="003114DC"/>
    <w:rsid w:val="003177E0"/>
    <w:rsid w:val="00325D9D"/>
    <w:rsid w:val="00332087"/>
    <w:rsid w:val="00354459"/>
    <w:rsid w:val="00386301"/>
    <w:rsid w:val="003A7156"/>
    <w:rsid w:val="003D15A4"/>
    <w:rsid w:val="003E2144"/>
    <w:rsid w:val="003F18E9"/>
    <w:rsid w:val="003F589C"/>
    <w:rsid w:val="004172F7"/>
    <w:rsid w:val="00417B8C"/>
    <w:rsid w:val="00417EC3"/>
    <w:rsid w:val="00421773"/>
    <w:rsid w:val="00431213"/>
    <w:rsid w:val="0043707C"/>
    <w:rsid w:val="00437BAA"/>
    <w:rsid w:val="004529A8"/>
    <w:rsid w:val="00453EDE"/>
    <w:rsid w:val="0046123F"/>
    <w:rsid w:val="0047039E"/>
    <w:rsid w:val="00470FA9"/>
    <w:rsid w:val="004874AE"/>
    <w:rsid w:val="004A7B2E"/>
    <w:rsid w:val="004B007D"/>
    <w:rsid w:val="004B424E"/>
    <w:rsid w:val="004C2FBE"/>
    <w:rsid w:val="004C5C71"/>
    <w:rsid w:val="004D585D"/>
    <w:rsid w:val="004D6E78"/>
    <w:rsid w:val="004E4CBF"/>
    <w:rsid w:val="004F746F"/>
    <w:rsid w:val="00500BED"/>
    <w:rsid w:val="00503BBB"/>
    <w:rsid w:val="00503CC9"/>
    <w:rsid w:val="0052013F"/>
    <w:rsid w:val="005415EB"/>
    <w:rsid w:val="00572242"/>
    <w:rsid w:val="0057570F"/>
    <w:rsid w:val="00591BEE"/>
    <w:rsid w:val="00592AE2"/>
    <w:rsid w:val="005A4E82"/>
    <w:rsid w:val="005B1F62"/>
    <w:rsid w:val="005B605D"/>
    <w:rsid w:val="005E7D02"/>
    <w:rsid w:val="005F264F"/>
    <w:rsid w:val="005F59C5"/>
    <w:rsid w:val="006118E7"/>
    <w:rsid w:val="00621521"/>
    <w:rsid w:val="0064505D"/>
    <w:rsid w:val="00651752"/>
    <w:rsid w:val="00655293"/>
    <w:rsid w:val="00655B9A"/>
    <w:rsid w:val="00660560"/>
    <w:rsid w:val="00662A93"/>
    <w:rsid w:val="00674B18"/>
    <w:rsid w:val="006902C1"/>
    <w:rsid w:val="0069131F"/>
    <w:rsid w:val="006A0CA7"/>
    <w:rsid w:val="006B0104"/>
    <w:rsid w:val="006B3823"/>
    <w:rsid w:val="006C54C0"/>
    <w:rsid w:val="006D376C"/>
    <w:rsid w:val="006D7562"/>
    <w:rsid w:val="006E39D3"/>
    <w:rsid w:val="006F1C06"/>
    <w:rsid w:val="006F1E06"/>
    <w:rsid w:val="00701B61"/>
    <w:rsid w:val="00707C58"/>
    <w:rsid w:val="00720050"/>
    <w:rsid w:val="00722AAD"/>
    <w:rsid w:val="00723A23"/>
    <w:rsid w:val="00736E6B"/>
    <w:rsid w:val="00741BB7"/>
    <w:rsid w:val="00745DED"/>
    <w:rsid w:val="00750A75"/>
    <w:rsid w:val="0075123A"/>
    <w:rsid w:val="0075161B"/>
    <w:rsid w:val="0075228F"/>
    <w:rsid w:val="0075258B"/>
    <w:rsid w:val="00753465"/>
    <w:rsid w:val="007576BF"/>
    <w:rsid w:val="00762FB6"/>
    <w:rsid w:val="00776358"/>
    <w:rsid w:val="00784F28"/>
    <w:rsid w:val="00786336"/>
    <w:rsid w:val="007951A1"/>
    <w:rsid w:val="007A5324"/>
    <w:rsid w:val="007A594B"/>
    <w:rsid w:val="007B175C"/>
    <w:rsid w:val="007B6345"/>
    <w:rsid w:val="007C5FB0"/>
    <w:rsid w:val="007F043A"/>
    <w:rsid w:val="007F1898"/>
    <w:rsid w:val="00800FDD"/>
    <w:rsid w:val="00816719"/>
    <w:rsid w:val="008171C2"/>
    <w:rsid w:val="00820418"/>
    <w:rsid w:val="00844AC9"/>
    <w:rsid w:val="00852418"/>
    <w:rsid w:val="0085659A"/>
    <w:rsid w:val="008644C9"/>
    <w:rsid w:val="00872093"/>
    <w:rsid w:val="00872C16"/>
    <w:rsid w:val="00874687"/>
    <w:rsid w:val="00874AC5"/>
    <w:rsid w:val="008863B9"/>
    <w:rsid w:val="00886E0C"/>
    <w:rsid w:val="00891242"/>
    <w:rsid w:val="008A10E5"/>
    <w:rsid w:val="008A569A"/>
    <w:rsid w:val="008A6EF8"/>
    <w:rsid w:val="008A7406"/>
    <w:rsid w:val="008C1949"/>
    <w:rsid w:val="008C50D6"/>
    <w:rsid w:val="008C5C8C"/>
    <w:rsid w:val="008D62B5"/>
    <w:rsid w:val="008E2766"/>
    <w:rsid w:val="008E4ECD"/>
    <w:rsid w:val="008E4FDE"/>
    <w:rsid w:val="008F11DD"/>
    <w:rsid w:val="008F1E78"/>
    <w:rsid w:val="008F301B"/>
    <w:rsid w:val="008F41E3"/>
    <w:rsid w:val="008F53C2"/>
    <w:rsid w:val="00901C8B"/>
    <w:rsid w:val="00902546"/>
    <w:rsid w:val="00916662"/>
    <w:rsid w:val="00923CC1"/>
    <w:rsid w:val="00941C0A"/>
    <w:rsid w:val="009462BB"/>
    <w:rsid w:val="00946E41"/>
    <w:rsid w:val="00951941"/>
    <w:rsid w:val="00953397"/>
    <w:rsid w:val="00953492"/>
    <w:rsid w:val="0095767E"/>
    <w:rsid w:val="00961AEE"/>
    <w:rsid w:val="009641D1"/>
    <w:rsid w:val="009837F3"/>
    <w:rsid w:val="00994590"/>
    <w:rsid w:val="009A1659"/>
    <w:rsid w:val="009B009E"/>
    <w:rsid w:val="009D151C"/>
    <w:rsid w:val="009D4B94"/>
    <w:rsid w:val="009E7E90"/>
    <w:rsid w:val="009F326A"/>
    <w:rsid w:val="00A017C9"/>
    <w:rsid w:val="00A046A6"/>
    <w:rsid w:val="00A1171E"/>
    <w:rsid w:val="00A124A7"/>
    <w:rsid w:val="00A145BE"/>
    <w:rsid w:val="00A35350"/>
    <w:rsid w:val="00A44FC1"/>
    <w:rsid w:val="00A55808"/>
    <w:rsid w:val="00A6317A"/>
    <w:rsid w:val="00A64263"/>
    <w:rsid w:val="00A8022D"/>
    <w:rsid w:val="00AA70CB"/>
    <w:rsid w:val="00AA7122"/>
    <w:rsid w:val="00AC0F66"/>
    <w:rsid w:val="00AC6B69"/>
    <w:rsid w:val="00AD0784"/>
    <w:rsid w:val="00AD1846"/>
    <w:rsid w:val="00AD5F62"/>
    <w:rsid w:val="00AD695F"/>
    <w:rsid w:val="00AE00D2"/>
    <w:rsid w:val="00AE0BC3"/>
    <w:rsid w:val="00AE64B5"/>
    <w:rsid w:val="00AF5434"/>
    <w:rsid w:val="00B12FBD"/>
    <w:rsid w:val="00B179E1"/>
    <w:rsid w:val="00B21558"/>
    <w:rsid w:val="00B2485A"/>
    <w:rsid w:val="00B30457"/>
    <w:rsid w:val="00B30CBE"/>
    <w:rsid w:val="00B33903"/>
    <w:rsid w:val="00B3531C"/>
    <w:rsid w:val="00B35545"/>
    <w:rsid w:val="00B35546"/>
    <w:rsid w:val="00B456D2"/>
    <w:rsid w:val="00B56F42"/>
    <w:rsid w:val="00B6259D"/>
    <w:rsid w:val="00B6307D"/>
    <w:rsid w:val="00B74319"/>
    <w:rsid w:val="00B90C67"/>
    <w:rsid w:val="00BA49A8"/>
    <w:rsid w:val="00BA5894"/>
    <w:rsid w:val="00BA5E67"/>
    <w:rsid w:val="00BB69D6"/>
    <w:rsid w:val="00BD4A86"/>
    <w:rsid w:val="00BD630E"/>
    <w:rsid w:val="00BE4FFB"/>
    <w:rsid w:val="00C05BE2"/>
    <w:rsid w:val="00C16EDB"/>
    <w:rsid w:val="00C3225F"/>
    <w:rsid w:val="00C34A5C"/>
    <w:rsid w:val="00C36545"/>
    <w:rsid w:val="00C439B9"/>
    <w:rsid w:val="00C43D3F"/>
    <w:rsid w:val="00C55F82"/>
    <w:rsid w:val="00CA1EAD"/>
    <w:rsid w:val="00CA4262"/>
    <w:rsid w:val="00CB0C52"/>
    <w:rsid w:val="00CB682F"/>
    <w:rsid w:val="00CD1224"/>
    <w:rsid w:val="00CE1BD9"/>
    <w:rsid w:val="00CE2C5C"/>
    <w:rsid w:val="00CE680A"/>
    <w:rsid w:val="00CF29C7"/>
    <w:rsid w:val="00D04EA1"/>
    <w:rsid w:val="00D061F2"/>
    <w:rsid w:val="00D31F3D"/>
    <w:rsid w:val="00D40364"/>
    <w:rsid w:val="00D44056"/>
    <w:rsid w:val="00D610EB"/>
    <w:rsid w:val="00D6627C"/>
    <w:rsid w:val="00D674CA"/>
    <w:rsid w:val="00D72BA0"/>
    <w:rsid w:val="00D75A42"/>
    <w:rsid w:val="00D81500"/>
    <w:rsid w:val="00D84F6B"/>
    <w:rsid w:val="00D90B44"/>
    <w:rsid w:val="00D9690A"/>
    <w:rsid w:val="00DA0C85"/>
    <w:rsid w:val="00DA2074"/>
    <w:rsid w:val="00DA30C3"/>
    <w:rsid w:val="00DA40C4"/>
    <w:rsid w:val="00DB047E"/>
    <w:rsid w:val="00DB250C"/>
    <w:rsid w:val="00DB26AA"/>
    <w:rsid w:val="00DE583D"/>
    <w:rsid w:val="00DF590B"/>
    <w:rsid w:val="00E16773"/>
    <w:rsid w:val="00E22EB6"/>
    <w:rsid w:val="00E46C91"/>
    <w:rsid w:val="00E51311"/>
    <w:rsid w:val="00E53479"/>
    <w:rsid w:val="00E62F6F"/>
    <w:rsid w:val="00E64D62"/>
    <w:rsid w:val="00E71EA7"/>
    <w:rsid w:val="00E74120"/>
    <w:rsid w:val="00E87BD0"/>
    <w:rsid w:val="00EA0E68"/>
    <w:rsid w:val="00EA3DF5"/>
    <w:rsid w:val="00EB5F70"/>
    <w:rsid w:val="00EE12F4"/>
    <w:rsid w:val="00EF7A2B"/>
    <w:rsid w:val="00F03B43"/>
    <w:rsid w:val="00F12C9C"/>
    <w:rsid w:val="00F2194D"/>
    <w:rsid w:val="00F3409C"/>
    <w:rsid w:val="00F35D80"/>
    <w:rsid w:val="00F4179C"/>
    <w:rsid w:val="00F41CB5"/>
    <w:rsid w:val="00F460AF"/>
    <w:rsid w:val="00F4642F"/>
    <w:rsid w:val="00F4796C"/>
    <w:rsid w:val="00F5184E"/>
    <w:rsid w:val="00F52168"/>
    <w:rsid w:val="00F63F3A"/>
    <w:rsid w:val="00F6753A"/>
    <w:rsid w:val="00F71173"/>
    <w:rsid w:val="00F72211"/>
    <w:rsid w:val="00F7408E"/>
    <w:rsid w:val="00F7454A"/>
    <w:rsid w:val="00F868AB"/>
    <w:rsid w:val="00F873DB"/>
    <w:rsid w:val="00F9276E"/>
    <w:rsid w:val="00F94168"/>
    <w:rsid w:val="00F9543A"/>
    <w:rsid w:val="00FA38B4"/>
    <w:rsid w:val="00FB2346"/>
    <w:rsid w:val="00FC3EE7"/>
    <w:rsid w:val="00FD5FDF"/>
    <w:rsid w:val="00FD7CF8"/>
    <w:rsid w:val="00FE37DF"/>
    <w:rsid w:val="00FE63E7"/>
    <w:rsid w:val="00FF0C8B"/>
    <w:rsid w:val="00FF4A76"/>
    <w:rsid w:val="04780955"/>
    <w:rsid w:val="087E049F"/>
    <w:rsid w:val="1098D8DA"/>
    <w:rsid w:val="126232EA"/>
    <w:rsid w:val="1860108D"/>
    <w:rsid w:val="19654FFD"/>
    <w:rsid w:val="1B3F0459"/>
    <w:rsid w:val="1B6685D6"/>
    <w:rsid w:val="1C248ADA"/>
    <w:rsid w:val="1ECBF6F6"/>
    <w:rsid w:val="21A3249D"/>
    <w:rsid w:val="224700D0"/>
    <w:rsid w:val="2406422D"/>
    <w:rsid w:val="264B0878"/>
    <w:rsid w:val="26652EE1"/>
    <w:rsid w:val="2AFB5D06"/>
    <w:rsid w:val="2C1D1E7C"/>
    <w:rsid w:val="2CB7E06B"/>
    <w:rsid w:val="2D7DFEBA"/>
    <w:rsid w:val="2DC143B4"/>
    <w:rsid w:val="2DD82661"/>
    <w:rsid w:val="2E6E5D31"/>
    <w:rsid w:val="2F7C6DDA"/>
    <w:rsid w:val="32FD1105"/>
    <w:rsid w:val="362CB8FF"/>
    <w:rsid w:val="3E5BA329"/>
    <w:rsid w:val="3F19A7E3"/>
    <w:rsid w:val="41373969"/>
    <w:rsid w:val="41C32AFA"/>
    <w:rsid w:val="42136418"/>
    <w:rsid w:val="42B0DAB4"/>
    <w:rsid w:val="44752D21"/>
    <w:rsid w:val="459924EF"/>
    <w:rsid w:val="45E64FE9"/>
    <w:rsid w:val="491FAEF9"/>
    <w:rsid w:val="4B21281F"/>
    <w:rsid w:val="4B23D4A4"/>
    <w:rsid w:val="4E5EDEC8"/>
    <w:rsid w:val="54C72875"/>
    <w:rsid w:val="55DF8B96"/>
    <w:rsid w:val="56834789"/>
    <w:rsid w:val="5855FF4F"/>
    <w:rsid w:val="5A6D1BE5"/>
    <w:rsid w:val="5C928975"/>
    <w:rsid w:val="61A7DD5D"/>
    <w:rsid w:val="64958A44"/>
    <w:rsid w:val="64B135BE"/>
    <w:rsid w:val="64BB3547"/>
    <w:rsid w:val="6B1825E0"/>
    <w:rsid w:val="6BA349C2"/>
    <w:rsid w:val="6D396B15"/>
    <w:rsid w:val="6EAFEA88"/>
    <w:rsid w:val="72710D68"/>
    <w:rsid w:val="74A35F9E"/>
    <w:rsid w:val="77D49522"/>
    <w:rsid w:val="7848233B"/>
    <w:rsid w:val="7AC0E076"/>
    <w:rsid w:val="7BA1A045"/>
    <w:rsid w:val="7C2A5EB2"/>
    <w:rsid w:val="7DF32D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6AE73"/>
  <w15:chartTrackingRefBased/>
  <w15:docId w15:val="{666D66BB-44A0-4B1E-92EB-CF143EB5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846"/>
    <w:pPr>
      <w:spacing w:after="120"/>
    </w:pPr>
    <w:rPr>
      <w:rFonts w:ascii="Arial" w:hAnsi="Arial"/>
      <w:color w:val="000000" w:themeColor="text1"/>
      <w:sz w:val="22"/>
    </w:rPr>
  </w:style>
  <w:style w:type="paragraph" w:styleId="Heading1">
    <w:name w:val="heading 1"/>
    <w:basedOn w:val="Normal"/>
    <w:next w:val="Normal"/>
    <w:link w:val="Heading1Char"/>
    <w:uiPriority w:val="9"/>
    <w:qFormat/>
    <w:rsid w:val="00AD1846"/>
    <w:pPr>
      <w:outlineLvl w:val="0"/>
    </w:pPr>
    <w:rPr>
      <w:rFonts w:cs="Arial"/>
      <w:b/>
      <w:bCs/>
      <w:sz w:val="40"/>
      <w:szCs w:val="40"/>
    </w:rPr>
  </w:style>
  <w:style w:type="paragraph" w:styleId="Heading2">
    <w:name w:val="heading 2"/>
    <w:basedOn w:val="Normal"/>
    <w:next w:val="Normal"/>
    <w:link w:val="Heading2Char"/>
    <w:uiPriority w:val="9"/>
    <w:unhideWhenUsed/>
    <w:qFormat/>
    <w:rsid w:val="00AD1846"/>
    <w:pPr>
      <w:keepNext/>
      <w:keepLines/>
      <w:spacing w:before="120"/>
      <w:outlineLvl w:val="1"/>
    </w:pPr>
    <w:rPr>
      <w:rFonts w:eastAsiaTheme="majorEastAsia" w:cstheme="majorBidi"/>
      <w:b/>
      <w:sz w:val="36"/>
      <w:szCs w:val="32"/>
    </w:rPr>
  </w:style>
  <w:style w:type="paragraph" w:styleId="Heading3">
    <w:name w:val="heading 3"/>
    <w:basedOn w:val="Normal"/>
    <w:next w:val="Normal"/>
    <w:link w:val="Heading3Char"/>
    <w:uiPriority w:val="9"/>
    <w:unhideWhenUsed/>
    <w:qFormat/>
    <w:rsid w:val="008A10E5"/>
    <w:pPr>
      <w:spacing w:before="120"/>
      <w:outlineLvl w:val="2"/>
    </w:pPr>
    <w:rPr>
      <w:b/>
      <w:bCs/>
      <w:sz w:val="32"/>
      <w:szCs w:val="32"/>
    </w:rPr>
  </w:style>
  <w:style w:type="paragraph" w:styleId="Heading4">
    <w:name w:val="heading 4"/>
    <w:basedOn w:val="Normal"/>
    <w:next w:val="Normal"/>
    <w:link w:val="Heading4Char"/>
    <w:uiPriority w:val="9"/>
    <w:unhideWhenUsed/>
    <w:qFormat/>
    <w:rsid w:val="00AD1846"/>
    <w:pPr>
      <w:keepNext/>
      <w:keepLines/>
      <w:spacing w:before="120" w:line="240" w:lineRule="auto"/>
      <w:outlineLvl w:val="3"/>
    </w:pPr>
    <w:rPr>
      <w:rFonts w:eastAsiaTheme="majorEastAsia" w:cstheme="majorBidi"/>
      <w:b/>
      <w:iCs/>
      <w:sz w:val="24"/>
    </w:rPr>
  </w:style>
  <w:style w:type="paragraph" w:styleId="Heading5">
    <w:name w:val="heading 5"/>
    <w:basedOn w:val="Normal"/>
    <w:next w:val="Normal"/>
    <w:link w:val="Heading5Char"/>
    <w:uiPriority w:val="9"/>
    <w:semiHidden/>
    <w:unhideWhenUsed/>
    <w:qFormat/>
    <w:rsid w:val="00AD1846"/>
    <w:pPr>
      <w:keepNext/>
      <w:keepLines/>
      <w:spacing w:before="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AD1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
    <w:name w:val="Label"/>
    <w:basedOn w:val="Normal"/>
    <w:link w:val="LabelChar"/>
    <w:rsid w:val="00776358"/>
    <w:pPr>
      <w:spacing w:before="360" w:after="0" w:line="240" w:lineRule="auto"/>
      <w:ind w:left="2160"/>
      <w:outlineLvl w:val="1"/>
    </w:pPr>
    <w:rPr>
      <w:rFonts w:eastAsiaTheme="minorEastAsia" w:cs="Arial"/>
      <w:b/>
      <w:bCs/>
      <w:color w:val="FFFFFF" w:themeColor="background1"/>
      <w:kern w:val="20"/>
      <w:sz w:val="72"/>
      <w:szCs w:val="72"/>
      <w:lang w:val="en"/>
    </w:rPr>
  </w:style>
  <w:style w:type="character" w:customStyle="1" w:styleId="LabelChar">
    <w:name w:val="Label Char"/>
    <w:basedOn w:val="DefaultParagraphFont"/>
    <w:link w:val="Label"/>
    <w:rsid w:val="00776358"/>
    <w:rPr>
      <w:rFonts w:ascii="Arial" w:eastAsiaTheme="minorEastAsia" w:hAnsi="Arial" w:cs="Arial"/>
      <w:b/>
      <w:bCs/>
      <w:color w:val="FFFFFF" w:themeColor="background1"/>
      <w:kern w:val="20"/>
      <w:sz w:val="72"/>
      <w:szCs w:val="72"/>
      <w:lang w:val="en"/>
    </w:rPr>
  </w:style>
  <w:style w:type="paragraph" w:styleId="Title">
    <w:name w:val="Title"/>
    <w:basedOn w:val="Normal"/>
    <w:next w:val="Normal"/>
    <w:link w:val="TitleChar"/>
    <w:autoRedefine/>
    <w:uiPriority w:val="10"/>
    <w:rsid w:val="00776358"/>
    <w:pPr>
      <w:spacing w:before="120" w:line="240" w:lineRule="auto"/>
      <w:outlineLvl w:val="1"/>
    </w:pPr>
    <w:rPr>
      <w:rFonts w:eastAsiaTheme="minorEastAsia" w:cs="Arial"/>
      <w:b/>
      <w:bCs/>
      <w:kern w:val="20"/>
      <w:sz w:val="40"/>
      <w:szCs w:val="72"/>
      <w:lang w:val="en"/>
    </w:rPr>
  </w:style>
  <w:style w:type="character" w:customStyle="1" w:styleId="TitleChar">
    <w:name w:val="Title Char"/>
    <w:basedOn w:val="DefaultParagraphFont"/>
    <w:link w:val="Title"/>
    <w:uiPriority w:val="10"/>
    <w:rsid w:val="00776358"/>
    <w:rPr>
      <w:rFonts w:ascii="Arial" w:eastAsiaTheme="minorEastAsia" w:hAnsi="Arial" w:cs="Arial"/>
      <w:b/>
      <w:bCs/>
      <w:color w:val="000000" w:themeColor="text1"/>
      <w:kern w:val="20"/>
      <w:sz w:val="40"/>
      <w:szCs w:val="72"/>
      <w:lang w:val="en"/>
    </w:rPr>
  </w:style>
  <w:style w:type="paragraph" w:styleId="Subtitle">
    <w:name w:val="Subtitle"/>
    <w:basedOn w:val="Normal"/>
    <w:next w:val="Normal"/>
    <w:link w:val="SubtitleChar"/>
    <w:uiPriority w:val="11"/>
    <w:unhideWhenUsed/>
    <w:rsid w:val="007B175C"/>
    <w:pPr>
      <w:numPr>
        <w:ilvl w:val="1"/>
      </w:numPr>
      <w:spacing w:line="240" w:lineRule="auto"/>
      <w:outlineLvl w:val="0"/>
    </w:pPr>
    <w:rPr>
      <w:rFonts w:eastAsiaTheme="minorEastAsia"/>
      <w:b/>
      <w:sz w:val="28"/>
      <w:szCs w:val="22"/>
    </w:rPr>
  </w:style>
  <w:style w:type="character" w:customStyle="1" w:styleId="SubtitleChar">
    <w:name w:val="Subtitle Char"/>
    <w:basedOn w:val="DefaultParagraphFont"/>
    <w:link w:val="Subtitle"/>
    <w:uiPriority w:val="11"/>
    <w:rsid w:val="007B175C"/>
    <w:rPr>
      <w:rFonts w:ascii="Arial" w:eastAsiaTheme="minorEastAsia" w:hAnsi="Arial"/>
      <w:b/>
      <w:sz w:val="28"/>
      <w:szCs w:val="22"/>
    </w:rPr>
  </w:style>
  <w:style w:type="paragraph" w:styleId="Caption">
    <w:name w:val="caption"/>
    <w:basedOn w:val="Normal"/>
    <w:next w:val="Normal"/>
    <w:uiPriority w:val="35"/>
    <w:unhideWhenUsed/>
    <w:qFormat/>
    <w:rsid w:val="00D04EA1"/>
    <w:pPr>
      <w:spacing w:after="40" w:line="240" w:lineRule="auto"/>
    </w:pPr>
    <w:rPr>
      <w:rFonts w:cs="Arial"/>
      <w:b/>
      <w:iCs/>
      <w:color w:val="0E2841" w:themeColor="text2"/>
      <w:sz w:val="20"/>
      <w:szCs w:val="18"/>
    </w:rPr>
  </w:style>
  <w:style w:type="character" w:customStyle="1" w:styleId="Heading4Char">
    <w:name w:val="Heading 4 Char"/>
    <w:basedOn w:val="DefaultParagraphFont"/>
    <w:link w:val="Heading4"/>
    <w:uiPriority w:val="9"/>
    <w:rsid w:val="00AD1846"/>
    <w:rPr>
      <w:rFonts w:ascii="Arial" w:eastAsiaTheme="majorEastAsia" w:hAnsi="Arial" w:cstheme="majorBidi"/>
      <w:b/>
      <w:iCs/>
      <w:color w:val="000000" w:themeColor="text1"/>
    </w:rPr>
  </w:style>
  <w:style w:type="character" w:customStyle="1" w:styleId="Heading1Char">
    <w:name w:val="Heading 1 Char"/>
    <w:basedOn w:val="DefaultParagraphFont"/>
    <w:link w:val="Heading1"/>
    <w:uiPriority w:val="9"/>
    <w:rsid w:val="00AD1846"/>
    <w:rPr>
      <w:rFonts w:ascii="Arial" w:hAnsi="Arial" w:cs="Arial"/>
      <w:b/>
      <w:bCs/>
      <w:color w:val="000000" w:themeColor="text1"/>
      <w:sz w:val="40"/>
      <w:szCs w:val="40"/>
    </w:rPr>
  </w:style>
  <w:style w:type="character" w:customStyle="1" w:styleId="Heading2Char">
    <w:name w:val="Heading 2 Char"/>
    <w:basedOn w:val="DefaultParagraphFont"/>
    <w:link w:val="Heading2"/>
    <w:uiPriority w:val="9"/>
    <w:rsid w:val="00AD1846"/>
    <w:rPr>
      <w:rFonts w:ascii="Arial" w:eastAsiaTheme="majorEastAsia" w:hAnsi="Arial" w:cstheme="majorBidi"/>
      <w:b/>
      <w:color w:val="000000" w:themeColor="text1"/>
      <w:sz w:val="36"/>
      <w:szCs w:val="32"/>
    </w:rPr>
  </w:style>
  <w:style w:type="character" w:customStyle="1" w:styleId="Heading3Char">
    <w:name w:val="Heading 3 Char"/>
    <w:basedOn w:val="DefaultParagraphFont"/>
    <w:link w:val="Heading3"/>
    <w:uiPriority w:val="9"/>
    <w:rsid w:val="008A10E5"/>
    <w:rPr>
      <w:rFonts w:ascii="Arial" w:hAnsi="Arial"/>
      <w:b/>
      <w:bCs/>
      <w:color w:val="000000" w:themeColor="text1"/>
      <w:sz w:val="32"/>
      <w:szCs w:val="32"/>
    </w:rPr>
  </w:style>
  <w:style w:type="character" w:customStyle="1" w:styleId="Heading5Char">
    <w:name w:val="Heading 5 Char"/>
    <w:basedOn w:val="DefaultParagraphFont"/>
    <w:link w:val="Heading5"/>
    <w:uiPriority w:val="9"/>
    <w:semiHidden/>
    <w:rsid w:val="00AD1846"/>
    <w:rPr>
      <w:rFonts w:ascii="Arial" w:eastAsiaTheme="majorEastAsia" w:hAnsi="Arial" w:cstheme="majorBidi"/>
      <w:b/>
      <w:color w:val="000000" w:themeColor="text1"/>
      <w:sz w:val="22"/>
    </w:rPr>
  </w:style>
  <w:style w:type="character" w:customStyle="1" w:styleId="Heading6Char">
    <w:name w:val="Heading 6 Char"/>
    <w:basedOn w:val="DefaultParagraphFont"/>
    <w:link w:val="Heading6"/>
    <w:uiPriority w:val="9"/>
    <w:semiHidden/>
    <w:rsid w:val="00AD1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846"/>
    <w:rPr>
      <w:rFonts w:eastAsiaTheme="majorEastAsia" w:cstheme="majorBidi"/>
      <w:color w:val="272727" w:themeColor="text1" w:themeTint="D8"/>
    </w:rPr>
  </w:style>
  <w:style w:type="paragraph" w:styleId="Quote">
    <w:name w:val="Quote"/>
    <w:basedOn w:val="Normal"/>
    <w:next w:val="Normal"/>
    <w:link w:val="QuoteChar"/>
    <w:uiPriority w:val="29"/>
    <w:rsid w:val="00AD1846"/>
    <w:pPr>
      <w:spacing w:before="160"/>
      <w:jc w:val="center"/>
    </w:pPr>
    <w:rPr>
      <w:i/>
      <w:iCs/>
      <w:color w:val="404040" w:themeColor="text1" w:themeTint="BF"/>
    </w:rPr>
  </w:style>
  <w:style w:type="character" w:customStyle="1" w:styleId="QuoteChar">
    <w:name w:val="Quote Char"/>
    <w:basedOn w:val="DefaultParagraphFont"/>
    <w:link w:val="Quote"/>
    <w:uiPriority w:val="29"/>
    <w:rsid w:val="00AD1846"/>
    <w:rPr>
      <w:i/>
      <w:iCs/>
      <w:color w:val="404040" w:themeColor="text1" w:themeTint="BF"/>
    </w:rPr>
  </w:style>
  <w:style w:type="paragraph" w:styleId="ListParagraph">
    <w:name w:val="List Paragraph"/>
    <w:basedOn w:val="Normal"/>
    <w:uiPriority w:val="34"/>
    <w:qFormat/>
    <w:rsid w:val="00AD1846"/>
    <w:pPr>
      <w:ind w:left="720"/>
      <w:contextualSpacing/>
    </w:pPr>
  </w:style>
  <w:style w:type="character" w:styleId="IntenseEmphasis">
    <w:name w:val="Intense Emphasis"/>
    <w:basedOn w:val="DefaultParagraphFont"/>
    <w:uiPriority w:val="21"/>
    <w:rsid w:val="00AD1846"/>
    <w:rPr>
      <w:i/>
      <w:iCs/>
      <w:color w:val="0F4761" w:themeColor="accent1" w:themeShade="BF"/>
    </w:rPr>
  </w:style>
  <w:style w:type="paragraph" w:styleId="IntenseQuote">
    <w:name w:val="Intense Quote"/>
    <w:basedOn w:val="Normal"/>
    <w:next w:val="Normal"/>
    <w:link w:val="IntenseQuoteChar"/>
    <w:uiPriority w:val="30"/>
    <w:rsid w:val="00AD1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846"/>
    <w:rPr>
      <w:i/>
      <w:iCs/>
      <w:color w:val="0F4761" w:themeColor="accent1" w:themeShade="BF"/>
    </w:rPr>
  </w:style>
  <w:style w:type="character" w:styleId="IntenseReference">
    <w:name w:val="Intense Reference"/>
    <w:basedOn w:val="DefaultParagraphFont"/>
    <w:uiPriority w:val="32"/>
    <w:rsid w:val="00AD1846"/>
    <w:rPr>
      <w:b/>
      <w:bCs/>
      <w:smallCaps/>
      <w:color w:val="0F4761" w:themeColor="accent1" w:themeShade="BF"/>
      <w:spacing w:val="5"/>
    </w:rPr>
  </w:style>
  <w:style w:type="paragraph" w:styleId="Header">
    <w:name w:val="header"/>
    <w:basedOn w:val="Normal"/>
    <w:link w:val="HeaderChar"/>
    <w:uiPriority w:val="99"/>
    <w:unhideWhenUsed/>
    <w:rsid w:val="008A1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0E5"/>
    <w:rPr>
      <w:rFonts w:ascii="Arial" w:hAnsi="Arial"/>
      <w:color w:val="000000" w:themeColor="text1"/>
      <w:sz w:val="22"/>
    </w:rPr>
  </w:style>
  <w:style w:type="paragraph" w:styleId="Footer">
    <w:name w:val="footer"/>
    <w:basedOn w:val="Normal"/>
    <w:link w:val="FooterChar"/>
    <w:uiPriority w:val="99"/>
    <w:unhideWhenUsed/>
    <w:rsid w:val="008A1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0E5"/>
    <w:rPr>
      <w:rFonts w:ascii="Arial" w:hAnsi="Arial"/>
      <w:color w:val="000000" w:themeColor="text1"/>
      <w:sz w:val="22"/>
    </w:rPr>
  </w:style>
  <w:style w:type="character" w:styleId="Hyperlink">
    <w:name w:val="Hyperlink"/>
    <w:basedOn w:val="DefaultParagraphFont"/>
    <w:uiPriority w:val="99"/>
    <w:unhideWhenUsed/>
    <w:rsid w:val="008A10E5"/>
    <w:rPr>
      <w:color w:val="467886" w:themeColor="hyperlink"/>
      <w:u w:val="single"/>
    </w:rPr>
  </w:style>
  <w:style w:type="paragraph" w:customStyle="1" w:styleId="Footnote">
    <w:name w:val="Footnote"/>
    <w:basedOn w:val="Normal"/>
    <w:link w:val="FootnoteChar"/>
    <w:rsid w:val="008A10E5"/>
    <w:pPr>
      <w:spacing w:before="160" w:after="60" w:line="240" w:lineRule="auto"/>
    </w:pPr>
    <w:rPr>
      <w:b/>
      <w:bCs/>
      <w:noProof/>
      <w:color w:val="FFFFFF" w:themeColor="background1"/>
      <w:szCs w:val="22"/>
    </w:rPr>
  </w:style>
  <w:style w:type="character" w:customStyle="1" w:styleId="FootnoteChar">
    <w:name w:val="Footnote Char"/>
    <w:basedOn w:val="DefaultParagraphFont"/>
    <w:link w:val="Footnote"/>
    <w:rsid w:val="008A10E5"/>
    <w:rPr>
      <w:rFonts w:ascii="Arial" w:hAnsi="Arial"/>
      <w:b/>
      <w:bCs/>
      <w:noProof/>
      <w:color w:val="FFFFFF" w:themeColor="background1"/>
      <w:sz w:val="22"/>
      <w:szCs w:val="22"/>
    </w:rPr>
  </w:style>
  <w:style w:type="table" w:styleId="TableGrid">
    <w:name w:val="Table Grid"/>
    <w:basedOn w:val="TableNormal"/>
    <w:uiPriority w:val="39"/>
    <w:rsid w:val="007B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7B6345"/>
    <w:pPr>
      <w:spacing w:after="0" w:line="240" w:lineRule="auto"/>
      <w:jc w:val="center"/>
    </w:pPr>
    <w:rPr>
      <w:b/>
      <w:bCs/>
    </w:rPr>
  </w:style>
  <w:style w:type="character" w:customStyle="1" w:styleId="TableHeaderChar">
    <w:name w:val="Table Header Char"/>
    <w:basedOn w:val="DefaultParagraphFont"/>
    <w:link w:val="TableHeader"/>
    <w:rsid w:val="007B6345"/>
    <w:rPr>
      <w:rFonts w:ascii="Arial" w:hAnsi="Arial"/>
      <w:b/>
      <w:bCs/>
      <w:color w:val="000000" w:themeColor="text1"/>
      <w:sz w:val="22"/>
    </w:rPr>
  </w:style>
  <w:style w:type="character" w:styleId="UnresolvedMention">
    <w:name w:val="Unresolved Mention"/>
    <w:basedOn w:val="DefaultParagraphFont"/>
    <w:uiPriority w:val="99"/>
    <w:semiHidden/>
    <w:unhideWhenUsed/>
    <w:rsid w:val="00F12C9C"/>
    <w:rPr>
      <w:color w:val="605E5C"/>
      <w:shd w:val="clear" w:color="auto" w:fill="E1DFDD"/>
    </w:rPr>
  </w:style>
  <w:style w:type="character" w:styleId="CommentReference">
    <w:name w:val="annotation reference"/>
    <w:basedOn w:val="DefaultParagraphFont"/>
    <w:uiPriority w:val="99"/>
    <w:semiHidden/>
    <w:unhideWhenUsed/>
    <w:rsid w:val="002219C6"/>
    <w:rPr>
      <w:sz w:val="16"/>
      <w:szCs w:val="16"/>
    </w:rPr>
  </w:style>
  <w:style w:type="paragraph" w:styleId="CommentText">
    <w:name w:val="annotation text"/>
    <w:basedOn w:val="Normal"/>
    <w:link w:val="CommentTextChar"/>
    <w:uiPriority w:val="99"/>
    <w:unhideWhenUsed/>
    <w:rsid w:val="002219C6"/>
    <w:pPr>
      <w:spacing w:after="160"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2219C6"/>
    <w:rPr>
      <w:sz w:val="20"/>
      <w:szCs w:val="20"/>
    </w:rPr>
  </w:style>
  <w:style w:type="paragraph" w:styleId="FootnoteText">
    <w:name w:val="footnote text"/>
    <w:basedOn w:val="Normal"/>
    <w:link w:val="FootnoteTextChar"/>
    <w:uiPriority w:val="99"/>
    <w:unhideWhenUsed/>
    <w:rsid w:val="002219C6"/>
    <w:pPr>
      <w:spacing w:after="0" w:line="240" w:lineRule="auto"/>
    </w:pPr>
    <w:rPr>
      <w:rFonts w:asciiTheme="minorHAnsi" w:hAnsiTheme="minorHAnsi"/>
      <w:color w:val="auto"/>
      <w:sz w:val="20"/>
      <w:szCs w:val="20"/>
    </w:rPr>
  </w:style>
  <w:style w:type="character" w:customStyle="1" w:styleId="FootnoteTextChar">
    <w:name w:val="Footnote Text Char"/>
    <w:basedOn w:val="DefaultParagraphFont"/>
    <w:link w:val="FootnoteText"/>
    <w:uiPriority w:val="99"/>
    <w:rsid w:val="002219C6"/>
    <w:rPr>
      <w:sz w:val="20"/>
      <w:szCs w:val="20"/>
    </w:rPr>
  </w:style>
  <w:style w:type="character" w:styleId="FootnoteReference">
    <w:name w:val="footnote reference"/>
    <w:basedOn w:val="DefaultParagraphFont"/>
    <w:uiPriority w:val="99"/>
    <w:semiHidden/>
    <w:unhideWhenUsed/>
    <w:rsid w:val="002219C6"/>
    <w:rPr>
      <w:vertAlign w:val="superscript"/>
    </w:rPr>
  </w:style>
  <w:style w:type="character" w:styleId="Mention">
    <w:name w:val="Mention"/>
    <w:basedOn w:val="DefaultParagraphFont"/>
    <w:uiPriority w:val="99"/>
    <w:unhideWhenUsed/>
    <w:rsid w:val="002219C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74B18"/>
    <w:pPr>
      <w:spacing w:after="120"/>
    </w:pPr>
    <w:rPr>
      <w:rFonts w:ascii="Arial" w:hAnsi="Arial"/>
      <w:b/>
      <w:bCs/>
      <w:color w:val="000000" w:themeColor="text1"/>
    </w:rPr>
  </w:style>
  <w:style w:type="character" w:customStyle="1" w:styleId="CommentSubjectChar">
    <w:name w:val="Comment Subject Char"/>
    <w:basedOn w:val="CommentTextChar"/>
    <w:link w:val="CommentSubject"/>
    <w:uiPriority w:val="99"/>
    <w:semiHidden/>
    <w:rsid w:val="00674B18"/>
    <w:rPr>
      <w:rFonts w:ascii="Arial" w:hAnsi="Arial"/>
      <w:b/>
      <w:bCs/>
      <w:color w:val="000000" w:themeColor="text1"/>
      <w:sz w:val="20"/>
      <w:szCs w:val="20"/>
    </w:rPr>
  </w:style>
  <w:style w:type="paragraph" w:styleId="Revision">
    <w:name w:val="Revision"/>
    <w:hidden/>
    <w:uiPriority w:val="99"/>
    <w:semiHidden/>
    <w:rsid w:val="00EE12F4"/>
    <w:pPr>
      <w:spacing w:after="0" w:line="240" w:lineRule="auto"/>
    </w:pPr>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deq/recycling/Documents/recGlassResponse.pdf" TargetMode="External"/><Relationship Id="rId18" Type="http://schemas.openxmlformats.org/officeDocument/2006/relationships/hyperlink" Target="https://www.oregon.gov/deq/rulemaking/Documents/Recycling2023m4RC1.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www.oregon.gov/deq/recycling/Documents/MaterialList-RfI.pdf" TargetMode="External"/><Relationship Id="rId17" Type="http://schemas.openxmlformats.org/officeDocument/2006/relationships/hyperlink" Target="https://www.oregon.gov/deq/rulemaking/Pages/Recycling2023x.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regon.gov/deq/recycling/Documents/GlassResults.pdf" TargetMode="External"/><Relationship Id="rId20" Type="http://schemas.openxmlformats.org/officeDocument/2006/relationships/hyperlink" Target="https://www.oregon.gov/deq/recycling/Documents/RMAModeling.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deq/rulemaking/Pages/rma2026.aspx" TargetMode="External"/><Relationship Id="rId24" Type="http://schemas.openxmlformats.org/officeDocument/2006/relationships/hyperlink" Target="https://www.oregon.gov/deq/about-us/Pages/titleVIaccess.aspx" TargetMode="External"/><Relationship Id="rId5" Type="http://schemas.openxmlformats.org/officeDocument/2006/relationships/styles" Target="styles.xml"/><Relationship Id="rId15" Type="http://schemas.openxmlformats.org/officeDocument/2006/relationships/hyperlink" Target="https://www.oregon.gov/deq/recycling/Documents/recWorkEvalTWG071922.pdf" TargetMode="External"/><Relationship Id="rId23" Type="http://schemas.openxmlformats.org/officeDocument/2006/relationships/hyperlink" Target="https://www.oregon.gov/deq/recycling/pages/modernizing-oregons-recycling-system.aspx"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oregon.gov/deq/rulemaking/Documents/Recycling2023m4RC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deq/recycling/Pages/Material-Lists.aspx" TargetMode="External"/><Relationship Id="rId22" Type="http://schemas.openxmlformats.org/officeDocument/2006/relationships/hyperlink" Target="mailto:Stephanie.Caldera@DEQ.Oregon.Go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regon.gov/deq/mm/production/Pages/Materials-Attributes.aspx" TargetMode="External"/><Relationship Id="rId1" Type="http://schemas.openxmlformats.org/officeDocument/2006/relationships/hyperlink" Target="https://www.oregon.gov/deq/recycling/Documents/GlassResul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2B50B40939EF4CA7B63E968F7225EE" ma:contentTypeVersion="3" ma:contentTypeDescription="Create a new document." ma:contentTypeScope="" ma:versionID="2a7d35e55fa50e45481485a56f4c284b">
  <xsd:schema xmlns:xsd="http://www.w3.org/2001/XMLSchema" xmlns:xs="http://www.w3.org/2001/XMLSchema" xmlns:p="http://schemas.microsoft.com/office/2006/metadata/properties" xmlns:ns2="6b3c66af-2c5e-4a64-b1f0-eca17e4268a6" targetNamespace="http://schemas.microsoft.com/office/2006/metadata/properties" ma:root="true" ma:fieldsID="3683e58581ea1345059d98bdcffe62ed" ns2:_="">
    <xsd:import namespace="6b3c66af-2c5e-4a64-b1f0-eca17e4268a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c66af-2c5e-4a64-b1f0-eca17e426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4A9E89-BCDC-49D7-8922-C93ABA57373D}">
  <ds:schemaRefs>
    <ds:schemaRef ds:uri="http://schemas.microsoft.com/sharepoint/v3/contenttype/forms"/>
  </ds:schemaRefs>
</ds:datastoreItem>
</file>

<file path=customXml/itemProps2.xml><?xml version="1.0" encoding="utf-8"?>
<ds:datastoreItem xmlns:ds="http://schemas.openxmlformats.org/officeDocument/2006/customXml" ds:itemID="{309A9E35-03A8-4D67-B646-A45125253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c66af-2c5e-4a64-b1f0-eca17e426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4078E-1FFF-4FF2-831C-6A647FCB79C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119</TotalTime>
  <Pages>11</Pages>
  <Words>5220</Words>
  <Characters>29760</Characters>
  <Application>Microsoft Office Word</Application>
  <DocSecurity>0</DocSecurity>
  <Lines>248</Lines>
  <Paragraphs>69</Paragraphs>
  <ScaleCrop>false</ScaleCrop>
  <Company/>
  <LinksUpToDate>false</LinksUpToDate>
  <CharactersWithSpaces>34911</CharactersWithSpaces>
  <SharedDoc>false</SharedDoc>
  <HLinks>
    <vt:vector size="108" baseType="variant">
      <vt:variant>
        <vt:i4>1769540</vt:i4>
      </vt:variant>
      <vt:variant>
        <vt:i4>33</vt:i4>
      </vt:variant>
      <vt:variant>
        <vt:i4>0</vt:i4>
      </vt:variant>
      <vt:variant>
        <vt:i4>5</vt:i4>
      </vt:variant>
      <vt:variant>
        <vt:lpwstr>https://www.oregon.gov/deq/about-us/Pages/titleVIaccess.aspx</vt:lpwstr>
      </vt:variant>
      <vt:variant>
        <vt:lpwstr/>
      </vt:variant>
      <vt:variant>
        <vt:i4>1638482</vt:i4>
      </vt:variant>
      <vt:variant>
        <vt:i4>30</vt:i4>
      </vt:variant>
      <vt:variant>
        <vt:i4>0</vt:i4>
      </vt:variant>
      <vt:variant>
        <vt:i4>5</vt:i4>
      </vt:variant>
      <vt:variant>
        <vt:lpwstr>https://www.oregon.gov/deq/recycling/pages/modernizing-oregons-recycling-system.aspx</vt:lpwstr>
      </vt:variant>
      <vt:variant>
        <vt:lpwstr/>
      </vt:variant>
      <vt:variant>
        <vt:i4>2949128</vt:i4>
      </vt:variant>
      <vt:variant>
        <vt:i4>27</vt:i4>
      </vt:variant>
      <vt:variant>
        <vt:i4>0</vt:i4>
      </vt:variant>
      <vt:variant>
        <vt:i4>5</vt:i4>
      </vt:variant>
      <vt:variant>
        <vt:lpwstr>mailto:Stephanie.Caldera@DEQ.Oregon.Gov</vt:lpwstr>
      </vt:variant>
      <vt:variant>
        <vt:lpwstr/>
      </vt:variant>
      <vt:variant>
        <vt:i4>3997752</vt:i4>
      </vt:variant>
      <vt:variant>
        <vt:i4>24</vt:i4>
      </vt:variant>
      <vt:variant>
        <vt:i4>0</vt:i4>
      </vt:variant>
      <vt:variant>
        <vt:i4>5</vt:i4>
      </vt:variant>
      <vt:variant>
        <vt:lpwstr>https://www.oregon.gov/deq/recycling/Documents/RMAModeling.pdf</vt:lpwstr>
      </vt:variant>
      <vt:variant>
        <vt:lpwstr/>
      </vt:variant>
      <vt:variant>
        <vt:i4>7077995</vt:i4>
      </vt:variant>
      <vt:variant>
        <vt:i4>21</vt:i4>
      </vt:variant>
      <vt:variant>
        <vt:i4>0</vt:i4>
      </vt:variant>
      <vt:variant>
        <vt:i4>5</vt:i4>
      </vt:variant>
      <vt:variant>
        <vt:lpwstr>https://www.oregon.gov/deq/rulemaking/Documents/Recycling2023m4RC1.pdf</vt:lpwstr>
      </vt:variant>
      <vt:variant>
        <vt:lpwstr/>
      </vt:variant>
      <vt:variant>
        <vt:i4>7077995</vt:i4>
      </vt:variant>
      <vt:variant>
        <vt:i4>18</vt:i4>
      </vt:variant>
      <vt:variant>
        <vt:i4>0</vt:i4>
      </vt:variant>
      <vt:variant>
        <vt:i4>5</vt:i4>
      </vt:variant>
      <vt:variant>
        <vt:lpwstr>https://www.oregon.gov/deq/rulemaking/Documents/Recycling2023m4RC1.pdf</vt:lpwstr>
      </vt:variant>
      <vt:variant>
        <vt:lpwstr/>
      </vt:variant>
      <vt:variant>
        <vt:i4>3276856</vt:i4>
      </vt:variant>
      <vt:variant>
        <vt:i4>15</vt:i4>
      </vt:variant>
      <vt:variant>
        <vt:i4>0</vt:i4>
      </vt:variant>
      <vt:variant>
        <vt:i4>5</vt:i4>
      </vt:variant>
      <vt:variant>
        <vt:lpwstr>https://www.oregon.gov/deq/rulemaking/Pages/Recycling2023x.aspx</vt:lpwstr>
      </vt:variant>
      <vt:variant>
        <vt:lpwstr/>
      </vt:variant>
      <vt:variant>
        <vt:i4>6750309</vt:i4>
      </vt:variant>
      <vt:variant>
        <vt:i4>12</vt:i4>
      </vt:variant>
      <vt:variant>
        <vt:i4>0</vt:i4>
      </vt:variant>
      <vt:variant>
        <vt:i4>5</vt:i4>
      </vt:variant>
      <vt:variant>
        <vt:lpwstr>https://www.oregon.gov/deq/recycling/Documents/GlassResults.pdf</vt:lpwstr>
      </vt:variant>
      <vt:variant>
        <vt:lpwstr/>
      </vt:variant>
      <vt:variant>
        <vt:i4>3997743</vt:i4>
      </vt:variant>
      <vt:variant>
        <vt:i4>9</vt:i4>
      </vt:variant>
      <vt:variant>
        <vt:i4>0</vt:i4>
      </vt:variant>
      <vt:variant>
        <vt:i4>5</vt:i4>
      </vt:variant>
      <vt:variant>
        <vt:lpwstr>https://www.oregon.gov/deq/recycling/Documents/recWorkEvalTWG071922.pdf</vt:lpwstr>
      </vt:variant>
      <vt:variant>
        <vt:lpwstr/>
      </vt:variant>
      <vt:variant>
        <vt:i4>3145831</vt:i4>
      </vt:variant>
      <vt:variant>
        <vt:i4>6</vt:i4>
      </vt:variant>
      <vt:variant>
        <vt:i4>0</vt:i4>
      </vt:variant>
      <vt:variant>
        <vt:i4>5</vt:i4>
      </vt:variant>
      <vt:variant>
        <vt:lpwstr>https://www.oregon.gov/deq/recycling/Pages/Material-Lists.aspx</vt:lpwstr>
      </vt:variant>
      <vt:variant>
        <vt:lpwstr/>
      </vt:variant>
      <vt:variant>
        <vt:i4>6619242</vt:i4>
      </vt:variant>
      <vt:variant>
        <vt:i4>3</vt:i4>
      </vt:variant>
      <vt:variant>
        <vt:i4>0</vt:i4>
      </vt:variant>
      <vt:variant>
        <vt:i4>5</vt:i4>
      </vt:variant>
      <vt:variant>
        <vt:lpwstr>https://www.oregon.gov/deq/recycling/Documents/recGlassResponse.pdf</vt:lpwstr>
      </vt:variant>
      <vt:variant>
        <vt:lpwstr/>
      </vt:variant>
      <vt:variant>
        <vt:i4>2621539</vt:i4>
      </vt:variant>
      <vt:variant>
        <vt:i4>0</vt:i4>
      </vt:variant>
      <vt:variant>
        <vt:i4>0</vt:i4>
      </vt:variant>
      <vt:variant>
        <vt:i4>5</vt:i4>
      </vt:variant>
      <vt:variant>
        <vt:lpwstr>https://www.oregon.gov/deq/recycling/Documents/MaterialList-RfI.pdf</vt:lpwstr>
      </vt:variant>
      <vt:variant>
        <vt:lpwstr/>
      </vt:variant>
      <vt:variant>
        <vt:i4>5439559</vt:i4>
      </vt:variant>
      <vt:variant>
        <vt:i4>3</vt:i4>
      </vt:variant>
      <vt:variant>
        <vt:i4>0</vt:i4>
      </vt:variant>
      <vt:variant>
        <vt:i4>5</vt:i4>
      </vt:variant>
      <vt:variant>
        <vt:lpwstr>https://www.oregon.gov/deq/mm/production/Pages/Materials-Attributes.aspx</vt:lpwstr>
      </vt:variant>
      <vt:variant>
        <vt:lpwstr/>
      </vt:variant>
      <vt:variant>
        <vt:i4>6750309</vt:i4>
      </vt:variant>
      <vt:variant>
        <vt:i4>0</vt:i4>
      </vt:variant>
      <vt:variant>
        <vt:i4>0</vt:i4>
      </vt:variant>
      <vt:variant>
        <vt:i4>5</vt:i4>
      </vt:variant>
      <vt:variant>
        <vt:lpwstr>https://www.oregon.gov/deq/recycling/Documents/GlassResults.pdf</vt:lpwstr>
      </vt:variant>
      <vt:variant>
        <vt:lpwstr/>
      </vt:variant>
      <vt:variant>
        <vt:i4>7012457</vt:i4>
      </vt:variant>
      <vt:variant>
        <vt:i4>9</vt:i4>
      </vt:variant>
      <vt:variant>
        <vt:i4>0</vt:i4>
      </vt:variant>
      <vt:variant>
        <vt:i4>5</vt:i4>
      </vt:variant>
      <vt:variant>
        <vt:lpwstr>https://oregonbusiness.com/shattered-glass/</vt:lpwstr>
      </vt:variant>
      <vt:variant>
        <vt:lpwstr/>
      </vt:variant>
      <vt:variant>
        <vt:i4>4456465</vt:i4>
      </vt:variant>
      <vt:variant>
        <vt:i4>6</vt:i4>
      </vt:variant>
      <vt:variant>
        <vt:i4>0</vt:i4>
      </vt:variant>
      <vt:variant>
        <vt:i4>5</vt:i4>
      </vt:variant>
      <vt:variant>
        <vt:lpwstr>https://www.oregonlive.com/business/2025/07/ne-portland-glass-recycling-plant-will-shut-down.html</vt:lpwstr>
      </vt:variant>
      <vt:variant>
        <vt:lpwstr/>
      </vt:variant>
      <vt:variant>
        <vt:i4>1572902</vt:i4>
      </vt:variant>
      <vt:variant>
        <vt:i4>3</vt:i4>
      </vt:variant>
      <vt:variant>
        <vt:i4>0</vt:i4>
      </vt:variant>
      <vt:variant>
        <vt:i4>5</vt:i4>
      </vt:variant>
      <vt:variant>
        <vt:lpwstr>mailto:Justin.GAST@deq.oregon.gov</vt:lpwstr>
      </vt:variant>
      <vt:variant>
        <vt:lpwstr/>
      </vt:variant>
      <vt:variant>
        <vt:i4>2359369</vt:i4>
      </vt:variant>
      <vt:variant>
        <vt:i4>0</vt:i4>
      </vt:variant>
      <vt:variant>
        <vt:i4>0</vt:i4>
      </vt:variant>
      <vt:variant>
        <vt:i4>5</vt:i4>
      </vt:variant>
      <vt:variant>
        <vt:lpwstr>mailto:Peter.H.SPENDELOW@deq.oregon.gov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Public Document A</dc:title>
  <dc:subject/>
  <dc:creator>THOMPSON Michele * DEQ</dc:creator>
  <cp:keywords/>
  <dc:description/>
  <cp:lastModifiedBy>CALDERA Stephanie * DEQ</cp:lastModifiedBy>
  <cp:revision>208</cp:revision>
  <dcterms:created xsi:type="dcterms:W3CDTF">2026-04-05T16:59:00Z</dcterms:created>
  <dcterms:modified xsi:type="dcterms:W3CDTF">2026-04-07T21:31:00Z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0x0101003D2B50B40939EF4CA7B63E968F7225EE</vt:lpwstr>
  </property>
  <property fmtid="{D5CDD505-2E9C-101B-9397-08002B2CF9AE}" pid="3" name="MediaServiceImageTags">
    <vt:lpwstr/>
  </property>
  <property fmtid="{D5CDD505-2E9C-101B-9397-08002B2CF9AE}" pid="4" name="docLang">
    <vt:lpwstr>en</vt:lpwstr>
  </property>
</Properties>
</file>