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3D6" w:rsidRPr="00EA0D92" w:rsidRDefault="000427C3" w:rsidP="00A858E7">
      <w:pPr>
        <w:tabs>
          <w:tab w:val="left" w:pos="-1440"/>
          <w:tab w:val="left" w:pos="-720"/>
          <w:tab w:val="left" w:pos="0"/>
          <w:tab w:val="left" w:pos="720"/>
          <w:tab w:val="left" w:pos="1440"/>
          <w:tab w:val="left" w:pos="2160"/>
          <w:tab w:val="left" w:pos="2880"/>
        </w:tabs>
        <w:suppressAutoHyphens/>
        <w:rPr>
          <w:sz w:val="22"/>
          <w:szCs w:val="22"/>
        </w:rPr>
      </w:pPr>
      <w:r w:rsidRPr="00A858E7">
        <w:rPr>
          <w:sz w:val="22"/>
          <w:szCs w:val="22"/>
        </w:rPr>
        <w:t xml:space="preserve">September </w:t>
      </w:r>
      <w:r w:rsidR="00A858E7" w:rsidRPr="00A858E7">
        <w:rPr>
          <w:sz w:val="22"/>
          <w:szCs w:val="22"/>
        </w:rPr>
        <w:t>2</w:t>
      </w:r>
      <w:r w:rsidR="00E76321">
        <w:rPr>
          <w:sz w:val="22"/>
          <w:szCs w:val="22"/>
        </w:rPr>
        <w:t>9</w:t>
      </w:r>
      <w:r w:rsidRPr="00A858E7">
        <w:rPr>
          <w:sz w:val="22"/>
          <w:szCs w:val="22"/>
        </w:rPr>
        <w:t>, 2016</w:t>
      </w:r>
    </w:p>
    <w:p w:rsidR="000673D6" w:rsidRPr="00EA0D92" w:rsidRDefault="00E76321" w:rsidP="000673D6">
      <w:pPr>
        <w:tabs>
          <w:tab w:val="left" w:pos="-1440"/>
          <w:tab w:val="left" w:pos="-720"/>
        </w:tabs>
        <w:suppressAutoHyphens/>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gramStart"/>
      <w:r w:rsidRPr="00A65264">
        <w:rPr>
          <w:i/>
          <w:sz w:val="22"/>
          <w:szCs w:val="22"/>
        </w:rPr>
        <w:t>via</w:t>
      </w:r>
      <w:proofErr w:type="gramEnd"/>
      <w:r w:rsidRPr="00A65264">
        <w:rPr>
          <w:i/>
          <w:sz w:val="22"/>
          <w:szCs w:val="22"/>
        </w:rPr>
        <w:t xml:space="preserve"> electronic delivery</w:t>
      </w:r>
    </w:p>
    <w:p w:rsidR="000673D6" w:rsidRPr="00EA0D92" w:rsidRDefault="000673D6" w:rsidP="000673D6">
      <w:pPr>
        <w:framePr w:w="2520" w:h="3024" w:hSpace="144" w:wrap="around" w:vAnchor="text" w:hAnchor="page" w:x="9548" w:y="-2836"/>
        <w:rPr>
          <w:sz w:val="22"/>
          <w:szCs w:val="22"/>
        </w:rPr>
      </w:pPr>
    </w:p>
    <w:p w:rsidR="000673D6" w:rsidRPr="00EA0D92" w:rsidRDefault="000427C3" w:rsidP="000673D6">
      <w:pPr>
        <w:tabs>
          <w:tab w:val="left" w:pos="-1440"/>
          <w:tab w:val="left" w:pos="-720"/>
        </w:tabs>
        <w:suppressAutoHyphens/>
        <w:rPr>
          <w:sz w:val="22"/>
          <w:szCs w:val="22"/>
        </w:rPr>
      </w:pPr>
      <w:r w:rsidRPr="000427C3">
        <w:rPr>
          <w:sz w:val="22"/>
          <w:szCs w:val="22"/>
        </w:rPr>
        <w:t xml:space="preserve">Mike and Margaret Townsend </w:t>
      </w:r>
    </w:p>
    <w:p w:rsidR="000673D6" w:rsidRPr="00EA0D92" w:rsidRDefault="000427C3" w:rsidP="000673D6">
      <w:pPr>
        <w:tabs>
          <w:tab w:val="left" w:pos="-1440"/>
          <w:tab w:val="left" w:pos="-720"/>
        </w:tabs>
        <w:suppressAutoHyphens/>
        <w:rPr>
          <w:sz w:val="22"/>
          <w:szCs w:val="22"/>
        </w:rPr>
      </w:pPr>
      <w:r w:rsidRPr="000427C3">
        <w:rPr>
          <w:sz w:val="22"/>
          <w:szCs w:val="22"/>
        </w:rPr>
        <w:t>Townsend Farms, Inc.</w:t>
      </w:r>
    </w:p>
    <w:p w:rsidR="000673D6" w:rsidRPr="00EA0D92" w:rsidRDefault="000673D6" w:rsidP="000673D6">
      <w:pPr>
        <w:tabs>
          <w:tab w:val="left" w:pos="-1440"/>
          <w:tab w:val="left" w:pos="-720"/>
        </w:tabs>
        <w:suppressAutoHyphens/>
        <w:rPr>
          <w:sz w:val="22"/>
          <w:szCs w:val="22"/>
        </w:rPr>
      </w:pPr>
      <w:r w:rsidRPr="00EA0D92">
        <w:rPr>
          <w:sz w:val="22"/>
          <w:szCs w:val="22"/>
        </w:rPr>
        <w:t>23400 NE Townsend Way</w:t>
      </w:r>
    </w:p>
    <w:p w:rsidR="000673D6" w:rsidRPr="00EA0D92" w:rsidRDefault="000673D6" w:rsidP="000673D6">
      <w:pPr>
        <w:tabs>
          <w:tab w:val="left" w:pos="-1440"/>
          <w:tab w:val="left" w:pos="-720"/>
        </w:tabs>
        <w:suppressAutoHyphens/>
        <w:rPr>
          <w:sz w:val="22"/>
          <w:szCs w:val="22"/>
        </w:rPr>
      </w:pPr>
      <w:r w:rsidRPr="00EA0D92">
        <w:rPr>
          <w:sz w:val="22"/>
          <w:szCs w:val="22"/>
        </w:rPr>
        <w:t>Fairview OR  97024</w:t>
      </w:r>
    </w:p>
    <w:p w:rsidR="000673D6" w:rsidRPr="00EA0D92" w:rsidRDefault="000673D6" w:rsidP="000673D6">
      <w:pPr>
        <w:tabs>
          <w:tab w:val="left" w:pos="-1440"/>
          <w:tab w:val="left" w:pos="-720"/>
          <w:tab w:val="left" w:pos="0"/>
          <w:tab w:val="left" w:pos="720"/>
          <w:tab w:val="left" w:pos="1440"/>
          <w:tab w:val="left" w:pos="2160"/>
          <w:tab w:val="left" w:pos="2880"/>
          <w:tab w:val="left" w:pos="3600"/>
        </w:tabs>
        <w:suppressAutoHyphens/>
        <w:ind w:left="4320" w:hanging="4320"/>
        <w:rPr>
          <w:sz w:val="22"/>
          <w:szCs w:val="22"/>
        </w:rPr>
      </w:pPr>
    </w:p>
    <w:p w:rsidR="000673D6" w:rsidRPr="00EA0D92" w:rsidRDefault="000673D6" w:rsidP="000673D6">
      <w:pPr>
        <w:tabs>
          <w:tab w:val="left" w:pos="-1440"/>
          <w:tab w:val="left" w:pos="-720"/>
          <w:tab w:val="left" w:pos="0"/>
          <w:tab w:val="left" w:pos="720"/>
          <w:tab w:val="left" w:pos="1440"/>
          <w:tab w:val="left" w:pos="2160"/>
          <w:tab w:val="left" w:pos="2880"/>
          <w:tab w:val="left" w:pos="3600"/>
        </w:tabs>
        <w:suppressAutoHyphens/>
        <w:ind w:left="4320" w:hanging="4320"/>
        <w:rPr>
          <w:sz w:val="22"/>
          <w:szCs w:val="22"/>
        </w:rPr>
      </w:pPr>
    </w:p>
    <w:p w:rsidR="000673D6" w:rsidRPr="00EA0D92" w:rsidRDefault="000427C3" w:rsidP="000673D6">
      <w:pPr>
        <w:tabs>
          <w:tab w:val="left" w:pos="-1440"/>
          <w:tab w:val="left" w:pos="-720"/>
          <w:tab w:val="left" w:pos="0"/>
          <w:tab w:val="left" w:pos="720"/>
          <w:tab w:val="left" w:pos="1440"/>
          <w:tab w:val="left" w:pos="2160"/>
          <w:tab w:val="left" w:pos="2880"/>
          <w:tab w:val="left" w:pos="3600"/>
        </w:tabs>
        <w:suppressAutoHyphens/>
        <w:ind w:left="4320" w:hanging="4320"/>
        <w:rPr>
          <w:sz w:val="22"/>
          <w:szCs w:val="22"/>
        </w:rPr>
      </w:pPr>
      <w:r w:rsidRPr="000427C3">
        <w:rPr>
          <w:sz w:val="22"/>
          <w:szCs w:val="22"/>
        </w:rPr>
        <w:t>Re:</w:t>
      </w:r>
      <w:r w:rsidRPr="000427C3">
        <w:rPr>
          <w:sz w:val="22"/>
          <w:szCs w:val="22"/>
        </w:rPr>
        <w:tab/>
        <w:t>Townsend Farms Business Park, ECSI# 4230</w:t>
      </w:r>
    </w:p>
    <w:p w:rsidR="000673D6" w:rsidRPr="00EA0D92" w:rsidRDefault="000673D6" w:rsidP="000673D6">
      <w:pPr>
        <w:tabs>
          <w:tab w:val="left" w:pos="-1440"/>
          <w:tab w:val="left" w:pos="-720"/>
        </w:tabs>
        <w:suppressAutoHyphens/>
        <w:rPr>
          <w:sz w:val="22"/>
          <w:szCs w:val="22"/>
        </w:rPr>
      </w:pPr>
    </w:p>
    <w:p w:rsidR="000673D6" w:rsidRPr="00EA0D92" w:rsidRDefault="00A858E7" w:rsidP="000673D6">
      <w:pPr>
        <w:tabs>
          <w:tab w:val="left" w:pos="-1440"/>
          <w:tab w:val="left" w:pos="-720"/>
        </w:tabs>
        <w:suppressAutoHyphens/>
        <w:rPr>
          <w:sz w:val="22"/>
          <w:szCs w:val="22"/>
        </w:rPr>
      </w:pPr>
      <w:r>
        <w:rPr>
          <w:sz w:val="22"/>
          <w:szCs w:val="22"/>
        </w:rPr>
        <w:t>Mr</w:t>
      </w:r>
      <w:r w:rsidR="00EA0D92">
        <w:rPr>
          <w:sz w:val="22"/>
          <w:szCs w:val="22"/>
        </w:rPr>
        <w:t xml:space="preserve">. </w:t>
      </w:r>
      <w:r>
        <w:rPr>
          <w:sz w:val="22"/>
          <w:szCs w:val="22"/>
        </w:rPr>
        <w:t>a</w:t>
      </w:r>
      <w:r w:rsidR="00EA0D92">
        <w:rPr>
          <w:sz w:val="22"/>
          <w:szCs w:val="22"/>
        </w:rPr>
        <w:t>nd Mrs. Townsend</w:t>
      </w:r>
      <w:r w:rsidR="000427C3" w:rsidRPr="000427C3">
        <w:rPr>
          <w:sz w:val="22"/>
          <w:szCs w:val="22"/>
        </w:rPr>
        <w:t>:</w:t>
      </w:r>
    </w:p>
    <w:p w:rsidR="000673D6" w:rsidRPr="00EA0D92" w:rsidRDefault="000673D6" w:rsidP="000673D6">
      <w:pPr>
        <w:tabs>
          <w:tab w:val="left" w:pos="-1440"/>
          <w:tab w:val="left" w:pos="-720"/>
        </w:tabs>
        <w:suppressAutoHyphens/>
        <w:rPr>
          <w:sz w:val="22"/>
          <w:szCs w:val="22"/>
        </w:rPr>
      </w:pPr>
    </w:p>
    <w:p w:rsidR="00C53C7C" w:rsidRPr="00EA0D92" w:rsidRDefault="000427C3" w:rsidP="00C53C7C">
      <w:pPr>
        <w:pStyle w:val="ParaAttribute7"/>
        <w:wordWrap w:val="0"/>
        <w:rPr>
          <w:rStyle w:val="CharAttribute1"/>
          <w:rFonts w:eastAsia="Batang"/>
          <w:sz w:val="22"/>
          <w:szCs w:val="22"/>
        </w:rPr>
      </w:pPr>
      <w:r w:rsidRPr="000427C3">
        <w:rPr>
          <w:rStyle w:val="CharAttribute1"/>
          <w:rFonts w:eastAsia="Batang"/>
          <w:sz w:val="22"/>
          <w:szCs w:val="22"/>
        </w:rPr>
        <w:t xml:space="preserve">DEQ </w:t>
      </w:r>
      <w:r w:rsidR="00EA0D92">
        <w:rPr>
          <w:rStyle w:val="CharAttribute1"/>
          <w:rFonts w:eastAsia="Batang"/>
          <w:sz w:val="22"/>
          <w:szCs w:val="22"/>
        </w:rPr>
        <w:t xml:space="preserve">Northwest Region Cleanup Section </w:t>
      </w:r>
      <w:r w:rsidRPr="000427C3">
        <w:rPr>
          <w:rStyle w:val="CharAttribute1"/>
          <w:rFonts w:eastAsia="Batang"/>
          <w:sz w:val="22"/>
          <w:szCs w:val="22"/>
        </w:rPr>
        <w:t>staff reviewed the document entitled “</w:t>
      </w:r>
      <w:r w:rsidRPr="000427C3">
        <w:rPr>
          <w:rStyle w:val="CharAttribute1"/>
          <w:rFonts w:eastAsia="Batang"/>
          <w:i/>
          <w:sz w:val="22"/>
          <w:szCs w:val="22"/>
        </w:rPr>
        <w:t>Townsend Farms – EDB Addendum lot 11, and well head at south entrance</w:t>
      </w:r>
      <w:r w:rsidRPr="000427C3">
        <w:rPr>
          <w:rStyle w:val="CharAttribute1"/>
          <w:rFonts w:eastAsia="Batang"/>
          <w:sz w:val="22"/>
          <w:szCs w:val="22"/>
        </w:rPr>
        <w:t xml:space="preserve">” dated August 26th 2015, prepared on your behalf by Rapid Soil Solutions, LLC.  The purpose of this letter is to provide comment on that document. </w:t>
      </w:r>
    </w:p>
    <w:p w:rsidR="00C53C7C" w:rsidRPr="00EA0D92" w:rsidRDefault="00C53C7C" w:rsidP="000673D6">
      <w:pPr>
        <w:tabs>
          <w:tab w:val="left" w:pos="-1440"/>
          <w:tab w:val="left" w:pos="-720"/>
        </w:tabs>
        <w:suppressAutoHyphens/>
        <w:rPr>
          <w:sz w:val="22"/>
          <w:szCs w:val="22"/>
        </w:rPr>
      </w:pPr>
    </w:p>
    <w:p w:rsidR="008A1BC9" w:rsidRDefault="000427C3" w:rsidP="000673D6">
      <w:pPr>
        <w:tabs>
          <w:tab w:val="left" w:pos="-1440"/>
          <w:tab w:val="left" w:pos="-720"/>
        </w:tabs>
        <w:suppressAutoHyphens/>
        <w:rPr>
          <w:sz w:val="22"/>
          <w:szCs w:val="22"/>
        </w:rPr>
      </w:pPr>
      <w:r w:rsidRPr="000427C3">
        <w:rPr>
          <w:sz w:val="22"/>
          <w:szCs w:val="22"/>
        </w:rPr>
        <w:t xml:space="preserve">The </w:t>
      </w:r>
      <w:r w:rsidR="00EA0D92">
        <w:rPr>
          <w:sz w:val="22"/>
          <w:szCs w:val="22"/>
        </w:rPr>
        <w:t xml:space="preserve">submitted document </w:t>
      </w:r>
      <w:r w:rsidRPr="000427C3">
        <w:rPr>
          <w:sz w:val="22"/>
          <w:szCs w:val="22"/>
        </w:rPr>
        <w:t xml:space="preserve">provides a </w:t>
      </w:r>
      <w:r w:rsidR="00EA0D92">
        <w:rPr>
          <w:sz w:val="22"/>
          <w:szCs w:val="22"/>
        </w:rPr>
        <w:t xml:space="preserve">very brief </w:t>
      </w:r>
      <w:r w:rsidRPr="000427C3">
        <w:rPr>
          <w:sz w:val="22"/>
          <w:szCs w:val="22"/>
        </w:rPr>
        <w:t xml:space="preserve">summary of </w:t>
      </w:r>
      <w:r w:rsidR="00EA0D92">
        <w:rPr>
          <w:sz w:val="22"/>
          <w:szCs w:val="22"/>
        </w:rPr>
        <w:t>the results of soil and groundwater sa</w:t>
      </w:r>
      <w:r w:rsidR="00124014">
        <w:rPr>
          <w:sz w:val="22"/>
          <w:szCs w:val="22"/>
        </w:rPr>
        <w:t xml:space="preserve">mpling completed on the </w:t>
      </w:r>
      <w:r w:rsidR="00EA0D92">
        <w:rPr>
          <w:sz w:val="22"/>
          <w:szCs w:val="22"/>
        </w:rPr>
        <w:t xml:space="preserve">property (for </w:t>
      </w:r>
      <w:r w:rsidRPr="000427C3">
        <w:rPr>
          <w:sz w:val="22"/>
          <w:szCs w:val="22"/>
        </w:rPr>
        <w:t xml:space="preserve">ethylene dibromide </w:t>
      </w:r>
      <w:r w:rsidR="00EA0D92">
        <w:rPr>
          <w:sz w:val="22"/>
          <w:szCs w:val="22"/>
        </w:rPr>
        <w:t xml:space="preserve">or </w:t>
      </w:r>
      <w:r w:rsidRPr="000427C3">
        <w:rPr>
          <w:sz w:val="22"/>
          <w:szCs w:val="22"/>
        </w:rPr>
        <w:t>EDB)</w:t>
      </w:r>
      <w:r w:rsidR="00EA0D92">
        <w:rPr>
          <w:sz w:val="22"/>
          <w:szCs w:val="22"/>
        </w:rPr>
        <w:t xml:space="preserve">.  It also presents </w:t>
      </w:r>
      <w:r w:rsidR="00551FC9">
        <w:rPr>
          <w:sz w:val="22"/>
          <w:szCs w:val="22"/>
        </w:rPr>
        <w:t xml:space="preserve">an </w:t>
      </w:r>
      <w:r w:rsidR="00EA0D92">
        <w:rPr>
          <w:sz w:val="22"/>
          <w:szCs w:val="22"/>
        </w:rPr>
        <w:t xml:space="preserve">analysis of groundwater elevation information from the area, and concludes that EDB has </w:t>
      </w:r>
      <w:r w:rsidR="00551FC9">
        <w:rPr>
          <w:sz w:val="22"/>
          <w:szCs w:val="22"/>
        </w:rPr>
        <w:t>not</w:t>
      </w:r>
      <w:r w:rsidR="00EA0D92">
        <w:rPr>
          <w:sz w:val="22"/>
          <w:szCs w:val="22"/>
        </w:rPr>
        <w:t xml:space="preserve"> “accumula</w:t>
      </w:r>
      <w:r w:rsidR="004D1975">
        <w:rPr>
          <w:sz w:val="22"/>
          <w:szCs w:val="22"/>
        </w:rPr>
        <w:t>ted in the soils” on the</w:t>
      </w:r>
      <w:r w:rsidR="00551FC9">
        <w:rPr>
          <w:sz w:val="22"/>
          <w:szCs w:val="22"/>
        </w:rPr>
        <w:t xml:space="preserve"> property, </w:t>
      </w:r>
      <w:r w:rsidR="00EA0D92">
        <w:rPr>
          <w:sz w:val="22"/>
          <w:szCs w:val="22"/>
        </w:rPr>
        <w:t>groundwater flow is northerly, and therefore not a source of contamination to city of Fairview supply wells located to the south.</w:t>
      </w:r>
    </w:p>
    <w:p w:rsidR="00A858E7" w:rsidRPr="00EA0D92" w:rsidRDefault="00A858E7" w:rsidP="000673D6">
      <w:pPr>
        <w:tabs>
          <w:tab w:val="left" w:pos="-1440"/>
          <w:tab w:val="left" w:pos="-720"/>
        </w:tabs>
        <w:suppressAutoHyphens/>
        <w:rPr>
          <w:sz w:val="22"/>
          <w:szCs w:val="22"/>
        </w:rPr>
      </w:pPr>
    </w:p>
    <w:p w:rsidR="00450951" w:rsidRDefault="00450951" w:rsidP="000673D6">
      <w:pPr>
        <w:tabs>
          <w:tab w:val="left" w:pos="-1440"/>
          <w:tab w:val="left" w:pos="-720"/>
        </w:tabs>
        <w:suppressAutoHyphens/>
        <w:rPr>
          <w:sz w:val="22"/>
          <w:szCs w:val="22"/>
        </w:rPr>
      </w:pPr>
      <w:r>
        <w:rPr>
          <w:sz w:val="22"/>
          <w:szCs w:val="22"/>
        </w:rPr>
        <w:t xml:space="preserve">Two main problems </w:t>
      </w:r>
      <w:r w:rsidR="00CA7361">
        <w:rPr>
          <w:sz w:val="22"/>
          <w:szCs w:val="22"/>
        </w:rPr>
        <w:t>with the submitted document</w:t>
      </w:r>
      <w:r>
        <w:rPr>
          <w:sz w:val="22"/>
          <w:szCs w:val="22"/>
        </w:rPr>
        <w:t>:  1) investigatio</w:t>
      </w:r>
      <w:r w:rsidR="00413EAA">
        <w:rPr>
          <w:sz w:val="22"/>
          <w:szCs w:val="22"/>
        </w:rPr>
        <w:t>n work was completed without</w:t>
      </w:r>
      <w:r>
        <w:rPr>
          <w:sz w:val="22"/>
          <w:szCs w:val="22"/>
        </w:rPr>
        <w:t xml:space="preserve"> consultation with DEQ, which is inconsistent with the voluntary cleanup agreement entered into with DEQ in 2007; and 2) t</w:t>
      </w:r>
      <w:r w:rsidR="00EA0D92">
        <w:rPr>
          <w:sz w:val="22"/>
          <w:szCs w:val="22"/>
        </w:rPr>
        <w:t>here are numerous technical problems or deficiencies with the submittal</w:t>
      </w:r>
      <w:r w:rsidR="00A858E7">
        <w:rPr>
          <w:sz w:val="22"/>
          <w:szCs w:val="22"/>
        </w:rPr>
        <w:t>.  T</w:t>
      </w:r>
      <w:r>
        <w:rPr>
          <w:sz w:val="22"/>
          <w:szCs w:val="22"/>
        </w:rPr>
        <w:t xml:space="preserve">hese </w:t>
      </w:r>
      <w:r w:rsidR="00A858E7">
        <w:rPr>
          <w:sz w:val="22"/>
          <w:szCs w:val="22"/>
        </w:rPr>
        <w:t xml:space="preserve">problems </w:t>
      </w:r>
      <w:r>
        <w:rPr>
          <w:sz w:val="22"/>
          <w:szCs w:val="22"/>
        </w:rPr>
        <w:t>are discussed in the following paragraphs.</w:t>
      </w:r>
    </w:p>
    <w:p w:rsidR="00450951" w:rsidRDefault="00450951" w:rsidP="000673D6">
      <w:pPr>
        <w:tabs>
          <w:tab w:val="left" w:pos="-1440"/>
          <w:tab w:val="left" w:pos="-720"/>
        </w:tabs>
        <w:suppressAutoHyphens/>
        <w:rPr>
          <w:sz w:val="22"/>
          <w:szCs w:val="22"/>
        </w:rPr>
      </w:pPr>
    </w:p>
    <w:p w:rsidR="008A1BC9" w:rsidRPr="00EA0D92" w:rsidRDefault="000427C3" w:rsidP="000673D6">
      <w:pPr>
        <w:tabs>
          <w:tab w:val="left" w:pos="-1440"/>
          <w:tab w:val="left" w:pos="-720"/>
        </w:tabs>
        <w:suppressAutoHyphens/>
        <w:rPr>
          <w:sz w:val="22"/>
          <w:szCs w:val="22"/>
        </w:rPr>
      </w:pPr>
      <w:r w:rsidRPr="000427C3">
        <w:rPr>
          <w:sz w:val="22"/>
          <w:szCs w:val="22"/>
          <w:u w:val="single"/>
        </w:rPr>
        <w:t>Completion of Work Independent of DEQ</w:t>
      </w:r>
      <w:r w:rsidR="00450951">
        <w:rPr>
          <w:sz w:val="22"/>
          <w:szCs w:val="22"/>
        </w:rPr>
        <w:t xml:space="preserve">.  </w:t>
      </w:r>
      <w:r w:rsidRPr="000427C3">
        <w:rPr>
          <w:sz w:val="22"/>
          <w:szCs w:val="22"/>
        </w:rPr>
        <w:t>DEQ was not aware that this work was planned or in progress until receiving the document on August 28</w:t>
      </w:r>
      <w:r w:rsidRPr="000427C3">
        <w:rPr>
          <w:sz w:val="22"/>
          <w:szCs w:val="22"/>
          <w:vertAlign w:val="superscript"/>
        </w:rPr>
        <w:t>th</w:t>
      </w:r>
      <w:r w:rsidRPr="000427C3">
        <w:rPr>
          <w:sz w:val="22"/>
          <w:szCs w:val="22"/>
        </w:rPr>
        <w:t xml:space="preserve">, 2015.  Within the DEQ voluntary cleanup (VCP) program, work is performed under various agreements. In the case of Townsend Farms, Inc. and DEQ, work is performed under provisions of the 2007 agreement number LQVC-NWR-07-02. </w:t>
      </w:r>
      <w:r w:rsidR="00413EAA">
        <w:rPr>
          <w:sz w:val="22"/>
          <w:szCs w:val="22"/>
        </w:rPr>
        <w:t>Sections II.A.3,</w:t>
      </w:r>
      <w:r w:rsidR="00DB1070">
        <w:rPr>
          <w:sz w:val="22"/>
          <w:szCs w:val="22"/>
        </w:rPr>
        <w:t xml:space="preserve"> II.F and II.K of the agreement discuss the agency review</w:t>
      </w:r>
      <w:r w:rsidR="00A858E7">
        <w:rPr>
          <w:sz w:val="22"/>
          <w:szCs w:val="22"/>
        </w:rPr>
        <w:t xml:space="preserve"> requirement</w:t>
      </w:r>
      <w:r w:rsidR="00DB1070">
        <w:rPr>
          <w:sz w:val="22"/>
          <w:szCs w:val="22"/>
        </w:rPr>
        <w:t>s</w:t>
      </w:r>
      <w:r w:rsidR="00A858E7">
        <w:rPr>
          <w:sz w:val="22"/>
          <w:szCs w:val="22"/>
        </w:rPr>
        <w:t xml:space="preserve"> in more detail. </w:t>
      </w:r>
      <w:r w:rsidRPr="000427C3">
        <w:rPr>
          <w:sz w:val="22"/>
          <w:szCs w:val="22"/>
        </w:rPr>
        <w:t xml:space="preserve">In accordance with such agreements, it is typical to prepare workplans for DEQ review and approval prior to completion of site work, and in </w:t>
      </w:r>
      <w:r w:rsidR="00CA7361">
        <w:rPr>
          <w:sz w:val="22"/>
          <w:szCs w:val="22"/>
        </w:rPr>
        <w:t xml:space="preserve">particular </w:t>
      </w:r>
      <w:r w:rsidR="003143A8">
        <w:rPr>
          <w:sz w:val="22"/>
          <w:szCs w:val="22"/>
        </w:rPr>
        <w:t>where field</w:t>
      </w:r>
      <w:r w:rsidRPr="000427C3">
        <w:rPr>
          <w:sz w:val="22"/>
          <w:szCs w:val="22"/>
        </w:rPr>
        <w:t xml:space="preserve"> work that involves sampling, preparation of sampling and analysis and quality assurance plans. The purpose of this review is to ensure that proposed work will meet the objectives (goals) for which it is intended, and confirm that the resulting analytical data can be evaluated for consistency with agency quality assurance (QA) requirements. Moreover, it allows DEQ to provide advice, recommendations and concurrence on the proposed scope of work and methods.  For reference, the current agency QA policy applicable to DEQ VCP program requirements may be found in </w:t>
      </w:r>
      <w:r w:rsidRPr="000427C3">
        <w:rPr>
          <w:i/>
          <w:sz w:val="22"/>
          <w:szCs w:val="22"/>
        </w:rPr>
        <w:t xml:space="preserve">EPA PA/SI Investigations Quality Assurance Project Plan </w:t>
      </w:r>
      <w:r w:rsidRPr="000427C3">
        <w:rPr>
          <w:sz w:val="22"/>
          <w:szCs w:val="22"/>
        </w:rPr>
        <w:t>dated August 14, 2012.</w:t>
      </w:r>
    </w:p>
    <w:p w:rsidR="008E2B96" w:rsidRPr="00EA0D92" w:rsidRDefault="000427C3" w:rsidP="000673D6">
      <w:pPr>
        <w:tabs>
          <w:tab w:val="left" w:pos="-1440"/>
          <w:tab w:val="left" w:pos="-720"/>
        </w:tabs>
        <w:suppressAutoHyphens/>
        <w:rPr>
          <w:sz w:val="22"/>
          <w:szCs w:val="22"/>
        </w:rPr>
      </w:pPr>
      <w:r w:rsidRPr="000427C3">
        <w:rPr>
          <w:sz w:val="22"/>
          <w:szCs w:val="22"/>
        </w:rPr>
        <w:t xml:space="preserve">http://www.deq.state.or.us/lq/pubs/docs/cu/QualityAssuranceProjectPlanEPAPASIInvestigations.pdf </w:t>
      </w:r>
    </w:p>
    <w:p w:rsidR="008E2B96" w:rsidRPr="00EA0D92" w:rsidRDefault="008E2B96" w:rsidP="000673D6">
      <w:pPr>
        <w:tabs>
          <w:tab w:val="left" w:pos="-1440"/>
          <w:tab w:val="left" w:pos="-720"/>
        </w:tabs>
        <w:suppressAutoHyphens/>
        <w:rPr>
          <w:sz w:val="22"/>
          <w:szCs w:val="22"/>
        </w:rPr>
      </w:pPr>
    </w:p>
    <w:p w:rsidR="008E2B96" w:rsidRPr="00EA0D92" w:rsidRDefault="000C6616" w:rsidP="000673D6">
      <w:pPr>
        <w:tabs>
          <w:tab w:val="left" w:pos="-1440"/>
          <w:tab w:val="left" w:pos="-720"/>
        </w:tabs>
        <w:suppressAutoHyphens/>
        <w:rPr>
          <w:b/>
          <w:sz w:val="22"/>
          <w:szCs w:val="22"/>
          <w:u w:val="single"/>
        </w:rPr>
      </w:pPr>
      <w:r>
        <w:rPr>
          <w:b/>
          <w:sz w:val="22"/>
          <w:szCs w:val="22"/>
          <w:u w:val="single"/>
        </w:rPr>
        <w:t>Technical Deficiencies:</w:t>
      </w:r>
      <w:r w:rsidR="000427C3" w:rsidRPr="000427C3">
        <w:rPr>
          <w:b/>
          <w:sz w:val="22"/>
          <w:szCs w:val="22"/>
          <w:u w:val="single"/>
        </w:rPr>
        <w:t xml:space="preserve"> Testing</w:t>
      </w:r>
      <w:r>
        <w:rPr>
          <w:b/>
          <w:sz w:val="22"/>
          <w:szCs w:val="22"/>
          <w:u w:val="single"/>
        </w:rPr>
        <w:t xml:space="preserve"> and documentation</w:t>
      </w:r>
    </w:p>
    <w:p w:rsidR="00740615" w:rsidRPr="000C6616" w:rsidRDefault="006F7827">
      <w:pPr>
        <w:pStyle w:val="ListParagraph"/>
        <w:numPr>
          <w:ilvl w:val="0"/>
          <w:numId w:val="3"/>
        </w:numPr>
        <w:tabs>
          <w:tab w:val="left" w:pos="-1440"/>
          <w:tab w:val="left" w:pos="-720"/>
        </w:tabs>
        <w:suppressAutoHyphens/>
        <w:rPr>
          <w:rFonts w:ascii="Times New Roman" w:eastAsia="Times New Roman" w:hAnsi="Times New Roman"/>
        </w:rPr>
      </w:pPr>
      <w:r w:rsidRPr="000C6616">
        <w:rPr>
          <w:rFonts w:ascii="Times New Roman" w:eastAsia="Times New Roman" w:hAnsi="Times New Roman"/>
        </w:rPr>
        <w:t xml:space="preserve">The purpose </w:t>
      </w:r>
      <w:r w:rsidR="00CA7361">
        <w:rPr>
          <w:rFonts w:ascii="Times New Roman" w:eastAsia="Times New Roman" w:hAnsi="Times New Roman"/>
        </w:rPr>
        <w:t xml:space="preserve">(and adequacy) </w:t>
      </w:r>
      <w:r w:rsidRPr="000C6616">
        <w:rPr>
          <w:rFonts w:ascii="Times New Roman" w:eastAsia="Times New Roman" w:hAnsi="Times New Roman"/>
        </w:rPr>
        <w:t xml:space="preserve">of soil sampling is not discussed.  Six shallow soil samples </w:t>
      </w:r>
      <w:r w:rsidR="00413EAA" w:rsidRPr="000C6616">
        <w:rPr>
          <w:rFonts w:ascii="Times New Roman" w:eastAsia="Times New Roman" w:hAnsi="Times New Roman"/>
        </w:rPr>
        <w:t xml:space="preserve">from the former </w:t>
      </w:r>
      <w:r w:rsidR="00CA7361">
        <w:rPr>
          <w:rFonts w:ascii="Times New Roman" w:eastAsia="Times New Roman" w:hAnsi="Times New Roman"/>
        </w:rPr>
        <w:t>L</w:t>
      </w:r>
      <w:r w:rsidR="00413EAA" w:rsidRPr="000C6616">
        <w:rPr>
          <w:rFonts w:ascii="Times New Roman" w:eastAsia="Times New Roman" w:hAnsi="Times New Roman"/>
        </w:rPr>
        <w:t xml:space="preserve">ot 11 </w:t>
      </w:r>
      <w:r w:rsidRPr="000C6616">
        <w:rPr>
          <w:rFonts w:ascii="Times New Roman" w:eastAsia="Times New Roman" w:hAnsi="Times New Roman"/>
        </w:rPr>
        <w:t>do not rule out the site as a source of contamination to underlying groundwater.</w:t>
      </w:r>
    </w:p>
    <w:p w:rsidR="00740615" w:rsidRPr="00FC486C" w:rsidRDefault="006F7827">
      <w:pPr>
        <w:pStyle w:val="ListParagraph"/>
        <w:numPr>
          <w:ilvl w:val="0"/>
          <w:numId w:val="3"/>
        </w:numPr>
        <w:tabs>
          <w:tab w:val="left" w:pos="-1440"/>
          <w:tab w:val="left" w:pos="-720"/>
        </w:tabs>
        <w:suppressAutoHyphens/>
        <w:rPr>
          <w:rFonts w:ascii="Times New Roman" w:eastAsia="Times New Roman" w:hAnsi="Times New Roman"/>
        </w:rPr>
      </w:pPr>
      <w:r w:rsidRPr="00FC486C">
        <w:rPr>
          <w:rFonts w:ascii="Times New Roman" w:eastAsia="Times New Roman" w:hAnsi="Times New Roman"/>
        </w:rPr>
        <w:t>Groundwater purging and sampling methods, sampling equipment used</w:t>
      </w:r>
      <w:r w:rsidR="000F3365" w:rsidRPr="00FC486C">
        <w:rPr>
          <w:rFonts w:ascii="Times New Roman" w:eastAsia="Times New Roman" w:hAnsi="Times New Roman"/>
        </w:rPr>
        <w:t>, sample collection depth, etc.</w:t>
      </w:r>
      <w:r w:rsidR="00383C15" w:rsidRPr="00FC486C">
        <w:rPr>
          <w:rFonts w:ascii="Times New Roman" w:eastAsia="Times New Roman" w:hAnsi="Times New Roman"/>
        </w:rPr>
        <w:t xml:space="preserve">, </w:t>
      </w:r>
      <w:r w:rsidRPr="00FC486C">
        <w:rPr>
          <w:rFonts w:ascii="Times New Roman" w:eastAsia="Times New Roman" w:hAnsi="Times New Roman"/>
        </w:rPr>
        <w:t xml:space="preserve">are not presented, </w:t>
      </w:r>
      <w:r w:rsidR="00413EAA" w:rsidRPr="00FC486C">
        <w:rPr>
          <w:rFonts w:ascii="Times New Roman" w:eastAsia="Times New Roman" w:hAnsi="Times New Roman"/>
        </w:rPr>
        <w:t xml:space="preserve">making it impossible to evaluate the </w:t>
      </w:r>
      <w:r w:rsidR="00CA7361">
        <w:rPr>
          <w:rFonts w:ascii="Times New Roman" w:eastAsia="Times New Roman" w:hAnsi="Times New Roman"/>
        </w:rPr>
        <w:t>representativeness</w:t>
      </w:r>
      <w:r w:rsidR="00CA7361" w:rsidRPr="00FC486C">
        <w:rPr>
          <w:rFonts w:ascii="Times New Roman" w:eastAsia="Times New Roman" w:hAnsi="Times New Roman"/>
        </w:rPr>
        <w:t xml:space="preserve"> </w:t>
      </w:r>
      <w:r w:rsidR="00413EAA" w:rsidRPr="00FC486C">
        <w:rPr>
          <w:rFonts w:ascii="Times New Roman" w:eastAsia="Times New Roman" w:hAnsi="Times New Roman"/>
        </w:rPr>
        <w:t>of the data</w:t>
      </w:r>
      <w:r w:rsidRPr="00FC486C">
        <w:rPr>
          <w:rFonts w:ascii="Times New Roman" w:eastAsia="Times New Roman" w:hAnsi="Times New Roman"/>
        </w:rPr>
        <w:t xml:space="preserve">.  </w:t>
      </w:r>
      <w:r w:rsidR="00CA7361">
        <w:rPr>
          <w:rFonts w:ascii="Times New Roman" w:eastAsia="Times New Roman" w:hAnsi="Times New Roman"/>
        </w:rPr>
        <w:t xml:space="preserve">DEQ also notes </w:t>
      </w:r>
      <w:r w:rsidR="00CA7361">
        <w:rPr>
          <w:rFonts w:ascii="Times New Roman" w:eastAsia="Times New Roman" w:hAnsi="Times New Roman"/>
        </w:rPr>
        <w:lastRenderedPageBreak/>
        <w:t>that t</w:t>
      </w:r>
      <w:r w:rsidR="00FC486C" w:rsidRPr="00FC486C">
        <w:rPr>
          <w:rFonts w:ascii="Times New Roman" w:eastAsia="Times New Roman" w:hAnsi="Times New Roman"/>
        </w:rPr>
        <w:t>he reporting</w:t>
      </w:r>
      <w:r w:rsidRPr="00FC486C">
        <w:rPr>
          <w:rFonts w:ascii="Times New Roman" w:eastAsia="Times New Roman" w:hAnsi="Times New Roman"/>
        </w:rPr>
        <w:t xml:space="preserve"> limit </w:t>
      </w:r>
      <w:r w:rsidR="00CA7361">
        <w:rPr>
          <w:rFonts w:ascii="Times New Roman" w:eastAsia="Times New Roman" w:hAnsi="Times New Roman"/>
        </w:rPr>
        <w:t xml:space="preserve">for contaminant analysis </w:t>
      </w:r>
      <w:r w:rsidR="00FC486C" w:rsidRPr="00FC486C">
        <w:rPr>
          <w:rFonts w:ascii="Times New Roman" w:eastAsia="Times New Roman" w:hAnsi="Times New Roman"/>
        </w:rPr>
        <w:t xml:space="preserve">in the Apex report </w:t>
      </w:r>
      <w:r w:rsidRPr="00FC486C">
        <w:rPr>
          <w:rFonts w:ascii="Times New Roman" w:eastAsia="Times New Roman" w:hAnsi="Times New Roman"/>
        </w:rPr>
        <w:t xml:space="preserve">is an order of magnitude higher than </w:t>
      </w:r>
      <w:r w:rsidR="00A8659D">
        <w:rPr>
          <w:rFonts w:ascii="Times New Roman" w:eastAsia="Times New Roman" w:hAnsi="Times New Roman"/>
        </w:rPr>
        <w:t xml:space="preserve">US </w:t>
      </w:r>
      <w:r w:rsidRPr="00FC486C">
        <w:rPr>
          <w:rFonts w:ascii="Times New Roman" w:eastAsia="Times New Roman" w:hAnsi="Times New Roman"/>
        </w:rPr>
        <w:t xml:space="preserve">EPA’s drinking water standard </w:t>
      </w:r>
      <w:r w:rsidR="00FC486C" w:rsidRPr="00FC486C">
        <w:rPr>
          <w:rFonts w:ascii="Times New Roman" w:eastAsia="Times New Roman" w:hAnsi="Times New Roman"/>
        </w:rPr>
        <w:t xml:space="preserve">(MCL) </w:t>
      </w:r>
      <w:r w:rsidRPr="00FC486C">
        <w:rPr>
          <w:rFonts w:ascii="Times New Roman" w:eastAsia="Times New Roman" w:hAnsi="Times New Roman"/>
        </w:rPr>
        <w:t>for EDB.</w:t>
      </w:r>
    </w:p>
    <w:p w:rsidR="00740615" w:rsidRPr="000C6616" w:rsidRDefault="006F7827">
      <w:pPr>
        <w:pStyle w:val="ListParagraph"/>
        <w:numPr>
          <w:ilvl w:val="0"/>
          <w:numId w:val="3"/>
        </w:numPr>
        <w:tabs>
          <w:tab w:val="left" w:pos="-1440"/>
          <w:tab w:val="left" w:pos="-720"/>
        </w:tabs>
        <w:suppressAutoHyphens/>
        <w:rPr>
          <w:rFonts w:ascii="Times New Roman" w:eastAsia="Times New Roman" w:hAnsi="Times New Roman"/>
        </w:rPr>
      </w:pPr>
      <w:r w:rsidRPr="000C6616">
        <w:rPr>
          <w:rFonts w:ascii="Times New Roman" w:eastAsia="Times New Roman" w:hAnsi="Times New Roman"/>
        </w:rPr>
        <w:t>There is no discussion of field and laboratory QA/QC measures, including whether generated data are of acceptable quality.</w:t>
      </w:r>
    </w:p>
    <w:p w:rsidR="00740615" w:rsidRPr="000C6616" w:rsidRDefault="006F7827">
      <w:pPr>
        <w:pStyle w:val="ListParagraph"/>
        <w:numPr>
          <w:ilvl w:val="0"/>
          <w:numId w:val="3"/>
        </w:numPr>
        <w:tabs>
          <w:tab w:val="left" w:pos="-1440"/>
          <w:tab w:val="left" w:pos="-720"/>
        </w:tabs>
        <w:suppressAutoHyphens/>
        <w:rPr>
          <w:rFonts w:ascii="Times New Roman" w:eastAsia="Times New Roman" w:hAnsi="Times New Roman"/>
        </w:rPr>
      </w:pPr>
      <w:r w:rsidRPr="000C6616">
        <w:rPr>
          <w:rFonts w:ascii="Times New Roman" w:eastAsia="Times New Roman" w:hAnsi="Times New Roman"/>
        </w:rPr>
        <w:t>Included figures are poorly-prepared, and lacking important elements such as north arrows, scales, sample identifiers, source of the base maps, etc.</w:t>
      </w:r>
    </w:p>
    <w:p w:rsidR="00740615" w:rsidRPr="000C6616" w:rsidRDefault="006F7827">
      <w:pPr>
        <w:pStyle w:val="ListParagraph"/>
        <w:numPr>
          <w:ilvl w:val="0"/>
          <w:numId w:val="3"/>
        </w:numPr>
        <w:tabs>
          <w:tab w:val="left" w:pos="-1440"/>
          <w:tab w:val="left" w:pos="-720"/>
        </w:tabs>
        <w:suppressAutoHyphens/>
        <w:rPr>
          <w:rFonts w:ascii="Times New Roman" w:eastAsia="Times New Roman" w:hAnsi="Times New Roman"/>
        </w:rPr>
      </w:pPr>
      <w:r w:rsidRPr="000C6616">
        <w:rPr>
          <w:rFonts w:ascii="Times New Roman" w:eastAsia="Times New Roman" w:hAnsi="Times New Roman"/>
        </w:rPr>
        <w:t xml:space="preserve">Groundwater elevation and flow analysis is based on disparate data sources, and does not acknowledge potential confounding factors including influence on gradients from local pumping wells. </w:t>
      </w:r>
    </w:p>
    <w:p w:rsidR="00740615" w:rsidRPr="00FC486C" w:rsidRDefault="006F7827">
      <w:pPr>
        <w:pStyle w:val="ListParagraph"/>
        <w:numPr>
          <w:ilvl w:val="0"/>
          <w:numId w:val="3"/>
        </w:numPr>
        <w:tabs>
          <w:tab w:val="left" w:pos="-1440"/>
          <w:tab w:val="left" w:pos="-720"/>
        </w:tabs>
        <w:suppressAutoHyphens/>
        <w:rPr>
          <w:rFonts w:ascii="Times New Roman" w:eastAsia="Times New Roman" w:hAnsi="Times New Roman"/>
        </w:rPr>
      </w:pPr>
      <w:r w:rsidRPr="000C6616">
        <w:rPr>
          <w:rFonts w:ascii="Times New Roman" w:eastAsia="Times New Roman" w:hAnsi="Times New Roman"/>
        </w:rPr>
        <w:t xml:space="preserve">Focus </w:t>
      </w:r>
      <w:r w:rsidR="00CA7361">
        <w:rPr>
          <w:rFonts w:ascii="Times New Roman" w:eastAsia="Times New Roman" w:hAnsi="Times New Roman"/>
        </w:rPr>
        <w:t>is on</w:t>
      </w:r>
      <w:r w:rsidR="00CA7361" w:rsidRPr="000C6616">
        <w:rPr>
          <w:rFonts w:ascii="Times New Roman" w:eastAsia="Times New Roman" w:hAnsi="Times New Roman"/>
        </w:rPr>
        <w:t xml:space="preserve"> </w:t>
      </w:r>
      <w:r w:rsidRPr="000C6616">
        <w:rPr>
          <w:rFonts w:ascii="Times New Roman" w:eastAsia="Times New Roman" w:hAnsi="Times New Roman"/>
        </w:rPr>
        <w:t>off-</w:t>
      </w:r>
      <w:r w:rsidRPr="00FC486C">
        <w:rPr>
          <w:rFonts w:ascii="Times New Roman" w:eastAsia="Times New Roman" w:hAnsi="Times New Roman"/>
        </w:rPr>
        <w:t>site supply well</w:t>
      </w:r>
      <w:r w:rsidR="00CA7361">
        <w:rPr>
          <w:rFonts w:ascii="Times New Roman" w:eastAsia="Times New Roman" w:hAnsi="Times New Roman"/>
        </w:rPr>
        <w:t xml:space="preserve"> </w:t>
      </w:r>
      <w:r w:rsidRPr="00FC486C">
        <w:rPr>
          <w:rFonts w:ascii="Times New Roman" w:eastAsia="Times New Roman" w:hAnsi="Times New Roman"/>
        </w:rPr>
        <w:t>EP-B (City of Fairview #6)</w:t>
      </w:r>
      <w:r w:rsidR="00467496" w:rsidRPr="00FC486C">
        <w:rPr>
          <w:rFonts w:ascii="Times New Roman" w:eastAsia="Times New Roman" w:hAnsi="Times New Roman"/>
        </w:rPr>
        <w:t xml:space="preserve">, which is currently inactive.  Other nearby wells including nearby (active) well #5 are not discussed.  </w:t>
      </w:r>
    </w:p>
    <w:p w:rsidR="00740615" w:rsidRPr="000C6616" w:rsidRDefault="00467496">
      <w:pPr>
        <w:pStyle w:val="ListParagraph"/>
        <w:numPr>
          <w:ilvl w:val="0"/>
          <w:numId w:val="3"/>
        </w:numPr>
        <w:tabs>
          <w:tab w:val="left" w:pos="-1440"/>
          <w:tab w:val="left" w:pos="-720"/>
        </w:tabs>
        <w:suppressAutoHyphens/>
        <w:rPr>
          <w:rFonts w:ascii="Times New Roman" w:eastAsia="Times New Roman" w:hAnsi="Times New Roman"/>
        </w:rPr>
      </w:pPr>
      <w:r w:rsidRPr="00FC486C">
        <w:rPr>
          <w:rFonts w:ascii="Times New Roman" w:eastAsia="Times New Roman" w:hAnsi="Times New Roman"/>
        </w:rPr>
        <w:t>The letter references “RSS research” on likely</w:t>
      </w:r>
      <w:r w:rsidRPr="000C6616">
        <w:rPr>
          <w:rFonts w:ascii="Times New Roman" w:eastAsia="Times New Roman" w:hAnsi="Times New Roman"/>
        </w:rPr>
        <w:t xml:space="preserve"> sources of EDB in groundwater without any supporting documentation.</w:t>
      </w:r>
    </w:p>
    <w:p w:rsidR="00C53C7C" w:rsidRPr="00EA0D92" w:rsidRDefault="00C53C7C" w:rsidP="000673D6">
      <w:pPr>
        <w:tabs>
          <w:tab w:val="left" w:pos="-1440"/>
          <w:tab w:val="left" w:pos="-720"/>
        </w:tabs>
        <w:suppressAutoHyphens/>
        <w:rPr>
          <w:sz w:val="22"/>
          <w:szCs w:val="22"/>
        </w:rPr>
      </w:pPr>
    </w:p>
    <w:p w:rsidR="00467496" w:rsidRDefault="00383C15" w:rsidP="000673D6">
      <w:pPr>
        <w:tabs>
          <w:tab w:val="left" w:pos="-1440"/>
          <w:tab w:val="left" w:pos="-720"/>
        </w:tabs>
        <w:suppressAutoHyphens/>
        <w:rPr>
          <w:sz w:val="22"/>
          <w:szCs w:val="22"/>
        </w:rPr>
      </w:pPr>
      <w:r>
        <w:rPr>
          <w:sz w:val="22"/>
          <w:szCs w:val="22"/>
        </w:rPr>
        <w:t xml:space="preserve">The </w:t>
      </w:r>
      <w:r w:rsidR="00467496">
        <w:rPr>
          <w:sz w:val="22"/>
          <w:szCs w:val="22"/>
        </w:rPr>
        <w:t xml:space="preserve">information </w:t>
      </w:r>
      <w:r>
        <w:rPr>
          <w:sz w:val="22"/>
          <w:szCs w:val="22"/>
        </w:rPr>
        <w:t xml:space="preserve">presented </w:t>
      </w:r>
      <w:r w:rsidR="00467496">
        <w:rPr>
          <w:sz w:val="22"/>
          <w:szCs w:val="22"/>
        </w:rPr>
        <w:t xml:space="preserve">is insufficient to either include or exclude the site as a source of EDB contamination to both the (private) onsite well, </w:t>
      </w:r>
      <w:r>
        <w:rPr>
          <w:sz w:val="22"/>
          <w:szCs w:val="22"/>
        </w:rPr>
        <w:t>or</w:t>
      </w:r>
      <w:r w:rsidR="00467496">
        <w:rPr>
          <w:sz w:val="22"/>
          <w:szCs w:val="22"/>
        </w:rPr>
        <w:t xml:space="preserve"> nearby </w:t>
      </w:r>
      <w:r w:rsidR="00CA7361">
        <w:rPr>
          <w:sz w:val="22"/>
          <w:szCs w:val="22"/>
        </w:rPr>
        <w:t xml:space="preserve">supply </w:t>
      </w:r>
      <w:r w:rsidR="00467496">
        <w:rPr>
          <w:sz w:val="22"/>
          <w:szCs w:val="22"/>
        </w:rPr>
        <w:t>well</w:t>
      </w:r>
      <w:r>
        <w:rPr>
          <w:sz w:val="22"/>
          <w:szCs w:val="22"/>
        </w:rPr>
        <w:t xml:space="preserve">s in the vicinity.  </w:t>
      </w:r>
      <w:r w:rsidR="00467496">
        <w:rPr>
          <w:sz w:val="22"/>
          <w:szCs w:val="22"/>
        </w:rPr>
        <w:t xml:space="preserve"> </w:t>
      </w:r>
      <w:r w:rsidR="000C6616">
        <w:rPr>
          <w:sz w:val="22"/>
          <w:szCs w:val="22"/>
        </w:rPr>
        <w:t xml:space="preserve"> </w:t>
      </w:r>
      <w:r w:rsidR="00467496">
        <w:rPr>
          <w:sz w:val="22"/>
          <w:szCs w:val="22"/>
        </w:rPr>
        <w:t>We understand that additional information is being prepared that may shed light on the contaminant attribution issue.  DEQ will review the document and provide comments once submitted.</w:t>
      </w:r>
      <w:r w:rsidR="000C6616">
        <w:rPr>
          <w:sz w:val="22"/>
          <w:szCs w:val="22"/>
        </w:rPr>
        <w:t xml:space="preserve">  Thank you for the opportunity to comment.</w:t>
      </w:r>
    </w:p>
    <w:p w:rsidR="00467496" w:rsidRDefault="00467496" w:rsidP="000673D6">
      <w:pPr>
        <w:tabs>
          <w:tab w:val="left" w:pos="-1440"/>
          <w:tab w:val="left" w:pos="-720"/>
        </w:tabs>
        <w:suppressAutoHyphens/>
        <w:rPr>
          <w:sz w:val="22"/>
          <w:szCs w:val="22"/>
        </w:rPr>
      </w:pPr>
    </w:p>
    <w:p w:rsidR="0017594E" w:rsidRDefault="00467496" w:rsidP="000673D6">
      <w:pPr>
        <w:tabs>
          <w:tab w:val="left" w:pos="-1440"/>
          <w:tab w:val="left" w:pos="-720"/>
        </w:tabs>
        <w:suppressAutoHyphens/>
        <w:rPr>
          <w:sz w:val="22"/>
          <w:szCs w:val="22"/>
        </w:rPr>
      </w:pPr>
      <w:r>
        <w:rPr>
          <w:sz w:val="22"/>
          <w:szCs w:val="22"/>
        </w:rPr>
        <w:t xml:space="preserve">I </w:t>
      </w:r>
      <w:r w:rsidR="000C6616">
        <w:rPr>
          <w:sz w:val="22"/>
          <w:szCs w:val="22"/>
        </w:rPr>
        <w:t>may be reached at (503) 229-5614</w:t>
      </w:r>
      <w:r>
        <w:rPr>
          <w:sz w:val="22"/>
          <w:szCs w:val="22"/>
        </w:rPr>
        <w:t xml:space="preserve"> if you have questions or comments.</w:t>
      </w:r>
    </w:p>
    <w:p w:rsidR="00467496" w:rsidRDefault="00467496" w:rsidP="000673D6">
      <w:pPr>
        <w:tabs>
          <w:tab w:val="left" w:pos="-1440"/>
          <w:tab w:val="left" w:pos="-720"/>
        </w:tabs>
        <w:suppressAutoHyphens/>
        <w:rPr>
          <w:sz w:val="22"/>
          <w:szCs w:val="22"/>
        </w:rPr>
      </w:pPr>
    </w:p>
    <w:p w:rsidR="00467496" w:rsidRPr="00EA0D92" w:rsidRDefault="00467496" w:rsidP="000673D6">
      <w:pPr>
        <w:tabs>
          <w:tab w:val="left" w:pos="-1440"/>
          <w:tab w:val="left" w:pos="-720"/>
        </w:tabs>
        <w:suppressAutoHyphens/>
        <w:rPr>
          <w:sz w:val="22"/>
          <w:szCs w:val="22"/>
        </w:rPr>
      </w:pPr>
      <w:r>
        <w:rPr>
          <w:sz w:val="22"/>
          <w:szCs w:val="22"/>
        </w:rPr>
        <w:t>Respectfully,</w:t>
      </w:r>
    </w:p>
    <w:p w:rsidR="000673D6" w:rsidRPr="00EA0D92" w:rsidRDefault="000673D6" w:rsidP="000673D6">
      <w:pPr>
        <w:tabs>
          <w:tab w:val="left" w:pos="-1440"/>
          <w:tab w:val="left" w:pos="-720"/>
        </w:tabs>
        <w:suppressAutoHyphens/>
        <w:rPr>
          <w:sz w:val="22"/>
          <w:szCs w:val="22"/>
        </w:rPr>
      </w:pPr>
    </w:p>
    <w:p w:rsidR="000673D6" w:rsidRPr="00EA0D92" w:rsidRDefault="00E76321" w:rsidP="000673D6">
      <w:pPr>
        <w:tabs>
          <w:tab w:val="left" w:pos="-1440"/>
          <w:tab w:val="left" w:pos="-720"/>
        </w:tabs>
        <w:suppressAutoHyphens/>
        <w:rPr>
          <w:sz w:val="22"/>
          <w:szCs w:val="22"/>
        </w:rPr>
      </w:pPr>
      <w:r>
        <w:rPr>
          <w:noProof/>
        </w:rPr>
        <w:drawing>
          <wp:inline distT="0" distB="0" distL="0" distR="0">
            <wp:extent cx="1214764" cy="250520"/>
            <wp:effectExtent l="19050" t="0" r="4436" b="0"/>
            <wp:docPr id="2" name="Picture 1" descr="E:\Paul Seidel -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ul Seidel - Signature.jpg"/>
                    <pic:cNvPicPr>
                      <a:picLocks noChangeAspect="1" noChangeArrowheads="1"/>
                    </pic:cNvPicPr>
                  </pic:nvPicPr>
                  <pic:blipFill>
                    <a:blip r:embed="rId8" cstate="print"/>
                    <a:srcRect/>
                    <a:stretch>
                      <a:fillRect/>
                    </a:stretch>
                  </pic:blipFill>
                  <pic:spPr bwMode="auto">
                    <a:xfrm>
                      <a:off x="0" y="0"/>
                      <a:ext cx="1214968" cy="250562"/>
                    </a:xfrm>
                    <a:prstGeom prst="rect">
                      <a:avLst/>
                    </a:prstGeom>
                    <a:noFill/>
                    <a:ln w="9525">
                      <a:noFill/>
                      <a:miter lim="800000"/>
                      <a:headEnd/>
                      <a:tailEnd/>
                    </a:ln>
                  </pic:spPr>
                </pic:pic>
              </a:graphicData>
            </a:graphic>
          </wp:inline>
        </w:drawing>
      </w:r>
    </w:p>
    <w:p w:rsidR="000673D6" w:rsidRPr="00EA0D92" w:rsidRDefault="000673D6" w:rsidP="000673D6">
      <w:pPr>
        <w:tabs>
          <w:tab w:val="left" w:pos="-1440"/>
          <w:tab w:val="left" w:pos="-720"/>
        </w:tabs>
        <w:suppressAutoHyphens/>
        <w:rPr>
          <w:sz w:val="22"/>
          <w:szCs w:val="22"/>
        </w:rPr>
      </w:pPr>
    </w:p>
    <w:p w:rsidR="000673D6" w:rsidRPr="00EA0D92" w:rsidRDefault="000427C3" w:rsidP="000673D6">
      <w:pPr>
        <w:tabs>
          <w:tab w:val="left" w:pos="-1440"/>
          <w:tab w:val="left" w:pos="-720"/>
        </w:tabs>
        <w:suppressAutoHyphens/>
        <w:rPr>
          <w:sz w:val="22"/>
          <w:szCs w:val="22"/>
        </w:rPr>
      </w:pPr>
      <w:r w:rsidRPr="000427C3">
        <w:rPr>
          <w:sz w:val="22"/>
          <w:szCs w:val="22"/>
        </w:rPr>
        <w:t>Paul Seidel</w:t>
      </w:r>
    </w:p>
    <w:p w:rsidR="000673D6" w:rsidRPr="00EA0D92" w:rsidRDefault="000427C3" w:rsidP="000673D6">
      <w:pPr>
        <w:tabs>
          <w:tab w:val="left" w:pos="-1440"/>
          <w:tab w:val="left" w:pos="-720"/>
          <w:tab w:val="left" w:pos="0"/>
          <w:tab w:val="left" w:pos="720"/>
          <w:tab w:val="left" w:pos="1440"/>
          <w:tab w:val="left" w:pos="2160"/>
          <w:tab w:val="left" w:pos="2880"/>
        </w:tabs>
        <w:suppressAutoHyphens/>
        <w:ind w:left="3600" w:hanging="3600"/>
        <w:rPr>
          <w:sz w:val="22"/>
          <w:szCs w:val="22"/>
        </w:rPr>
      </w:pPr>
      <w:r w:rsidRPr="000427C3">
        <w:rPr>
          <w:sz w:val="22"/>
          <w:szCs w:val="22"/>
        </w:rPr>
        <w:t>Project Manager</w:t>
      </w:r>
    </w:p>
    <w:p w:rsidR="000673D6" w:rsidRPr="00EA0D92" w:rsidRDefault="000427C3" w:rsidP="000673D6">
      <w:pPr>
        <w:rPr>
          <w:sz w:val="22"/>
          <w:szCs w:val="22"/>
        </w:rPr>
      </w:pPr>
      <w:r w:rsidRPr="000427C3">
        <w:rPr>
          <w:sz w:val="22"/>
          <w:szCs w:val="22"/>
        </w:rPr>
        <w:t>NWR Cleanup  Section</w:t>
      </w:r>
    </w:p>
    <w:p w:rsidR="00CA7361" w:rsidRDefault="00CA7361" w:rsidP="000673D6">
      <w:pPr>
        <w:rPr>
          <w:sz w:val="22"/>
          <w:szCs w:val="22"/>
        </w:rPr>
      </w:pPr>
    </w:p>
    <w:p w:rsidR="0017594E" w:rsidRDefault="00E76321" w:rsidP="000673D6">
      <w:pPr>
        <w:rPr>
          <w:sz w:val="22"/>
          <w:szCs w:val="22"/>
        </w:rPr>
      </w:pPr>
      <w:r>
        <w:rPr>
          <w:sz w:val="22"/>
          <w:szCs w:val="22"/>
        </w:rPr>
        <w:t>E</w:t>
      </w:r>
      <w:r w:rsidR="000C6616">
        <w:rPr>
          <w:sz w:val="22"/>
          <w:szCs w:val="22"/>
        </w:rPr>
        <w:t xml:space="preserve">c: </w:t>
      </w:r>
      <w:r w:rsidR="00CA7361">
        <w:rPr>
          <w:sz w:val="22"/>
          <w:szCs w:val="22"/>
        </w:rPr>
        <w:tab/>
      </w:r>
      <w:r w:rsidR="000C6616">
        <w:rPr>
          <w:sz w:val="22"/>
          <w:szCs w:val="22"/>
        </w:rPr>
        <w:t>Keith Johnson</w:t>
      </w:r>
      <w:r w:rsidR="000427C3" w:rsidRPr="000427C3">
        <w:rPr>
          <w:sz w:val="22"/>
          <w:szCs w:val="22"/>
        </w:rPr>
        <w:t>, DEQ</w:t>
      </w:r>
    </w:p>
    <w:p w:rsidR="00CA7361" w:rsidRDefault="00CA7361" w:rsidP="000673D6">
      <w:pPr>
        <w:rPr>
          <w:sz w:val="22"/>
          <w:szCs w:val="22"/>
        </w:rPr>
      </w:pPr>
      <w:r>
        <w:rPr>
          <w:sz w:val="22"/>
          <w:szCs w:val="22"/>
        </w:rPr>
        <w:tab/>
        <w:t>Bob Williams, DEQ</w:t>
      </w:r>
    </w:p>
    <w:p w:rsidR="00CA7361" w:rsidRDefault="00CA7361" w:rsidP="000673D6">
      <w:pPr>
        <w:rPr>
          <w:sz w:val="22"/>
          <w:szCs w:val="22"/>
        </w:rPr>
      </w:pPr>
      <w:r>
        <w:rPr>
          <w:sz w:val="22"/>
          <w:szCs w:val="22"/>
        </w:rPr>
        <w:tab/>
        <w:t>Dan Hafley, DEQ</w:t>
      </w:r>
    </w:p>
    <w:p w:rsidR="00CA7361" w:rsidRDefault="00CA7361" w:rsidP="000673D6">
      <w:pPr>
        <w:rPr>
          <w:sz w:val="22"/>
          <w:szCs w:val="22"/>
        </w:rPr>
      </w:pPr>
    </w:p>
    <w:p w:rsidR="000673D6" w:rsidRPr="00EA0D92" w:rsidRDefault="00CA7361" w:rsidP="00CA7361">
      <w:pPr>
        <w:rPr>
          <w:sz w:val="22"/>
          <w:szCs w:val="22"/>
        </w:rPr>
      </w:pPr>
      <w:r>
        <w:rPr>
          <w:sz w:val="22"/>
          <w:szCs w:val="22"/>
        </w:rPr>
        <w:t xml:space="preserve">Cc: </w:t>
      </w:r>
      <w:r w:rsidR="000427C3" w:rsidRPr="000427C3">
        <w:rPr>
          <w:sz w:val="22"/>
          <w:szCs w:val="22"/>
        </w:rPr>
        <w:t>DEQ NWR files, ECSI# 4320</w:t>
      </w:r>
    </w:p>
    <w:p w:rsidR="006C1144" w:rsidRPr="00EA0D92" w:rsidRDefault="006C1144" w:rsidP="000673D6">
      <w:pPr>
        <w:rPr>
          <w:sz w:val="22"/>
          <w:szCs w:val="22"/>
        </w:rPr>
      </w:pPr>
    </w:p>
    <w:sectPr w:rsidR="006C1144" w:rsidRPr="00EA0D92" w:rsidSect="006C1144">
      <w:headerReference w:type="default" r:id="rId9"/>
      <w:headerReference w:type="first" r:id="rId10"/>
      <w:pgSz w:w="12240" w:h="15840" w:code="1"/>
      <w:pgMar w:top="1310" w:right="810" w:bottom="1440" w:left="1440" w:header="45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496" w:rsidRDefault="00467496">
      <w:r>
        <w:separator/>
      </w:r>
    </w:p>
  </w:endnote>
  <w:endnote w:type="continuationSeparator" w:id="0">
    <w:p w:rsidR="00467496" w:rsidRDefault="004674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496" w:rsidRDefault="00467496">
      <w:r>
        <w:separator/>
      </w:r>
    </w:p>
  </w:footnote>
  <w:footnote w:type="continuationSeparator" w:id="0">
    <w:p w:rsidR="00467496" w:rsidRDefault="004674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321" w:rsidRPr="00E76321" w:rsidRDefault="00E76321">
    <w:pPr>
      <w:pStyle w:val="Header"/>
      <w:rPr>
        <w:i/>
      </w:rPr>
    </w:pPr>
    <w:r w:rsidRPr="00E76321">
      <w:rPr>
        <w:i/>
        <w:sz w:val="22"/>
        <w:szCs w:val="22"/>
      </w:rPr>
      <w:t>Page 2- Townsend Farms Business Park, ECSI# 4230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496" w:rsidRDefault="00467496">
    <w:pPr>
      <w:pStyle w:val="Header"/>
      <w:tabs>
        <w:tab w:val="clear" w:pos="4680"/>
        <w:tab w:val="clear" w:pos="9360"/>
        <w:tab w:val="right" w:pos="11016"/>
      </w:tabs>
      <w:ind w:right="90" w:hanging="990"/>
    </w:pPr>
    <w:r>
      <w:rPr>
        <w:noProof/>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467496" w:rsidRDefault="00467496">
    <w:pPr>
      <w:pStyle w:val="Header"/>
      <w:tabs>
        <w:tab w:val="left" w:pos="5760"/>
      </w:tabs>
      <w:spacing w:before="80"/>
      <w:jc w:val="right"/>
      <w:rPr>
        <w:b/>
        <w:sz w:val="18"/>
        <w:szCs w:val="18"/>
      </w:rPr>
    </w:pPr>
    <w:r>
      <w:rPr>
        <w:rFonts w:ascii="Palatino Linotype" w:hAnsi="Palatino Linotype"/>
        <w:b/>
      </w:rPr>
      <w:t>Department of Environmental Quality</w:t>
    </w:r>
  </w:p>
  <w:p w:rsidR="00467496" w:rsidRDefault="00467496">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Northwest Region</w:t>
    </w:r>
  </w:p>
  <w:p w:rsidR="00467496" w:rsidRDefault="00467496">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700 NE Multnomah Street, Suite 600</w:t>
    </w:r>
  </w:p>
  <w:p w:rsidR="00467496" w:rsidRDefault="00467496">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97232</w:t>
    </w:r>
  </w:p>
  <w:p w:rsidR="00467496" w:rsidRDefault="00467496">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229-5263</w:t>
    </w:r>
  </w:p>
  <w:p w:rsidR="00467496" w:rsidRDefault="00467496">
    <w:pPr>
      <w:pStyle w:val="Header"/>
      <w:tabs>
        <w:tab w:val="clear" w:pos="4680"/>
        <w:tab w:val="clear" w:pos="9360"/>
        <w:tab w:val="left" w:pos="630"/>
        <w:tab w:val="right" w:pos="9990"/>
      </w:tabs>
      <w:ind w:right="-634"/>
      <w:rPr>
        <w:rFonts w:ascii="Palatino Linotype" w:hAnsi="Palatino Linotype"/>
      </w:rPr>
    </w:pPr>
    <w:r>
      <w:rPr>
        <w:rFonts w:ascii="Palatino Linotype" w:hAnsi="Palatino Linotype"/>
        <w:sz w:val="18"/>
        <w:szCs w:val="18"/>
      </w:rPr>
      <w:tab/>
    </w:r>
    <w:r>
      <w:rPr>
        <w:rFonts w:ascii="Palatino Linotype" w:hAnsi="Palatino Linotype"/>
        <w:sz w:val="18"/>
        <w:szCs w:val="18"/>
      </w:rPr>
      <w:tab/>
      <w:t>FAX (503) 229-6945</w:t>
    </w:r>
  </w:p>
  <w:p w:rsidR="00467496" w:rsidRDefault="00467496">
    <w:pPr>
      <w:pStyle w:val="Header"/>
      <w:tabs>
        <w:tab w:val="clear" w:pos="4680"/>
        <w:tab w:val="clear" w:pos="9360"/>
        <w:tab w:val="left" w:pos="630"/>
        <w:tab w:val="right" w:pos="9990"/>
      </w:tabs>
      <w:ind w:right="-634"/>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B13E9"/>
    <w:multiLevelType w:val="hybridMultilevel"/>
    <w:tmpl w:val="77AA354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CA6AAF"/>
    <w:multiLevelType w:val="hybridMultilevel"/>
    <w:tmpl w:val="504A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D57DE9"/>
    <w:multiLevelType w:val="hybridMultilevel"/>
    <w:tmpl w:val="859AFFDE"/>
    <w:lvl w:ilvl="0" w:tplc="7C343E5C">
      <w:start w:val="1"/>
      <w:numFmt w:val="decimal"/>
      <w:lvlText w:val="%1."/>
      <w:lvlJc w:val="left"/>
      <w:pPr>
        <w:ind w:left="720" w:hanging="360"/>
      </w:pPr>
      <w:rPr>
        <w:rFonts w:ascii="Times New Roman" w:eastAsia="Batang"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attachedTemplate r:id="rId1"/>
  <w:stylePaneFormatFilter w:val="1121"/>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rsids>
    <w:rsidRoot w:val="00A67D69"/>
    <w:rsid w:val="0000687E"/>
    <w:rsid w:val="00011C85"/>
    <w:rsid w:val="00026BF4"/>
    <w:rsid w:val="000427C3"/>
    <w:rsid w:val="000673D6"/>
    <w:rsid w:val="000850AF"/>
    <w:rsid w:val="0009674B"/>
    <w:rsid w:val="000A5606"/>
    <w:rsid w:val="000C6616"/>
    <w:rsid w:val="000E18C5"/>
    <w:rsid w:val="000F3365"/>
    <w:rsid w:val="00124014"/>
    <w:rsid w:val="001621AE"/>
    <w:rsid w:val="0017594E"/>
    <w:rsid w:val="001D4490"/>
    <w:rsid w:val="00245E99"/>
    <w:rsid w:val="002D3F3B"/>
    <w:rsid w:val="002D7C2E"/>
    <w:rsid w:val="00303B7A"/>
    <w:rsid w:val="00304860"/>
    <w:rsid w:val="00311E7E"/>
    <w:rsid w:val="003143A8"/>
    <w:rsid w:val="00383C15"/>
    <w:rsid w:val="003C05B3"/>
    <w:rsid w:val="003D3F01"/>
    <w:rsid w:val="00413EAA"/>
    <w:rsid w:val="0043092F"/>
    <w:rsid w:val="00450951"/>
    <w:rsid w:val="00467496"/>
    <w:rsid w:val="004D1975"/>
    <w:rsid w:val="0053076D"/>
    <w:rsid w:val="00551FC9"/>
    <w:rsid w:val="00561BC5"/>
    <w:rsid w:val="005A7EDF"/>
    <w:rsid w:val="005B17AE"/>
    <w:rsid w:val="005D1022"/>
    <w:rsid w:val="005D4D4E"/>
    <w:rsid w:val="0061663A"/>
    <w:rsid w:val="00641233"/>
    <w:rsid w:val="00652886"/>
    <w:rsid w:val="006A0133"/>
    <w:rsid w:val="006C1144"/>
    <w:rsid w:val="006F7827"/>
    <w:rsid w:val="00740615"/>
    <w:rsid w:val="007811D5"/>
    <w:rsid w:val="007C749C"/>
    <w:rsid w:val="007D27D7"/>
    <w:rsid w:val="008A1BC9"/>
    <w:rsid w:val="008A4AF2"/>
    <w:rsid w:val="008D5DA9"/>
    <w:rsid w:val="008E2B96"/>
    <w:rsid w:val="009243D4"/>
    <w:rsid w:val="00990E9E"/>
    <w:rsid w:val="009E6700"/>
    <w:rsid w:val="00A55775"/>
    <w:rsid w:val="00A67D69"/>
    <w:rsid w:val="00A77882"/>
    <w:rsid w:val="00A858E7"/>
    <w:rsid w:val="00A8659D"/>
    <w:rsid w:val="00B63D88"/>
    <w:rsid w:val="00BC3FEB"/>
    <w:rsid w:val="00C12F5E"/>
    <w:rsid w:val="00C26497"/>
    <w:rsid w:val="00C37C4A"/>
    <w:rsid w:val="00C53C7C"/>
    <w:rsid w:val="00C81CFD"/>
    <w:rsid w:val="00CA7361"/>
    <w:rsid w:val="00CE6149"/>
    <w:rsid w:val="00CF0673"/>
    <w:rsid w:val="00D0799C"/>
    <w:rsid w:val="00D36FC1"/>
    <w:rsid w:val="00DB1070"/>
    <w:rsid w:val="00DC4366"/>
    <w:rsid w:val="00E236E2"/>
    <w:rsid w:val="00E56FAB"/>
    <w:rsid w:val="00E76321"/>
    <w:rsid w:val="00EA0D92"/>
    <w:rsid w:val="00F21D83"/>
    <w:rsid w:val="00F44483"/>
    <w:rsid w:val="00F57531"/>
    <w:rsid w:val="00F927AC"/>
    <w:rsid w:val="00FC06A0"/>
    <w:rsid w:val="00FC4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D6"/>
    <w:pPr>
      <w:spacing w:after="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6C1144"/>
    <w:rPr>
      <w:rFonts w:ascii="Arial Black" w:hAnsi="Arial Black"/>
      <w:spacing w:val="-6"/>
      <w:w w:val="90"/>
      <w:kern w:val="40"/>
      <w:sz w:val="40"/>
    </w:rPr>
  </w:style>
  <w:style w:type="character" w:customStyle="1" w:styleId="Item">
    <w:name w:val="Item"/>
    <w:uiPriority w:val="1"/>
    <w:qFormat/>
    <w:rsid w:val="006C1144"/>
    <w:rPr>
      <w:rFonts w:ascii="Trebuchet MS" w:hAnsi="Trebuchet MS"/>
      <w:b/>
      <w:sz w:val="22"/>
    </w:rPr>
  </w:style>
  <w:style w:type="paragraph" w:customStyle="1" w:styleId="NormalTable">
    <w:name w:val="NormalTable"/>
    <w:basedOn w:val="Normal"/>
    <w:qFormat/>
    <w:rsid w:val="006C1144"/>
  </w:style>
  <w:style w:type="character" w:customStyle="1" w:styleId="Label">
    <w:name w:val="Label"/>
    <w:basedOn w:val="DefaultParagraphFont"/>
    <w:uiPriority w:val="1"/>
    <w:qFormat/>
    <w:rsid w:val="006C1144"/>
    <w:rPr>
      <w:rFonts w:ascii="Trebuchet MS" w:hAnsi="Trebuchet MS"/>
      <w:sz w:val="16"/>
    </w:rPr>
  </w:style>
  <w:style w:type="paragraph" w:customStyle="1" w:styleId="Head">
    <w:name w:val="Head"/>
    <w:basedOn w:val="Normal"/>
    <w:qFormat/>
    <w:rsid w:val="006C1144"/>
    <w:rPr>
      <w:b/>
      <w:sz w:val="24"/>
      <w:u w:val="single"/>
    </w:rPr>
  </w:style>
  <w:style w:type="paragraph" w:styleId="Header">
    <w:name w:val="header"/>
    <w:basedOn w:val="Normal"/>
    <w:link w:val="HeaderChar"/>
    <w:unhideWhenUsed/>
    <w:rsid w:val="006C1144"/>
    <w:pPr>
      <w:tabs>
        <w:tab w:val="center" w:pos="4680"/>
        <w:tab w:val="right" w:pos="9360"/>
      </w:tabs>
    </w:pPr>
  </w:style>
  <w:style w:type="character" w:customStyle="1" w:styleId="HeaderChar">
    <w:name w:val="Header Char"/>
    <w:basedOn w:val="DefaultParagraphFont"/>
    <w:link w:val="Header"/>
    <w:rsid w:val="006C1144"/>
    <w:rPr>
      <w:rFonts w:ascii="Times New Roman" w:hAnsi="Times New Roman"/>
    </w:rPr>
  </w:style>
  <w:style w:type="paragraph" w:styleId="Footer">
    <w:name w:val="footer"/>
    <w:basedOn w:val="Normal"/>
    <w:link w:val="FooterChar"/>
    <w:uiPriority w:val="99"/>
    <w:semiHidden/>
    <w:unhideWhenUsed/>
    <w:rsid w:val="006C1144"/>
    <w:pPr>
      <w:tabs>
        <w:tab w:val="center" w:pos="4680"/>
        <w:tab w:val="right" w:pos="9360"/>
      </w:tabs>
    </w:pPr>
  </w:style>
  <w:style w:type="character" w:customStyle="1" w:styleId="FooterChar">
    <w:name w:val="Footer Char"/>
    <w:basedOn w:val="DefaultParagraphFont"/>
    <w:link w:val="Footer"/>
    <w:uiPriority w:val="99"/>
    <w:semiHidden/>
    <w:rsid w:val="006C1144"/>
    <w:rPr>
      <w:rFonts w:ascii="Times New Roman" w:hAnsi="Times New Roman"/>
    </w:rPr>
  </w:style>
  <w:style w:type="paragraph" w:styleId="BalloonText">
    <w:name w:val="Balloon Text"/>
    <w:basedOn w:val="Normal"/>
    <w:link w:val="BalloonTextChar"/>
    <w:uiPriority w:val="99"/>
    <w:semiHidden/>
    <w:unhideWhenUsed/>
    <w:rsid w:val="006C1144"/>
    <w:rPr>
      <w:rFonts w:ascii="Tahoma" w:hAnsi="Tahoma" w:cs="Tahoma"/>
      <w:sz w:val="16"/>
      <w:szCs w:val="16"/>
    </w:rPr>
  </w:style>
  <w:style w:type="character" w:customStyle="1" w:styleId="BalloonTextChar">
    <w:name w:val="Balloon Text Char"/>
    <w:basedOn w:val="DefaultParagraphFont"/>
    <w:link w:val="BalloonText"/>
    <w:uiPriority w:val="99"/>
    <w:semiHidden/>
    <w:rsid w:val="006C1144"/>
    <w:rPr>
      <w:rFonts w:ascii="Tahoma" w:hAnsi="Tahoma" w:cs="Tahoma"/>
      <w:sz w:val="16"/>
      <w:szCs w:val="16"/>
    </w:rPr>
  </w:style>
  <w:style w:type="paragraph" w:styleId="CommentText">
    <w:name w:val="annotation text"/>
    <w:basedOn w:val="Normal"/>
    <w:link w:val="CommentTextChar"/>
    <w:uiPriority w:val="99"/>
    <w:semiHidden/>
    <w:rsid w:val="000673D6"/>
    <w:rPr>
      <w:sz w:val="24"/>
    </w:rPr>
  </w:style>
  <w:style w:type="character" w:customStyle="1" w:styleId="CommentTextChar">
    <w:name w:val="Comment Text Char"/>
    <w:basedOn w:val="DefaultParagraphFont"/>
    <w:link w:val="CommentText"/>
    <w:uiPriority w:val="99"/>
    <w:semiHidden/>
    <w:rsid w:val="000673D6"/>
    <w:rPr>
      <w:rFonts w:ascii="Times New Roman" w:eastAsia="Times New Roman" w:hAnsi="Times New Roman" w:cs="Times New Roman"/>
      <w:sz w:val="24"/>
      <w:szCs w:val="20"/>
    </w:rPr>
  </w:style>
  <w:style w:type="paragraph" w:customStyle="1" w:styleId="ParaAttribute7">
    <w:name w:val="ParaAttribute7"/>
    <w:rsid w:val="00C53C7C"/>
    <w:pPr>
      <w:tabs>
        <w:tab w:val="left" w:pos="-1440"/>
        <w:tab w:val="left" w:pos="-720"/>
      </w:tabs>
      <w:spacing w:after="0"/>
    </w:pPr>
    <w:rPr>
      <w:rFonts w:ascii="Times New Roman" w:eastAsia="Batang" w:hAnsi="Times New Roman" w:cs="Times New Roman"/>
      <w:sz w:val="20"/>
      <w:szCs w:val="20"/>
    </w:rPr>
  </w:style>
  <w:style w:type="character" w:customStyle="1" w:styleId="CharAttribute1">
    <w:name w:val="CharAttribute1"/>
    <w:rsid w:val="00C53C7C"/>
    <w:rPr>
      <w:rFonts w:ascii="Times New Roman" w:eastAsia="Times New Roman"/>
    </w:rPr>
  </w:style>
  <w:style w:type="paragraph" w:customStyle="1" w:styleId="ParaAttribute8">
    <w:name w:val="ParaAttribute8"/>
    <w:rsid w:val="00C53C7C"/>
    <w:pPr>
      <w:spacing w:after="0"/>
    </w:pPr>
    <w:rPr>
      <w:rFonts w:ascii="Times New Roman" w:eastAsia="Batang" w:hAnsi="Times New Roman" w:cs="Times New Roman"/>
      <w:sz w:val="20"/>
      <w:szCs w:val="20"/>
    </w:rPr>
  </w:style>
  <w:style w:type="paragraph" w:styleId="ListParagraph">
    <w:name w:val="List Paragraph"/>
    <w:basedOn w:val="Normal"/>
    <w:uiPriority w:val="34"/>
    <w:qFormat/>
    <w:rsid w:val="00C53C7C"/>
    <w:pPr>
      <w:ind w:left="720"/>
    </w:pPr>
    <w:rPr>
      <w:rFonts w:ascii="Calibri" w:eastAsiaTheme="minorHAnsi" w:hAnsi="Calibri"/>
      <w:sz w:val="22"/>
      <w:szCs w:val="22"/>
    </w:rPr>
  </w:style>
  <w:style w:type="character" w:styleId="Hyperlink">
    <w:name w:val="Hyperlink"/>
    <w:basedOn w:val="DefaultParagraphFont"/>
    <w:uiPriority w:val="99"/>
    <w:rsid w:val="00DC4366"/>
    <w:rPr>
      <w:color w:val="0000FF"/>
      <w:u w:val="single"/>
    </w:rPr>
  </w:style>
  <w:style w:type="character" w:styleId="CommentReference">
    <w:name w:val="annotation reference"/>
    <w:basedOn w:val="DefaultParagraphFont"/>
    <w:uiPriority w:val="99"/>
    <w:semiHidden/>
    <w:unhideWhenUsed/>
    <w:rsid w:val="00DC4366"/>
    <w:rPr>
      <w:sz w:val="16"/>
      <w:szCs w:val="16"/>
    </w:rPr>
  </w:style>
  <w:style w:type="character" w:styleId="FollowedHyperlink">
    <w:name w:val="FollowedHyperlink"/>
    <w:basedOn w:val="DefaultParagraphFont"/>
    <w:uiPriority w:val="99"/>
    <w:semiHidden/>
    <w:unhideWhenUsed/>
    <w:rsid w:val="00DC436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50951"/>
    <w:rPr>
      <w:b/>
      <w:bCs/>
      <w:sz w:val="20"/>
    </w:rPr>
  </w:style>
  <w:style w:type="character" w:customStyle="1" w:styleId="CommentSubjectChar">
    <w:name w:val="Comment Subject Char"/>
    <w:basedOn w:val="CommentTextChar"/>
    <w:link w:val="CommentSubject"/>
    <w:uiPriority w:val="99"/>
    <w:semiHidden/>
    <w:rsid w:val="00450951"/>
    <w:rPr>
      <w:b/>
      <w:bCs/>
      <w:sz w:val="20"/>
    </w:rPr>
  </w:style>
</w:styles>
</file>

<file path=word/webSettings.xml><?xml version="1.0" encoding="utf-8"?>
<w:webSettings xmlns:r="http://schemas.openxmlformats.org/officeDocument/2006/relationships" xmlns:w="http://schemas.openxmlformats.org/wordprocessingml/2006/main">
  <w:divs>
    <w:div w:id="80375514">
      <w:bodyDiv w:val="1"/>
      <w:marLeft w:val="0"/>
      <w:marRight w:val="0"/>
      <w:marTop w:val="0"/>
      <w:marBottom w:val="0"/>
      <w:divBdr>
        <w:top w:val="none" w:sz="0" w:space="0" w:color="auto"/>
        <w:left w:val="none" w:sz="0" w:space="0" w:color="auto"/>
        <w:bottom w:val="none" w:sz="0" w:space="0" w:color="auto"/>
        <w:right w:val="none" w:sz="0" w:space="0" w:color="auto"/>
      </w:divBdr>
    </w:div>
    <w:div w:id="135268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NWR1\templates\DEQ%20Letterheads\NWR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F1E54-3CE5-4DC2-B91C-924B2EFE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NWR_Letterhead.dotx</Template>
  <TotalTime>16</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pseidel</dc:creator>
  <cp:lastModifiedBy>pseidel</cp:lastModifiedBy>
  <cp:revision>13</cp:revision>
  <cp:lastPrinted>2016-09-29T16:54:00Z</cp:lastPrinted>
  <dcterms:created xsi:type="dcterms:W3CDTF">2016-09-26T18:26:00Z</dcterms:created>
  <dcterms:modified xsi:type="dcterms:W3CDTF">2016-09-29T16:57:00Z</dcterms:modified>
</cp:coreProperties>
</file>