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FA" w:rsidRPr="007F48A9" w:rsidRDefault="009272FA" w:rsidP="009272FA">
      <w:pPr>
        <w:rPr>
          <w:sz w:val="24"/>
          <w:szCs w:val="24"/>
        </w:rPr>
      </w:pPr>
      <w:r w:rsidRPr="007F48A9">
        <w:rPr>
          <w:sz w:val="24"/>
          <w:szCs w:val="24"/>
        </w:rPr>
        <w:t>September 2</w:t>
      </w:r>
      <w:r w:rsidR="007F48A9" w:rsidRPr="007F48A9">
        <w:rPr>
          <w:sz w:val="24"/>
          <w:szCs w:val="24"/>
        </w:rPr>
        <w:t>4,</w:t>
      </w:r>
      <w:r w:rsidRPr="007F48A9">
        <w:rPr>
          <w:sz w:val="24"/>
          <w:szCs w:val="24"/>
        </w:rPr>
        <w:t xml:space="preserve"> 2015</w:t>
      </w:r>
    </w:p>
    <w:p w:rsidR="009272FA" w:rsidRPr="007F48A9" w:rsidRDefault="009272FA" w:rsidP="009272FA">
      <w:pPr>
        <w:rPr>
          <w:sz w:val="24"/>
          <w:szCs w:val="24"/>
        </w:rPr>
      </w:pPr>
    </w:p>
    <w:p w:rsidR="009272FA" w:rsidRPr="007F48A9" w:rsidRDefault="009272FA" w:rsidP="009272FA">
      <w:pPr>
        <w:rPr>
          <w:sz w:val="24"/>
          <w:szCs w:val="24"/>
        </w:rPr>
      </w:pPr>
      <w:r w:rsidRPr="007F48A9">
        <w:rPr>
          <w:sz w:val="24"/>
          <w:szCs w:val="24"/>
        </w:rPr>
        <w:t xml:space="preserve">Scott Baker </w:t>
      </w:r>
    </w:p>
    <w:p w:rsidR="009272FA" w:rsidRPr="007F48A9" w:rsidRDefault="009272FA" w:rsidP="009272FA">
      <w:pPr>
        <w:rPr>
          <w:sz w:val="24"/>
          <w:szCs w:val="24"/>
        </w:rPr>
      </w:pPr>
      <w:r w:rsidRPr="007F48A9">
        <w:rPr>
          <w:sz w:val="24"/>
          <w:szCs w:val="24"/>
        </w:rPr>
        <w:t>Aircraft Services International Group</w:t>
      </w:r>
    </w:p>
    <w:p w:rsidR="009272FA" w:rsidRPr="007F48A9" w:rsidRDefault="009272FA" w:rsidP="009272FA">
      <w:pPr>
        <w:rPr>
          <w:sz w:val="24"/>
          <w:szCs w:val="24"/>
        </w:rPr>
      </w:pPr>
      <w:r w:rsidRPr="007F48A9">
        <w:rPr>
          <w:sz w:val="24"/>
          <w:szCs w:val="24"/>
        </w:rPr>
        <w:t>8133 NE Air Trans Way</w:t>
      </w:r>
    </w:p>
    <w:p w:rsidR="009272FA" w:rsidRPr="007F48A9" w:rsidRDefault="009272FA" w:rsidP="009272FA">
      <w:pPr>
        <w:rPr>
          <w:sz w:val="24"/>
          <w:szCs w:val="24"/>
        </w:rPr>
      </w:pPr>
      <w:r w:rsidRPr="007F48A9">
        <w:rPr>
          <w:sz w:val="24"/>
          <w:szCs w:val="24"/>
        </w:rPr>
        <w:t>Portland, OR 97218</w:t>
      </w:r>
    </w:p>
    <w:p w:rsidR="008B063D" w:rsidRPr="007F48A9" w:rsidRDefault="008B063D" w:rsidP="009272FA">
      <w:pPr>
        <w:rPr>
          <w:sz w:val="24"/>
          <w:szCs w:val="24"/>
        </w:rPr>
      </w:pPr>
    </w:p>
    <w:p w:rsidR="008B063D" w:rsidRPr="007F48A9" w:rsidRDefault="009272FA" w:rsidP="009272FA">
      <w:pPr>
        <w:ind w:left="720" w:hanging="720"/>
        <w:rPr>
          <w:sz w:val="24"/>
          <w:szCs w:val="24"/>
        </w:rPr>
      </w:pPr>
      <w:r w:rsidRPr="007F48A9">
        <w:rPr>
          <w:sz w:val="24"/>
          <w:szCs w:val="24"/>
        </w:rPr>
        <w:t>RE:</w:t>
      </w:r>
      <w:r w:rsidRPr="007F48A9">
        <w:rPr>
          <w:sz w:val="24"/>
          <w:szCs w:val="24"/>
        </w:rPr>
        <w:tab/>
      </w:r>
      <w:r w:rsidR="008B063D" w:rsidRPr="007F48A9">
        <w:rPr>
          <w:i/>
          <w:sz w:val="24"/>
          <w:szCs w:val="24"/>
        </w:rPr>
        <w:t>Response to (DEQ) Review Letter of Summary Report</w:t>
      </w:r>
      <w:r w:rsidR="008B063D" w:rsidRPr="007F48A9">
        <w:rPr>
          <w:sz w:val="24"/>
          <w:szCs w:val="24"/>
        </w:rPr>
        <w:t xml:space="preserve"> dated July 20, 2015</w:t>
      </w:r>
      <w:r w:rsidR="006C026E" w:rsidRPr="007F48A9">
        <w:rPr>
          <w:sz w:val="24"/>
          <w:szCs w:val="24"/>
        </w:rPr>
        <w:t xml:space="preserve"> </w:t>
      </w:r>
      <w:r w:rsidR="00CD224C" w:rsidRPr="007F48A9">
        <w:rPr>
          <w:sz w:val="24"/>
          <w:szCs w:val="24"/>
        </w:rPr>
        <w:t xml:space="preserve">and </w:t>
      </w:r>
      <w:r w:rsidR="002F7F2F" w:rsidRPr="007F48A9">
        <w:rPr>
          <w:sz w:val="24"/>
          <w:szCs w:val="24"/>
        </w:rPr>
        <w:t xml:space="preserve">discussion of data needs for project closure. </w:t>
      </w:r>
    </w:p>
    <w:p w:rsidR="009272FA" w:rsidRPr="007F48A9" w:rsidRDefault="008B063D" w:rsidP="002F7F2F">
      <w:pPr>
        <w:ind w:left="720"/>
        <w:rPr>
          <w:sz w:val="24"/>
          <w:szCs w:val="24"/>
        </w:rPr>
      </w:pPr>
      <w:proofErr w:type="gramStart"/>
      <w:r w:rsidRPr="007F48A9">
        <w:rPr>
          <w:sz w:val="24"/>
          <w:szCs w:val="24"/>
        </w:rPr>
        <w:t>ASIG</w:t>
      </w:r>
      <w:r w:rsidR="009272FA" w:rsidRPr="007F48A9">
        <w:rPr>
          <w:sz w:val="24"/>
          <w:szCs w:val="24"/>
        </w:rPr>
        <w:t xml:space="preserve"> Bulk Fuel Storage Facility</w:t>
      </w:r>
      <w:r w:rsidR="00731B9E" w:rsidRPr="007F48A9">
        <w:rPr>
          <w:sz w:val="24"/>
          <w:szCs w:val="24"/>
        </w:rPr>
        <w:t>,</w:t>
      </w:r>
      <w:r w:rsidR="009272FA" w:rsidRPr="007F48A9">
        <w:rPr>
          <w:sz w:val="24"/>
          <w:szCs w:val="24"/>
        </w:rPr>
        <w:t xml:space="preserve"> Portland International Airport.</w:t>
      </w:r>
      <w:proofErr w:type="gramEnd"/>
      <w:r w:rsidR="009272FA" w:rsidRPr="007F48A9">
        <w:rPr>
          <w:sz w:val="24"/>
          <w:szCs w:val="24"/>
        </w:rPr>
        <w:t xml:space="preserve"> ECSI # 1832/5848</w:t>
      </w:r>
    </w:p>
    <w:p w:rsidR="009272FA" w:rsidRPr="007F48A9" w:rsidRDefault="009272FA" w:rsidP="009272FA">
      <w:pPr>
        <w:ind w:left="720"/>
        <w:rPr>
          <w:sz w:val="24"/>
          <w:szCs w:val="24"/>
        </w:rPr>
      </w:pPr>
    </w:p>
    <w:p w:rsidR="009272FA" w:rsidRPr="007F48A9" w:rsidRDefault="009272FA" w:rsidP="009272FA">
      <w:pPr>
        <w:rPr>
          <w:sz w:val="24"/>
          <w:szCs w:val="24"/>
        </w:rPr>
      </w:pPr>
      <w:r w:rsidRPr="007F48A9">
        <w:rPr>
          <w:sz w:val="24"/>
          <w:szCs w:val="24"/>
        </w:rPr>
        <w:t>Dear Mr. Baker:</w:t>
      </w:r>
    </w:p>
    <w:p w:rsidR="009272FA" w:rsidRPr="007F48A9" w:rsidRDefault="009272FA" w:rsidP="009272FA">
      <w:pPr>
        <w:rPr>
          <w:sz w:val="24"/>
          <w:szCs w:val="24"/>
        </w:rPr>
      </w:pPr>
    </w:p>
    <w:p w:rsidR="002F7F2F" w:rsidRPr="007F48A9" w:rsidRDefault="009272FA" w:rsidP="002F7F2F">
      <w:pPr>
        <w:rPr>
          <w:sz w:val="24"/>
          <w:szCs w:val="24"/>
        </w:rPr>
      </w:pPr>
      <w:r w:rsidRPr="007F48A9">
        <w:rPr>
          <w:sz w:val="24"/>
          <w:szCs w:val="24"/>
        </w:rPr>
        <w:t xml:space="preserve">DEQ </w:t>
      </w:r>
      <w:r w:rsidR="00731B9E" w:rsidRPr="007F48A9">
        <w:rPr>
          <w:sz w:val="24"/>
          <w:szCs w:val="24"/>
        </w:rPr>
        <w:t xml:space="preserve">reviewed and has a number of </w:t>
      </w:r>
      <w:r w:rsidR="002F7F2F" w:rsidRPr="007F48A9">
        <w:rPr>
          <w:sz w:val="24"/>
          <w:szCs w:val="24"/>
        </w:rPr>
        <w:t>comments</w:t>
      </w:r>
      <w:r w:rsidR="00E36072" w:rsidRPr="007F48A9">
        <w:rPr>
          <w:sz w:val="24"/>
          <w:szCs w:val="24"/>
        </w:rPr>
        <w:t xml:space="preserve"> on</w:t>
      </w:r>
      <w:r w:rsidRPr="007F48A9">
        <w:rPr>
          <w:sz w:val="24"/>
          <w:szCs w:val="24"/>
        </w:rPr>
        <w:t xml:space="preserve"> the </w:t>
      </w:r>
      <w:r w:rsidR="002F7F2F" w:rsidRPr="007F48A9">
        <w:rPr>
          <w:sz w:val="24"/>
          <w:szCs w:val="24"/>
        </w:rPr>
        <w:t>following document</w:t>
      </w:r>
      <w:r w:rsidR="00487B29" w:rsidRPr="007F48A9">
        <w:rPr>
          <w:sz w:val="24"/>
          <w:szCs w:val="24"/>
        </w:rPr>
        <w:t xml:space="preserve"> written on your behalf by Advanced Remediation Technologies, Inc. (ART):</w:t>
      </w:r>
      <w:r w:rsidR="00EB5242" w:rsidRPr="007F48A9">
        <w:rPr>
          <w:sz w:val="24"/>
          <w:szCs w:val="24"/>
        </w:rPr>
        <w:t xml:space="preserve"> </w:t>
      </w:r>
      <w:r w:rsidR="002F7F2F" w:rsidRPr="007F48A9">
        <w:rPr>
          <w:i/>
          <w:sz w:val="24"/>
          <w:szCs w:val="24"/>
        </w:rPr>
        <w:t>Response to (DEQ) Review Letter of Summary Report</w:t>
      </w:r>
      <w:r w:rsidR="002F7F2F" w:rsidRPr="007F48A9">
        <w:rPr>
          <w:sz w:val="24"/>
          <w:szCs w:val="24"/>
        </w:rPr>
        <w:t>, dated July 20, 2015.</w:t>
      </w:r>
      <w:r w:rsidR="00731B9E" w:rsidRPr="007F48A9">
        <w:rPr>
          <w:sz w:val="24"/>
          <w:szCs w:val="24"/>
        </w:rPr>
        <w:t xml:space="preserve">  Comments are presented below for your consideration.</w:t>
      </w:r>
    </w:p>
    <w:p w:rsidR="00487B29" w:rsidRPr="007F48A9" w:rsidRDefault="00487B29" w:rsidP="009272FA">
      <w:pPr>
        <w:rPr>
          <w:sz w:val="24"/>
          <w:szCs w:val="24"/>
        </w:rPr>
      </w:pPr>
    </w:p>
    <w:p w:rsidR="009272FA" w:rsidRPr="007F48A9" w:rsidRDefault="009272FA" w:rsidP="009272FA">
      <w:pPr>
        <w:rPr>
          <w:sz w:val="24"/>
          <w:szCs w:val="24"/>
        </w:rPr>
      </w:pPr>
      <w:r w:rsidRPr="007F48A9">
        <w:rPr>
          <w:sz w:val="24"/>
          <w:szCs w:val="24"/>
        </w:rPr>
        <w:t>In a 2002 letter, DEQ provided the following concerns to be addressed at the Bulk Fuel Storage Facility:</w:t>
      </w:r>
    </w:p>
    <w:p w:rsidR="009272FA" w:rsidRPr="007F48A9" w:rsidRDefault="009272FA" w:rsidP="009272FA">
      <w:pPr>
        <w:numPr>
          <w:ilvl w:val="0"/>
          <w:numId w:val="1"/>
        </w:numPr>
        <w:rPr>
          <w:sz w:val="24"/>
          <w:szCs w:val="24"/>
        </w:rPr>
      </w:pPr>
      <w:r w:rsidRPr="007F48A9">
        <w:rPr>
          <w:sz w:val="24"/>
          <w:szCs w:val="24"/>
        </w:rPr>
        <w:t xml:space="preserve">The Bulk Fuel Facility has not had a complete site characterization, preliminary assessment (PA) or DEQ-approved cleanup performed. </w:t>
      </w:r>
    </w:p>
    <w:p w:rsidR="009272FA" w:rsidRPr="007F48A9" w:rsidRDefault="009272FA" w:rsidP="009272FA">
      <w:pPr>
        <w:numPr>
          <w:ilvl w:val="0"/>
          <w:numId w:val="1"/>
        </w:numPr>
        <w:rPr>
          <w:sz w:val="24"/>
          <w:szCs w:val="24"/>
        </w:rPr>
      </w:pPr>
      <w:r w:rsidRPr="007F48A9">
        <w:rPr>
          <w:sz w:val="24"/>
          <w:szCs w:val="24"/>
        </w:rPr>
        <w:t>There is inadequate data available to assess potential threats to surface waters or exposure to site/maintenance/utility workers from the remaining contamination.</w:t>
      </w:r>
    </w:p>
    <w:p w:rsidR="009272FA" w:rsidRPr="007F48A9" w:rsidRDefault="009272FA" w:rsidP="009272FA">
      <w:pPr>
        <w:numPr>
          <w:ilvl w:val="0"/>
          <w:numId w:val="1"/>
        </w:numPr>
        <w:rPr>
          <w:sz w:val="24"/>
          <w:szCs w:val="24"/>
        </w:rPr>
      </w:pPr>
      <w:r w:rsidRPr="007F48A9">
        <w:rPr>
          <w:sz w:val="24"/>
          <w:szCs w:val="24"/>
        </w:rPr>
        <w:t>Our records indicate that there are still several areas</w:t>
      </w:r>
      <w:r w:rsidR="00F35D24" w:rsidRPr="007F48A9">
        <w:rPr>
          <w:sz w:val="24"/>
          <w:szCs w:val="24"/>
        </w:rPr>
        <w:t xml:space="preserve"> on the site where jet fuel contamination </w:t>
      </w:r>
      <w:r w:rsidRPr="007F48A9">
        <w:rPr>
          <w:sz w:val="24"/>
          <w:szCs w:val="24"/>
        </w:rPr>
        <w:t xml:space="preserve">remains from the </w:t>
      </w:r>
      <w:r w:rsidR="00F35D24" w:rsidRPr="007F48A9">
        <w:rPr>
          <w:sz w:val="24"/>
          <w:szCs w:val="24"/>
        </w:rPr>
        <w:t>pre-1989 pipeline release, the</w:t>
      </w:r>
      <w:r w:rsidRPr="007F48A9">
        <w:rPr>
          <w:sz w:val="24"/>
          <w:szCs w:val="24"/>
        </w:rPr>
        <w:t xml:space="preserve"> 1992 </w:t>
      </w:r>
      <w:r w:rsidR="00F35D24" w:rsidRPr="007F48A9">
        <w:rPr>
          <w:sz w:val="24"/>
          <w:szCs w:val="24"/>
        </w:rPr>
        <w:t>surface release</w:t>
      </w:r>
      <w:r w:rsidRPr="007F48A9">
        <w:rPr>
          <w:sz w:val="24"/>
          <w:szCs w:val="24"/>
        </w:rPr>
        <w:t xml:space="preserve"> and </w:t>
      </w:r>
      <w:r w:rsidR="000B0DAA" w:rsidRPr="007F48A9">
        <w:rPr>
          <w:sz w:val="24"/>
          <w:szCs w:val="24"/>
        </w:rPr>
        <w:t>an</w:t>
      </w:r>
      <w:r w:rsidR="00F35D24" w:rsidRPr="007F48A9">
        <w:rPr>
          <w:sz w:val="24"/>
          <w:szCs w:val="24"/>
        </w:rPr>
        <w:t xml:space="preserve"> </w:t>
      </w:r>
      <w:r w:rsidRPr="007F48A9">
        <w:rPr>
          <w:sz w:val="24"/>
          <w:szCs w:val="24"/>
        </w:rPr>
        <w:t xml:space="preserve">underground </w:t>
      </w:r>
      <w:r w:rsidR="00F35D24" w:rsidRPr="007F48A9">
        <w:rPr>
          <w:sz w:val="24"/>
          <w:szCs w:val="24"/>
        </w:rPr>
        <w:t xml:space="preserve">storage </w:t>
      </w:r>
      <w:r w:rsidRPr="007F48A9">
        <w:rPr>
          <w:sz w:val="24"/>
          <w:szCs w:val="24"/>
        </w:rPr>
        <w:t xml:space="preserve">tank </w:t>
      </w:r>
      <w:r w:rsidR="007A2071" w:rsidRPr="007F48A9">
        <w:rPr>
          <w:sz w:val="24"/>
          <w:szCs w:val="24"/>
        </w:rPr>
        <w:t xml:space="preserve">release </w:t>
      </w:r>
      <w:r w:rsidRPr="007F48A9">
        <w:rPr>
          <w:sz w:val="24"/>
          <w:szCs w:val="24"/>
        </w:rPr>
        <w:t xml:space="preserve">in 1995.  </w:t>
      </w:r>
    </w:p>
    <w:p w:rsidR="009272FA" w:rsidRPr="007F48A9" w:rsidRDefault="009272FA" w:rsidP="009272FA">
      <w:pPr>
        <w:rPr>
          <w:sz w:val="24"/>
          <w:szCs w:val="24"/>
        </w:rPr>
      </w:pPr>
    </w:p>
    <w:p w:rsidR="009272FA" w:rsidRPr="007F48A9" w:rsidRDefault="009272FA" w:rsidP="009272FA">
      <w:pPr>
        <w:rPr>
          <w:sz w:val="24"/>
          <w:szCs w:val="24"/>
        </w:rPr>
      </w:pPr>
      <w:r w:rsidRPr="007F48A9">
        <w:rPr>
          <w:sz w:val="24"/>
          <w:szCs w:val="24"/>
        </w:rPr>
        <w:t>Following this 2002 letter from DEQ, groundwater was sampled from all nine monitoring wells in March 2003 but no additional site investigation work was performed until November 2012. The work performed by ART on November 26 and December 27, 2012 included: installation of thee direct push borings at the margin of the 10,000-gallon UST excavation and the collection of subsurface soil samples, groundwater monitoring and sampling from all nine site monitoring wells, surveying of relative wellhead elevations, and presentation of existing site data into a summary report</w:t>
      </w:r>
      <w:r w:rsidR="00731B9E" w:rsidRPr="007F48A9">
        <w:rPr>
          <w:sz w:val="24"/>
          <w:szCs w:val="24"/>
        </w:rPr>
        <w:t xml:space="preserve"> submitted to DEQ</w:t>
      </w:r>
      <w:r w:rsidRPr="007F48A9">
        <w:rPr>
          <w:sz w:val="24"/>
          <w:szCs w:val="24"/>
        </w:rPr>
        <w:t>. This 2012 fieldw</w:t>
      </w:r>
      <w:r w:rsidR="007A2071" w:rsidRPr="007F48A9">
        <w:rPr>
          <w:sz w:val="24"/>
          <w:szCs w:val="24"/>
        </w:rPr>
        <w:t xml:space="preserve">ork described in the March 2014 </w:t>
      </w:r>
      <w:r w:rsidR="00745340" w:rsidRPr="007F48A9">
        <w:rPr>
          <w:i/>
          <w:sz w:val="24"/>
          <w:szCs w:val="24"/>
        </w:rPr>
        <w:t>Summary Report</w:t>
      </w:r>
      <w:r w:rsidRPr="007F48A9">
        <w:rPr>
          <w:sz w:val="24"/>
          <w:szCs w:val="24"/>
        </w:rPr>
        <w:t xml:space="preserve"> was partially responsive to DEQ’s 2002 concerns. </w:t>
      </w:r>
    </w:p>
    <w:p w:rsidR="00662C20" w:rsidRPr="007F48A9" w:rsidRDefault="00662C20" w:rsidP="009272FA">
      <w:pPr>
        <w:rPr>
          <w:sz w:val="24"/>
          <w:szCs w:val="24"/>
        </w:rPr>
      </w:pPr>
    </w:p>
    <w:p w:rsidR="009272FA" w:rsidRPr="007F48A9" w:rsidRDefault="009272FA" w:rsidP="009272FA">
      <w:pPr>
        <w:tabs>
          <w:tab w:val="left" w:pos="-720"/>
        </w:tabs>
        <w:suppressAutoHyphens/>
        <w:ind w:right="432"/>
        <w:jc w:val="both"/>
        <w:rPr>
          <w:sz w:val="24"/>
          <w:szCs w:val="24"/>
          <w:u w:val="single"/>
        </w:rPr>
      </w:pPr>
      <w:r w:rsidRPr="007F48A9">
        <w:rPr>
          <w:sz w:val="24"/>
          <w:szCs w:val="24"/>
          <w:u w:val="single"/>
        </w:rPr>
        <w:t>Site Investigation/Cleanup History</w:t>
      </w:r>
    </w:p>
    <w:p w:rsidR="00CA4577" w:rsidRPr="007F48A9" w:rsidRDefault="002F7F2F" w:rsidP="002F7F2F">
      <w:pPr>
        <w:tabs>
          <w:tab w:val="left" w:pos="-720"/>
        </w:tabs>
        <w:suppressAutoHyphens/>
        <w:ind w:right="432"/>
        <w:jc w:val="both"/>
        <w:rPr>
          <w:b/>
          <w:sz w:val="24"/>
          <w:szCs w:val="24"/>
          <w:u w:val="single"/>
        </w:rPr>
      </w:pPr>
      <w:r w:rsidRPr="007F48A9">
        <w:rPr>
          <w:sz w:val="24"/>
          <w:szCs w:val="24"/>
        </w:rPr>
        <w:t>What follows is</w:t>
      </w:r>
      <w:r w:rsidR="00CA4577" w:rsidRPr="007F48A9">
        <w:rPr>
          <w:sz w:val="24"/>
          <w:szCs w:val="24"/>
        </w:rPr>
        <w:t xml:space="preserve"> </w:t>
      </w:r>
      <w:proofErr w:type="gramStart"/>
      <w:r w:rsidR="00CA4577" w:rsidRPr="007F48A9">
        <w:rPr>
          <w:sz w:val="24"/>
          <w:szCs w:val="24"/>
        </w:rPr>
        <w:t>DEQ’s understanding</w:t>
      </w:r>
      <w:proofErr w:type="gramEnd"/>
      <w:r w:rsidR="00CA4577" w:rsidRPr="007F48A9">
        <w:rPr>
          <w:sz w:val="24"/>
          <w:szCs w:val="24"/>
        </w:rPr>
        <w:t xml:space="preserve"> of the site investigation and cleanup history.</w:t>
      </w:r>
      <w:r w:rsidRPr="007F48A9">
        <w:rPr>
          <w:b/>
          <w:sz w:val="24"/>
          <w:szCs w:val="24"/>
        </w:rPr>
        <w:t xml:space="preserve"> </w:t>
      </w:r>
      <w:r w:rsidR="00CA4577" w:rsidRPr="007F48A9">
        <w:rPr>
          <w:sz w:val="24"/>
          <w:szCs w:val="24"/>
        </w:rPr>
        <w:t xml:space="preserve">Please add information to make this summary complete. </w:t>
      </w:r>
    </w:p>
    <w:p w:rsidR="00CA4577" w:rsidRPr="007F48A9" w:rsidRDefault="00CA4577" w:rsidP="009272FA">
      <w:pPr>
        <w:tabs>
          <w:tab w:val="left" w:pos="1440"/>
          <w:tab w:val="right" w:pos="9360"/>
        </w:tabs>
        <w:rPr>
          <w:sz w:val="24"/>
          <w:szCs w:val="24"/>
        </w:rPr>
      </w:pPr>
    </w:p>
    <w:p w:rsidR="0067077D" w:rsidRPr="007F48A9" w:rsidRDefault="009272FA" w:rsidP="009272FA">
      <w:pPr>
        <w:tabs>
          <w:tab w:val="left" w:pos="1440"/>
          <w:tab w:val="right" w:pos="9360"/>
        </w:tabs>
        <w:rPr>
          <w:sz w:val="24"/>
          <w:szCs w:val="24"/>
        </w:rPr>
      </w:pPr>
      <w:r w:rsidRPr="007F48A9">
        <w:rPr>
          <w:sz w:val="24"/>
          <w:szCs w:val="24"/>
        </w:rPr>
        <w:t xml:space="preserve">In 1989, six monitoring wells were installed </w:t>
      </w:r>
      <w:r w:rsidR="00E36072" w:rsidRPr="007F48A9">
        <w:rPr>
          <w:sz w:val="24"/>
          <w:szCs w:val="24"/>
        </w:rPr>
        <w:t>around the periphery of the bulk fuel terminal to investigate the effects of a</w:t>
      </w:r>
      <w:r w:rsidR="00144F56" w:rsidRPr="007F48A9">
        <w:rPr>
          <w:sz w:val="24"/>
          <w:szCs w:val="24"/>
        </w:rPr>
        <w:t xml:space="preserve"> </w:t>
      </w:r>
      <w:r w:rsidR="00E36072" w:rsidRPr="007F48A9">
        <w:rPr>
          <w:sz w:val="24"/>
          <w:szCs w:val="24"/>
        </w:rPr>
        <w:t>pre-1989</w:t>
      </w:r>
      <w:r w:rsidR="00144F56" w:rsidRPr="007F48A9">
        <w:rPr>
          <w:sz w:val="24"/>
          <w:szCs w:val="24"/>
        </w:rPr>
        <w:t xml:space="preserve"> </w:t>
      </w:r>
      <w:r w:rsidRPr="007F48A9">
        <w:rPr>
          <w:sz w:val="24"/>
          <w:szCs w:val="24"/>
        </w:rPr>
        <w:t>jet fuel release from a</w:t>
      </w:r>
      <w:r w:rsidR="00E36072" w:rsidRPr="007F48A9">
        <w:rPr>
          <w:sz w:val="24"/>
          <w:szCs w:val="24"/>
        </w:rPr>
        <w:t>n unknown source</w:t>
      </w:r>
      <w:r w:rsidRPr="007F48A9">
        <w:rPr>
          <w:sz w:val="24"/>
          <w:szCs w:val="24"/>
        </w:rPr>
        <w:t xml:space="preserve"> within the bulk </w:t>
      </w:r>
      <w:r w:rsidRPr="007F48A9">
        <w:rPr>
          <w:sz w:val="24"/>
          <w:szCs w:val="24"/>
        </w:rPr>
        <w:lastRenderedPageBreak/>
        <w:t>plant</w:t>
      </w:r>
      <w:r w:rsidR="00E36072" w:rsidRPr="007F48A9">
        <w:rPr>
          <w:sz w:val="24"/>
          <w:szCs w:val="24"/>
        </w:rPr>
        <w:t>. The source of the release was presumed to be associated with a fuel pipeline</w:t>
      </w:r>
      <w:r w:rsidRPr="007F48A9">
        <w:rPr>
          <w:sz w:val="24"/>
          <w:szCs w:val="24"/>
        </w:rPr>
        <w:t xml:space="preserve">. </w:t>
      </w:r>
      <w:r w:rsidR="00E36072" w:rsidRPr="007F48A9">
        <w:rPr>
          <w:sz w:val="24"/>
          <w:szCs w:val="24"/>
        </w:rPr>
        <w:t xml:space="preserve">A Corrective Action Plan was </w:t>
      </w:r>
      <w:r w:rsidR="00262BDB" w:rsidRPr="007F48A9">
        <w:rPr>
          <w:sz w:val="24"/>
          <w:szCs w:val="24"/>
        </w:rPr>
        <w:t xml:space="preserve">submitted to DEQ </w:t>
      </w:r>
      <w:r w:rsidR="00E36072" w:rsidRPr="007F48A9">
        <w:rPr>
          <w:sz w:val="24"/>
          <w:szCs w:val="24"/>
        </w:rPr>
        <w:t xml:space="preserve">by Chevron Pipe Line Company dated December 20, 1990 recommending “passive cleanup” with semi-annual groundwater monitoring from 1991 through 1994. </w:t>
      </w:r>
      <w:r w:rsidR="00B150F7" w:rsidRPr="007F48A9">
        <w:rPr>
          <w:sz w:val="24"/>
          <w:szCs w:val="24"/>
        </w:rPr>
        <w:t>No pipeline repair, cleanup action, or spill volume was documented in the Corrective Action Plan.</w:t>
      </w:r>
      <w:r w:rsidR="00551074" w:rsidRPr="007F48A9">
        <w:rPr>
          <w:sz w:val="24"/>
          <w:szCs w:val="24"/>
        </w:rPr>
        <w:t xml:space="preserve"> </w:t>
      </w:r>
    </w:p>
    <w:p w:rsidR="0030712D" w:rsidRPr="007F48A9" w:rsidRDefault="0030712D" w:rsidP="009272FA">
      <w:pPr>
        <w:tabs>
          <w:tab w:val="left" w:pos="1440"/>
          <w:tab w:val="right" w:pos="9360"/>
        </w:tabs>
        <w:rPr>
          <w:sz w:val="24"/>
          <w:szCs w:val="24"/>
        </w:rPr>
      </w:pPr>
    </w:p>
    <w:p w:rsidR="0067077D" w:rsidRPr="007F48A9" w:rsidRDefault="009272FA" w:rsidP="009272FA">
      <w:pPr>
        <w:tabs>
          <w:tab w:val="left" w:pos="1440"/>
          <w:tab w:val="right" w:pos="9360"/>
        </w:tabs>
        <w:rPr>
          <w:sz w:val="24"/>
          <w:szCs w:val="24"/>
        </w:rPr>
      </w:pPr>
      <w:r w:rsidRPr="007F48A9">
        <w:rPr>
          <w:sz w:val="24"/>
          <w:szCs w:val="24"/>
        </w:rPr>
        <w:t xml:space="preserve">In 1992, approximately 2000 gallons of jet fuel were released to the ground from a drain valve within the AST tank farm (ECSI #1832). Cleanup action in response to the surface release recovered 1250 gallons of jet fuel product, as well </w:t>
      </w:r>
      <w:r w:rsidR="009C1EF1" w:rsidRPr="007F48A9">
        <w:rPr>
          <w:sz w:val="24"/>
          <w:szCs w:val="24"/>
        </w:rPr>
        <w:t xml:space="preserve">the removal of </w:t>
      </w:r>
      <w:r w:rsidRPr="007F48A9">
        <w:rPr>
          <w:sz w:val="24"/>
          <w:szCs w:val="24"/>
        </w:rPr>
        <w:t xml:space="preserve">600 cubic yards of contaminated soil from the site. </w:t>
      </w:r>
    </w:p>
    <w:p w:rsidR="0067077D" w:rsidRPr="007F48A9" w:rsidRDefault="0067077D" w:rsidP="009272FA">
      <w:pPr>
        <w:tabs>
          <w:tab w:val="left" w:pos="1440"/>
          <w:tab w:val="right" w:pos="9360"/>
        </w:tabs>
        <w:rPr>
          <w:sz w:val="24"/>
          <w:szCs w:val="24"/>
        </w:rPr>
      </w:pPr>
    </w:p>
    <w:p w:rsidR="009272FA" w:rsidRPr="007F48A9" w:rsidRDefault="0067077D" w:rsidP="009272FA">
      <w:pPr>
        <w:tabs>
          <w:tab w:val="left" w:pos="1440"/>
          <w:tab w:val="right" w:pos="9360"/>
        </w:tabs>
        <w:rPr>
          <w:sz w:val="24"/>
          <w:szCs w:val="24"/>
        </w:rPr>
      </w:pPr>
      <w:r w:rsidRPr="007F48A9">
        <w:rPr>
          <w:sz w:val="24"/>
          <w:szCs w:val="24"/>
        </w:rPr>
        <w:t>In</w:t>
      </w:r>
      <w:r w:rsidR="009272FA" w:rsidRPr="007F48A9">
        <w:rPr>
          <w:sz w:val="24"/>
          <w:szCs w:val="24"/>
        </w:rPr>
        <w:t xml:space="preserve"> 1995, during the decommissioning and removal of a 10,000-gallon UST, 196 tons of petroleum-contaminated soil was removed from the excavation (ART 2014).</w:t>
      </w:r>
      <w:r w:rsidR="009C1EF1" w:rsidRPr="007F48A9">
        <w:rPr>
          <w:sz w:val="24"/>
          <w:szCs w:val="24"/>
        </w:rPr>
        <w:t xml:space="preserve"> Additional monitoring wells and soil borings were installed in the vicinity of the UST excavation to </w:t>
      </w:r>
      <w:r w:rsidR="0030712D" w:rsidRPr="007F48A9">
        <w:rPr>
          <w:sz w:val="24"/>
          <w:szCs w:val="24"/>
        </w:rPr>
        <w:t>investigate residual</w:t>
      </w:r>
      <w:r w:rsidR="009C1EF1" w:rsidRPr="007F48A9">
        <w:rPr>
          <w:sz w:val="24"/>
          <w:szCs w:val="24"/>
        </w:rPr>
        <w:t xml:space="preserve"> soil contamination and </w:t>
      </w:r>
      <w:r w:rsidR="003C4692" w:rsidRPr="007F48A9">
        <w:rPr>
          <w:sz w:val="24"/>
          <w:szCs w:val="24"/>
        </w:rPr>
        <w:t xml:space="preserve">monitor </w:t>
      </w:r>
      <w:r w:rsidR="009C1EF1" w:rsidRPr="007F48A9">
        <w:rPr>
          <w:sz w:val="24"/>
          <w:szCs w:val="24"/>
        </w:rPr>
        <w:t xml:space="preserve">groundwater quality.  </w:t>
      </w:r>
    </w:p>
    <w:p w:rsidR="002F7F2F" w:rsidRPr="007F48A9" w:rsidRDefault="002F7F2F" w:rsidP="009272FA">
      <w:pPr>
        <w:tabs>
          <w:tab w:val="left" w:pos="1440"/>
          <w:tab w:val="right" w:pos="9360"/>
        </w:tabs>
        <w:rPr>
          <w:sz w:val="24"/>
          <w:szCs w:val="24"/>
        </w:rPr>
      </w:pPr>
    </w:p>
    <w:p w:rsidR="002F7F2F" w:rsidRPr="007F48A9" w:rsidRDefault="002F7F2F" w:rsidP="009272FA">
      <w:pPr>
        <w:tabs>
          <w:tab w:val="left" w:pos="1440"/>
          <w:tab w:val="right" w:pos="9360"/>
        </w:tabs>
        <w:rPr>
          <w:sz w:val="24"/>
          <w:szCs w:val="24"/>
        </w:rPr>
      </w:pPr>
      <w:r w:rsidRPr="007F48A9">
        <w:rPr>
          <w:sz w:val="24"/>
          <w:szCs w:val="24"/>
        </w:rPr>
        <w:t xml:space="preserve">In 1996, </w:t>
      </w:r>
      <w:r w:rsidR="00C85D72" w:rsidRPr="007F48A9">
        <w:rPr>
          <w:sz w:val="24"/>
          <w:szCs w:val="24"/>
        </w:rPr>
        <w:t xml:space="preserve">the </w:t>
      </w:r>
      <w:r w:rsidRPr="007F48A9">
        <w:rPr>
          <w:sz w:val="24"/>
          <w:szCs w:val="24"/>
        </w:rPr>
        <w:t xml:space="preserve">DEQ Underground Storage Tank Program administratively transferred </w:t>
      </w:r>
      <w:r w:rsidR="00C85D72" w:rsidRPr="007F48A9">
        <w:rPr>
          <w:sz w:val="24"/>
          <w:szCs w:val="24"/>
        </w:rPr>
        <w:t xml:space="preserve">Bulk Fuel Storage Facility </w:t>
      </w:r>
      <w:r w:rsidRPr="007F48A9">
        <w:rPr>
          <w:sz w:val="24"/>
          <w:szCs w:val="24"/>
        </w:rPr>
        <w:t xml:space="preserve">project responsibility to the </w:t>
      </w:r>
      <w:r w:rsidR="00C85D72" w:rsidRPr="007F48A9">
        <w:rPr>
          <w:sz w:val="24"/>
          <w:szCs w:val="24"/>
        </w:rPr>
        <w:t xml:space="preserve">DEQ </w:t>
      </w:r>
      <w:r w:rsidRPr="007F48A9">
        <w:rPr>
          <w:sz w:val="24"/>
          <w:szCs w:val="24"/>
        </w:rPr>
        <w:t>Cleanup Program upon recognition of multiple releases at the facility in addition to the leaking UST (DEQ Memo dated February 28, 1996).</w:t>
      </w:r>
    </w:p>
    <w:p w:rsidR="00503EE6" w:rsidRPr="007F48A9" w:rsidRDefault="00503EE6" w:rsidP="009272FA">
      <w:pPr>
        <w:tabs>
          <w:tab w:val="left" w:pos="1440"/>
          <w:tab w:val="right" w:pos="9360"/>
        </w:tabs>
        <w:rPr>
          <w:sz w:val="24"/>
          <w:szCs w:val="24"/>
        </w:rPr>
      </w:pPr>
    </w:p>
    <w:p w:rsidR="007A2071" w:rsidRPr="007F48A9" w:rsidRDefault="007A2071" w:rsidP="00503EE6">
      <w:pPr>
        <w:rPr>
          <w:sz w:val="24"/>
          <w:szCs w:val="24"/>
        </w:rPr>
      </w:pPr>
      <w:r w:rsidRPr="007F48A9">
        <w:rPr>
          <w:sz w:val="24"/>
          <w:szCs w:val="24"/>
        </w:rPr>
        <w:t xml:space="preserve">Groundwater from some, or all, of the site monitoring wells has been sampled and analyzed sporadically during the project. </w:t>
      </w:r>
      <w:r w:rsidR="00C85D72" w:rsidRPr="007F48A9">
        <w:rPr>
          <w:sz w:val="24"/>
          <w:szCs w:val="24"/>
        </w:rPr>
        <w:t>Groundwater quality has improved with time.</w:t>
      </w:r>
    </w:p>
    <w:p w:rsidR="007A2071" w:rsidRPr="007F48A9" w:rsidRDefault="007A2071" w:rsidP="00503EE6">
      <w:pPr>
        <w:rPr>
          <w:sz w:val="24"/>
          <w:szCs w:val="24"/>
        </w:rPr>
      </w:pPr>
    </w:p>
    <w:p w:rsidR="007A2071" w:rsidRPr="007F48A9" w:rsidRDefault="007A2071" w:rsidP="00503EE6">
      <w:pPr>
        <w:rPr>
          <w:sz w:val="24"/>
          <w:szCs w:val="24"/>
        </w:rPr>
      </w:pPr>
      <w:r w:rsidRPr="007F48A9">
        <w:rPr>
          <w:sz w:val="24"/>
          <w:szCs w:val="24"/>
        </w:rPr>
        <w:t>In 2012 ART installed thee direct push borings at the margin of the 10,000-gallon UST excavation and collected subsurface soil samples. 2012 fieldwork included groundwater monitoring and sampling from all nine site monitoring wells and presentation of site data into a brief summary report.</w:t>
      </w:r>
    </w:p>
    <w:p w:rsidR="007A2071" w:rsidRPr="007F48A9" w:rsidRDefault="007A2071" w:rsidP="00503EE6">
      <w:pPr>
        <w:rPr>
          <w:sz w:val="24"/>
          <w:szCs w:val="24"/>
        </w:rPr>
      </w:pPr>
    </w:p>
    <w:p w:rsidR="00503EE6" w:rsidRPr="007F48A9" w:rsidRDefault="00503EE6" w:rsidP="00503EE6">
      <w:pPr>
        <w:rPr>
          <w:sz w:val="24"/>
          <w:szCs w:val="24"/>
        </w:rPr>
      </w:pPr>
      <w:r w:rsidRPr="007F48A9">
        <w:rPr>
          <w:sz w:val="24"/>
          <w:szCs w:val="24"/>
        </w:rPr>
        <w:t xml:space="preserve">Wellhead elevation surveys were completed in 1989, 1990 and 2012. </w:t>
      </w:r>
    </w:p>
    <w:p w:rsidR="009272FA" w:rsidRPr="007F48A9" w:rsidRDefault="009272FA" w:rsidP="009272FA">
      <w:pPr>
        <w:rPr>
          <w:sz w:val="24"/>
          <w:szCs w:val="24"/>
        </w:rPr>
      </w:pPr>
    </w:p>
    <w:p w:rsidR="009272FA" w:rsidRPr="007F48A9" w:rsidRDefault="007A2071" w:rsidP="00CD224C">
      <w:pPr>
        <w:rPr>
          <w:sz w:val="24"/>
          <w:szCs w:val="24"/>
          <w:u w:val="single"/>
        </w:rPr>
      </w:pPr>
      <w:r w:rsidRPr="007F48A9">
        <w:rPr>
          <w:sz w:val="24"/>
          <w:szCs w:val="24"/>
          <w:u w:val="single"/>
        </w:rPr>
        <w:t xml:space="preserve">Data Gaps that </w:t>
      </w:r>
      <w:r w:rsidR="00573427" w:rsidRPr="007F48A9">
        <w:rPr>
          <w:sz w:val="24"/>
          <w:szCs w:val="24"/>
          <w:u w:val="single"/>
        </w:rPr>
        <w:t xml:space="preserve">Prevent </w:t>
      </w:r>
      <w:r w:rsidRPr="007F48A9">
        <w:rPr>
          <w:sz w:val="24"/>
          <w:szCs w:val="24"/>
          <w:u w:val="single"/>
        </w:rPr>
        <w:t>DEQ Consideration of No Further Action</w:t>
      </w:r>
      <w:r w:rsidR="00573427" w:rsidRPr="007F48A9">
        <w:rPr>
          <w:sz w:val="24"/>
          <w:szCs w:val="24"/>
          <w:u w:val="single"/>
        </w:rPr>
        <w:t xml:space="preserve"> at This Time</w:t>
      </w:r>
    </w:p>
    <w:p w:rsidR="003B4D7A" w:rsidRPr="007F48A9" w:rsidRDefault="00745340">
      <w:pPr>
        <w:pStyle w:val="ListParagraph"/>
        <w:numPr>
          <w:ilvl w:val="0"/>
          <w:numId w:val="7"/>
        </w:numPr>
        <w:rPr>
          <w:sz w:val="24"/>
          <w:szCs w:val="24"/>
        </w:rPr>
      </w:pPr>
      <w:r w:rsidRPr="007F48A9">
        <w:rPr>
          <w:sz w:val="24"/>
          <w:szCs w:val="24"/>
        </w:rPr>
        <w:t xml:space="preserve">The nature and extent and locality of facility for the site resulting from the three fuel releases </w:t>
      </w:r>
      <w:proofErr w:type="gramStart"/>
      <w:r w:rsidRPr="007F48A9">
        <w:rPr>
          <w:sz w:val="24"/>
          <w:szCs w:val="24"/>
        </w:rPr>
        <w:t>has</w:t>
      </w:r>
      <w:proofErr w:type="gramEnd"/>
      <w:r w:rsidRPr="007F48A9">
        <w:rPr>
          <w:sz w:val="24"/>
          <w:szCs w:val="24"/>
        </w:rPr>
        <w:t xml:space="preserve"> not been determined with the exception of the former slop fuel UST release. </w:t>
      </w:r>
    </w:p>
    <w:p w:rsidR="007A2071" w:rsidRPr="007F48A9" w:rsidRDefault="007A2071" w:rsidP="009272FA">
      <w:pPr>
        <w:rPr>
          <w:sz w:val="24"/>
          <w:szCs w:val="24"/>
        </w:rPr>
      </w:pPr>
    </w:p>
    <w:p w:rsidR="003B4D7A" w:rsidRPr="007F48A9" w:rsidRDefault="00745340">
      <w:pPr>
        <w:pStyle w:val="ListParagraph"/>
        <w:numPr>
          <w:ilvl w:val="0"/>
          <w:numId w:val="7"/>
        </w:numPr>
        <w:rPr>
          <w:sz w:val="24"/>
          <w:szCs w:val="24"/>
        </w:rPr>
      </w:pPr>
      <w:r w:rsidRPr="007F48A9">
        <w:rPr>
          <w:sz w:val="24"/>
          <w:szCs w:val="24"/>
        </w:rPr>
        <w:t xml:space="preserve">The Summary Report does not provide a comprehensive environmental site history of fuel releases, spill responses, site investigations, cleanup actions, product recovery, DEQ involvement, environmental media affected, and residual product estimates remaining at the site resulting from pipeline leaks, UST releases, and surface releases. </w:t>
      </w:r>
    </w:p>
    <w:p w:rsidR="00CD224C" w:rsidRPr="007F48A9" w:rsidRDefault="00CD224C" w:rsidP="009272FA">
      <w:pPr>
        <w:rPr>
          <w:sz w:val="24"/>
          <w:szCs w:val="24"/>
          <w:u w:val="single"/>
        </w:rPr>
      </w:pPr>
    </w:p>
    <w:p w:rsidR="003B4D7A" w:rsidRPr="007F48A9" w:rsidRDefault="00573427">
      <w:pPr>
        <w:pStyle w:val="ListParagraph"/>
        <w:numPr>
          <w:ilvl w:val="0"/>
          <w:numId w:val="7"/>
        </w:numPr>
        <w:rPr>
          <w:sz w:val="24"/>
          <w:szCs w:val="24"/>
        </w:rPr>
      </w:pPr>
      <w:r w:rsidRPr="007F48A9">
        <w:rPr>
          <w:sz w:val="24"/>
          <w:szCs w:val="24"/>
        </w:rPr>
        <w:t>T</w:t>
      </w:r>
      <w:r w:rsidR="00745340" w:rsidRPr="007F48A9">
        <w:rPr>
          <w:sz w:val="24"/>
          <w:szCs w:val="24"/>
        </w:rPr>
        <w:t>he nature and extent of jet fuel contamination at the Bulk Fuel Facility</w:t>
      </w:r>
      <w:r w:rsidRPr="007F48A9">
        <w:rPr>
          <w:sz w:val="24"/>
          <w:szCs w:val="24"/>
        </w:rPr>
        <w:t xml:space="preserve"> has not been defined</w:t>
      </w:r>
      <w:r w:rsidR="00745340" w:rsidRPr="007F48A9">
        <w:rPr>
          <w:sz w:val="24"/>
          <w:szCs w:val="24"/>
        </w:rPr>
        <w:t xml:space="preserve">, </w:t>
      </w:r>
      <w:r w:rsidRPr="007F48A9">
        <w:rPr>
          <w:sz w:val="24"/>
          <w:szCs w:val="24"/>
        </w:rPr>
        <w:t>in</w:t>
      </w:r>
      <w:r w:rsidR="00745340" w:rsidRPr="007F48A9">
        <w:rPr>
          <w:sz w:val="24"/>
          <w:szCs w:val="24"/>
        </w:rPr>
        <w:t xml:space="preserve"> particular </w:t>
      </w:r>
      <w:r w:rsidR="007E0C14" w:rsidRPr="007F48A9">
        <w:rPr>
          <w:sz w:val="24"/>
          <w:szCs w:val="24"/>
        </w:rPr>
        <w:t>in</w:t>
      </w:r>
      <w:r w:rsidR="00745340" w:rsidRPr="007F48A9">
        <w:rPr>
          <w:sz w:val="24"/>
          <w:szCs w:val="24"/>
        </w:rPr>
        <w:t xml:space="preserve"> the down-gradient </w:t>
      </w:r>
      <w:r w:rsidR="007E0C14" w:rsidRPr="007F48A9">
        <w:rPr>
          <w:sz w:val="24"/>
          <w:szCs w:val="24"/>
        </w:rPr>
        <w:t>(</w:t>
      </w:r>
      <w:r w:rsidR="00745340" w:rsidRPr="007F48A9">
        <w:rPr>
          <w:sz w:val="24"/>
          <w:szCs w:val="24"/>
        </w:rPr>
        <w:t>westerly</w:t>
      </w:r>
      <w:r w:rsidR="007E0C14" w:rsidRPr="007F48A9">
        <w:rPr>
          <w:sz w:val="24"/>
          <w:szCs w:val="24"/>
        </w:rPr>
        <w:t>)</w:t>
      </w:r>
      <w:r w:rsidR="00745340" w:rsidRPr="007F48A9">
        <w:rPr>
          <w:sz w:val="24"/>
          <w:szCs w:val="24"/>
        </w:rPr>
        <w:t xml:space="preserve"> direction. Soil and groundwater analytical data </w:t>
      </w:r>
      <w:r w:rsidR="007E0C14" w:rsidRPr="007F48A9">
        <w:rPr>
          <w:sz w:val="24"/>
          <w:szCs w:val="24"/>
        </w:rPr>
        <w:t xml:space="preserve">need to be screened </w:t>
      </w:r>
      <w:r w:rsidR="00745340" w:rsidRPr="007F48A9">
        <w:rPr>
          <w:sz w:val="24"/>
          <w:szCs w:val="24"/>
        </w:rPr>
        <w:t xml:space="preserve">against DEQ RBCs for occupational worker and excavation/construction workers as well as ecological (aquatic) risk-based screening values (if the drainage ditch west of the bulk plant is found to be within the Locality of Facility). </w:t>
      </w:r>
    </w:p>
    <w:p w:rsidR="00EB5242" w:rsidRPr="007F48A9" w:rsidRDefault="00EB5242" w:rsidP="009272FA">
      <w:pPr>
        <w:rPr>
          <w:sz w:val="24"/>
          <w:szCs w:val="24"/>
          <w:u w:val="single"/>
        </w:rPr>
      </w:pPr>
    </w:p>
    <w:p w:rsidR="00D5563F" w:rsidRDefault="00D5563F" w:rsidP="009272FA">
      <w:pPr>
        <w:rPr>
          <w:sz w:val="24"/>
          <w:szCs w:val="24"/>
          <w:u w:val="single"/>
        </w:rPr>
      </w:pPr>
    </w:p>
    <w:p w:rsidR="000A1017" w:rsidRPr="007F48A9" w:rsidRDefault="000A1017" w:rsidP="009272FA">
      <w:pPr>
        <w:rPr>
          <w:sz w:val="24"/>
          <w:szCs w:val="24"/>
          <w:u w:val="single"/>
        </w:rPr>
      </w:pPr>
      <w:r w:rsidRPr="007F48A9">
        <w:rPr>
          <w:sz w:val="24"/>
          <w:szCs w:val="24"/>
          <w:u w:val="single"/>
        </w:rPr>
        <w:lastRenderedPageBreak/>
        <w:t>DEQ Process to Arrive a No Further Action determination</w:t>
      </w:r>
    </w:p>
    <w:p w:rsidR="00731A86" w:rsidRPr="007F48A9" w:rsidRDefault="009272FA" w:rsidP="009272FA">
      <w:pPr>
        <w:rPr>
          <w:sz w:val="24"/>
          <w:szCs w:val="24"/>
        </w:rPr>
      </w:pPr>
      <w:r w:rsidRPr="007F48A9">
        <w:rPr>
          <w:sz w:val="24"/>
          <w:szCs w:val="24"/>
        </w:rPr>
        <w:t xml:space="preserve">DEQ </w:t>
      </w:r>
      <w:r w:rsidR="000A1017" w:rsidRPr="007F48A9">
        <w:rPr>
          <w:sz w:val="24"/>
          <w:szCs w:val="24"/>
        </w:rPr>
        <w:t>project managers are required to prepare</w:t>
      </w:r>
      <w:r w:rsidRPr="007F48A9">
        <w:rPr>
          <w:sz w:val="24"/>
          <w:szCs w:val="24"/>
        </w:rPr>
        <w:t xml:space="preserve"> a </w:t>
      </w:r>
      <w:r w:rsidR="000A1017" w:rsidRPr="007F48A9">
        <w:rPr>
          <w:sz w:val="24"/>
          <w:szCs w:val="24"/>
        </w:rPr>
        <w:t xml:space="preserve">comprehensive site-specific Staff Report in support of a </w:t>
      </w:r>
      <w:r w:rsidRPr="007F48A9">
        <w:rPr>
          <w:sz w:val="24"/>
          <w:szCs w:val="24"/>
        </w:rPr>
        <w:t>No Further Action determination</w:t>
      </w:r>
      <w:r w:rsidR="000A1017" w:rsidRPr="007F48A9">
        <w:rPr>
          <w:sz w:val="24"/>
          <w:szCs w:val="24"/>
        </w:rPr>
        <w:t>. These Staff Reports are generally</w:t>
      </w:r>
      <w:r w:rsidRPr="007F48A9">
        <w:rPr>
          <w:sz w:val="24"/>
          <w:szCs w:val="24"/>
        </w:rPr>
        <w:t xml:space="preserve"> based on </w:t>
      </w:r>
      <w:r w:rsidR="00731A86" w:rsidRPr="007F48A9">
        <w:rPr>
          <w:sz w:val="24"/>
          <w:szCs w:val="24"/>
        </w:rPr>
        <w:t>information</w:t>
      </w:r>
      <w:r w:rsidRPr="007F48A9">
        <w:rPr>
          <w:sz w:val="24"/>
          <w:szCs w:val="24"/>
        </w:rPr>
        <w:t xml:space="preserve"> submitted in</w:t>
      </w:r>
      <w:r w:rsidR="000A1017" w:rsidRPr="007F48A9">
        <w:rPr>
          <w:sz w:val="24"/>
          <w:szCs w:val="24"/>
        </w:rPr>
        <w:t xml:space="preserve"> a project summary r</w:t>
      </w:r>
      <w:r w:rsidRPr="007F48A9">
        <w:rPr>
          <w:sz w:val="24"/>
          <w:szCs w:val="24"/>
        </w:rPr>
        <w:t>eport</w:t>
      </w:r>
      <w:r w:rsidR="00731A86" w:rsidRPr="007F48A9">
        <w:rPr>
          <w:sz w:val="24"/>
          <w:szCs w:val="24"/>
        </w:rPr>
        <w:t xml:space="preserve"> once site characterization, remediation work, and risk assessment work is complete.</w:t>
      </w:r>
      <w:r w:rsidRPr="007F48A9">
        <w:rPr>
          <w:sz w:val="24"/>
          <w:szCs w:val="24"/>
        </w:rPr>
        <w:t xml:space="preserve">  </w:t>
      </w:r>
      <w:r w:rsidR="000A1017" w:rsidRPr="007F48A9">
        <w:rPr>
          <w:sz w:val="24"/>
          <w:szCs w:val="24"/>
        </w:rPr>
        <w:t>For the ASIG Bulk Plant site</w:t>
      </w:r>
      <w:r w:rsidR="00731A86" w:rsidRPr="007F48A9">
        <w:rPr>
          <w:sz w:val="24"/>
          <w:szCs w:val="24"/>
        </w:rPr>
        <w:t>,</w:t>
      </w:r>
      <w:r w:rsidRPr="007F48A9">
        <w:rPr>
          <w:sz w:val="24"/>
          <w:szCs w:val="24"/>
        </w:rPr>
        <w:t xml:space="preserve"> the </w:t>
      </w:r>
      <w:r w:rsidR="000A1017" w:rsidRPr="007F48A9">
        <w:rPr>
          <w:sz w:val="24"/>
          <w:szCs w:val="24"/>
        </w:rPr>
        <w:t xml:space="preserve">brief March 2015 </w:t>
      </w:r>
      <w:r w:rsidRPr="007F48A9">
        <w:rPr>
          <w:sz w:val="24"/>
          <w:szCs w:val="24"/>
        </w:rPr>
        <w:t>summary document</w:t>
      </w:r>
      <w:r w:rsidR="00EB5242" w:rsidRPr="007F48A9">
        <w:rPr>
          <w:sz w:val="24"/>
          <w:szCs w:val="24"/>
        </w:rPr>
        <w:t xml:space="preserve"> </w:t>
      </w:r>
      <w:r w:rsidR="00731A86" w:rsidRPr="007F48A9">
        <w:rPr>
          <w:sz w:val="24"/>
          <w:szCs w:val="24"/>
        </w:rPr>
        <w:t xml:space="preserve">and the </w:t>
      </w:r>
      <w:r w:rsidR="00604CC2" w:rsidRPr="007F48A9">
        <w:rPr>
          <w:sz w:val="24"/>
          <w:szCs w:val="24"/>
        </w:rPr>
        <w:t>Ground Monitoring Reports from 1992 to 2002</w:t>
      </w:r>
      <w:r w:rsidR="007E0C14" w:rsidRPr="007F48A9">
        <w:rPr>
          <w:sz w:val="24"/>
          <w:szCs w:val="24"/>
        </w:rPr>
        <w:t>,</w:t>
      </w:r>
      <w:r w:rsidR="00731A86" w:rsidRPr="007F48A9">
        <w:rPr>
          <w:sz w:val="24"/>
          <w:szCs w:val="24"/>
        </w:rPr>
        <w:t xml:space="preserve"> provided </w:t>
      </w:r>
      <w:r w:rsidR="00604CC2" w:rsidRPr="007F48A9">
        <w:rPr>
          <w:sz w:val="24"/>
          <w:szCs w:val="24"/>
        </w:rPr>
        <w:t>to DEQ</w:t>
      </w:r>
      <w:r w:rsidR="0071036C" w:rsidRPr="007F48A9">
        <w:rPr>
          <w:sz w:val="24"/>
          <w:szCs w:val="24"/>
        </w:rPr>
        <w:t xml:space="preserve"> on CD, </w:t>
      </w:r>
      <w:r w:rsidR="00731A86" w:rsidRPr="007F48A9">
        <w:rPr>
          <w:sz w:val="24"/>
          <w:szCs w:val="24"/>
        </w:rPr>
        <w:t>do</w:t>
      </w:r>
      <w:r w:rsidRPr="007F48A9">
        <w:rPr>
          <w:sz w:val="24"/>
          <w:szCs w:val="24"/>
        </w:rPr>
        <w:t xml:space="preserve"> not provide adequate information for DEQ to </w:t>
      </w:r>
      <w:r w:rsidR="00731A86" w:rsidRPr="007F48A9">
        <w:rPr>
          <w:sz w:val="24"/>
          <w:szCs w:val="24"/>
        </w:rPr>
        <w:t>prepare a Staff Report</w:t>
      </w:r>
      <w:r w:rsidRPr="007F48A9">
        <w:rPr>
          <w:sz w:val="24"/>
          <w:szCs w:val="24"/>
        </w:rPr>
        <w:t xml:space="preserve">. </w:t>
      </w:r>
    </w:p>
    <w:p w:rsidR="00731A86" w:rsidRPr="007F48A9" w:rsidRDefault="00731A86" w:rsidP="009272FA">
      <w:pPr>
        <w:rPr>
          <w:sz w:val="24"/>
          <w:szCs w:val="24"/>
        </w:rPr>
      </w:pPr>
    </w:p>
    <w:p w:rsidR="00063271" w:rsidRPr="007F48A9" w:rsidRDefault="00EB5242" w:rsidP="009272FA">
      <w:pPr>
        <w:rPr>
          <w:sz w:val="24"/>
          <w:szCs w:val="24"/>
        </w:rPr>
      </w:pPr>
      <w:r w:rsidRPr="007F48A9">
        <w:rPr>
          <w:sz w:val="24"/>
          <w:szCs w:val="24"/>
        </w:rPr>
        <w:t xml:space="preserve">Attachment A </w:t>
      </w:r>
      <w:r w:rsidR="00731A86" w:rsidRPr="007F48A9">
        <w:rPr>
          <w:sz w:val="24"/>
          <w:szCs w:val="24"/>
        </w:rPr>
        <w:t xml:space="preserve">provides the outline </w:t>
      </w:r>
      <w:r w:rsidR="007E0C14" w:rsidRPr="007F48A9">
        <w:rPr>
          <w:sz w:val="24"/>
          <w:szCs w:val="24"/>
        </w:rPr>
        <w:t>the (minimum) information that is required of</w:t>
      </w:r>
      <w:r w:rsidR="00731A86" w:rsidRPr="007F48A9">
        <w:rPr>
          <w:sz w:val="24"/>
          <w:szCs w:val="24"/>
        </w:rPr>
        <w:t xml:space="preserve"> DEQ project managers </w:t>
      </w:r>
      <w:r w:rsidR="007E0C14" w:rsidRPr="007F48A9">
        <w:rPr>
          <w:sz w:val="24"/>
          <w:szCs w:val="24"/>
        </w:rPr>
        <w:t xml:space="preserve">to </w:t>
      </w:r>
      <w:r w:rsidR="00731A86" w:rsidRPr="007F48A9">
        <w:rPr>
          <w:sz w:val="24"/>
          <w:szCs w:val="24"/>
        </w:rPr>
        <w:t>support of a No Further Action determination</w:t>
      </w:r>
      <w:r w:rsidR="00CD224C" w:rsidRPr="007F48A9">
        <w:rPr>
          <w:sz w:val="24"/>
          <w:szCs w:val="24"/>
        </w:rPr>
        <w:t xml:space="preserve">. Please refer to this outline and assist DEQ </w:t>
      </w:r>
      <w:r w:rsidR="007E0C14" w:rsidRPr="007F48A9">
        <w:rPr>
          <w:sz w:val="24"/>
          <w:szCs w:val="24"/>
        </w:rPr>
        <w:t xml:space="preserve">by </w:t>
      </w:r>
      <w:r w:rsidR="00CD224C" w:rsidRPr="007F48A9">
        <w:rPr>
          <w:sz w:val="24"/>
          <w:szCs w:val="24"/>
        </w:rPr>
        <w:t>providing adequate information in a revised Summary Report</w:t>
      </w:r>
      <w:r w:rsidR="00604CC2" w:rsidRPr="007F48A9">
        <w:rPr>
          <w:sz w:val="24"/>
          <w:szCs w:val="24"/>
        </w:rPr>
        <w:t xml:space="preserve"> </w:t>
      </w:r>
      <w:r w:rsidR="007E0C14" w:rsidRPr="007F48A9">
        <w:rPr>
          <w:sz w:val="24"/>
          <w:szCs w:val="24"/>
        </w:rPr>
        <w:t>to support the requested NFA determination for the site</w:t>
      </w:r>
      <w:r w:rsidR="00CD224C" w:rsidRPr="007F48A9">
        <w:rPr>
          <w:sz w:val="24"/>
          <w:szCs w:val="24"/>
        </w:rPr>
        <w:t xml:space="preserve">. </w:t>
      </w:r>
      <w:r w:rsidR="00731A86" w:rsidRPr="007F48A9">
        <w:rPr>
          <w:sz w:val="24"/>
          <w:szCs w:val="24"/>
        </w:rPr>
        <w:t xml:space="preserve"> </w:t>
      </w:r>
    </w:p>
    <w:p w:rsidR="002F7F2F" w:rsidRPr="007F48A9" w:rsidRDefault="002F7F2F" w:rsidP="002F7F2F">
      <w:pPr>
        <w:rPr>
          <w:sz w:val="24"/>
          <w:szCs w:val="24"/>
        </w:rPr>
      </w:pPr>
    </w:p>
    <w:p w:rsidR="002F7F2F" w:rsidRPr="007F48A9" w:rsidRDefault="002F7F2F" w:rsidP="002F7F2F">
      <w:pPr>
        <w:rPr>
          <w:sz w:val="24"/>
          <w:szCs w:val="24"/>
          <w:u w:val="single"/>
        </w:rPr>
      </w:pPr>
      <w:r w:rsidRPr="007F48A9">
        <w:rPr>
          <w:sz w:val="24"/>
          <w:szCs w:val="24"/>
          <w:u w:val="single"/>
        </w:rPr>
        <w:t>Closing</w:t>
      </w:r>
    </w:p>
    <w:p w:rsidR="002F7F2F" w:rsidRPr="007F48A9" w:rsidRDefault="002F7F2F" w:rsidP="002F7F2F">
      <w:pPr>
        <w:rPr>
          <w:sz w:val="24"/>
          <w:szCs w:val="24"/>
        </w:rPr>
      </w:pPr>
      <w:r w:rsidRPr="007F48A9">
        <w:rPr>
          <w:sz w:val="24"/>
          <w:szCs w:val="24"/>
        </w:rPr>
        <w:t>Following completion of final site characterization work</w:t>
      </w:r>
      <w:r w:rsidR="005E1ADA">
        <w:rPr>
          <w:sz w:val="24"/>
          <w:szCs w:val="24"/>
        </w:rPr>
        <w:t xml:space="preserve"> described above</w:t>
      </w:r>
      <w:r w:rsidRPr="007F48A9">
        <w:rPr>
          <w:sz w:val="24"/>
          <w:szCs w:val="24"/>
        </w:rPr>
        <w:t xml:space="preserve">, DEQ requests a project meeting to discuss data gaps, compiling a comprehensive site history, planning and submittal of data to complete nature and extent evaluation, and preparation of a revised Summary Report </w:t>
      </w:r>
      <w:r w:rsidR="007E0C14" w:rsidRPr="007F48A9">
        <w:rPr>
          <w:sz w:val="24"/>
          <w:szCs w:val="24"/>
        </w:rPr>
        <w:t xml:space="preserve">adequate </w:t>
      </w:r>
      <w:r w:rsidRPr="007F48A9">
        <w:rPr>
          <w:sz w:val="24"/>
          <w:szCs w:val="24"/>
        </w:rPr>
        <w:t xml:space="preserve">to </w:t>
      </w:r>
      <w:r w:rsidR="007E0C14" w:rsidRPr="007F48A9">
        <w:rPr>
          <w:sz w:val="24"/>
          <w:szCs w:val="24"/>
        </w:rPr>
        <w:t xml:space="preserve">support a </w:t>
      </w:r>
      <w:r w:rsidRPr="007F48A9">
        <w:rPr>
          <w:sz w:val="24"/>
          <w:szCs w:val="24"/>
        </w:rPr>
        <w:t>no further action</w:t>
      </w:r>
      <w:r w:rsidR="007E0C14" w:rsidRPr="007F48A9">
        <w:rPr>
          <w:sz w:val="24"/>
          <w:szCs w:val="24"/>
        </w:rPr>
        <w:t xml:space="preserve"> determination by DEQ</w:t>
      </w:r>
      <w:r w:rsidRPr="007F48A9">
        <w:rPr>
          <w:sz w:val="24"/>
          <w:szCs w:val="24"/>
        </w:rPr>
        <w:t xml:space="preserve">.  </w:t>
      </w:r>
    </w:p>
    <w:p w:rsidR="00CA4577" w:rsidRPr="007F48A9" w:rsidRDefault="00CA4577" w:rsidP="009272FA">
      <w:pPr>
        <w:rPr>
          <w:sz w:val="24"/>
          <w:szCs w:val="24"/>
        </w:rPr>
      </w:pPr>
    </w:p>
    <w:p w:rsidR="009272FA" w:rsidRPr="007F48A9" w:rsidRDefault="009272FA" w:rsidP="009272FA">
      <w:pPr>
        <w:rPr>
          <w:sz w:val="24"/>
          <w:szCs w:val="24"/>
        </w:rPr>
      </w:pPr>
      <w:r w:rsidRPr="007F48A9">
        <w:rPr>
          <w:sz w:val="24"/>
          <w:szCs w:val="24"/>
        </w:rPr>
        <w:t xml:space="preserve">I can be reached at (503) 229-6015 or </w:t>
      </w:r>
      <w:hyperlink r:id="rId7" w:history="1">
        <w:r w:rsidRPr="007F48A9">
          <w:rPr>
            <w:rStyle w:val="Hyperlink"/>
            <w:sz w:val="24"/>
            <w:szCs w:val="24"/>
          </w:rPr>
          <w:t>Thiessen.Kenneth@deq.state.or.us</w:t>
        </w:r>
      </w:hyperlink>
      <w:r w:rsidRPr="007F48A9">
        <w:rPr>
          <w:sz w:val="24"/>
          <w:szCs w:val="24"/>
        </w:rPr>
        <w:t xml:space="preserve">  to address questions.</w:t>
      </w:r>
    </w:p>
    <w:p w:rsidR="009272FA" w:rsidRPr="007F48A9" w:rsidRDefault="009272FA" w:rsidP="009272FA">
      <w:pPr>
        <w:rPr>
          <w:sz w:val="24"/>
          <w:szCs w:val="24"/>
        </w:rPr>
      </w:pPr>
    </w:p>
    <w:p w:rsidR="009272FA" w:rsidRPr="007F48A9" w:rsidRDefault="009272FA" w:rsidP="009272FA">
      <w:pPr>
        <w:rPr>
          <w:sz w:val="24"/>
          <w:szCs w:val="24"/>
        </w:rPr>
      </w:pPr>
      <w:r w:rsidRPr="007F48A9">
        <w:rPr>
          <w:sz w:val="24"/>
          <w:szCs w:val="24"/>
        </w:rPr>
        <w:t>Sincerely,</w:t>
      </w:r>
    </w:p>
    <w:p w:rsidR="009272FA" w:rsidRPr="007F48A9" w:rsidRDefault="009272FA" w:rsidP="009272FA">
      <w:pPr>
        <w:rPr>
          <w:b/>
          <w:sz w:val="24"/>
          <w:szCs w:val="24"/>
        </w:rPr>
      </w:pPr>
    </w:p>
    <w:p w:rsidR="009272FA" w:rsidRPr="007F48A9" w:rsidRDefault="009272FA" w:rsidP="009272FA">
      <w:pPr>
        <w:rPr>
          <w:b/>
          <w:sz w:val="24"/>
          <w:szCs w:val="24"/>
        </w:rPr>
      </w:pPr>
    </w:p>
    <w:p w:rsidR="009272FA" w:rsidRPr="007F48A9" w:rsidRDefault="009272FA" w:rsidP="009272FA">
      <w:pPr>
        <w:rPr>
          <w:b/>
          <w:sz w:val="24"/>
          <w:szCs w:val="24"/>
        </w:rPr>
      </w:pPr>
    </w:p>
    <w:p w:rsidR="00D5563F" w:rsidRDefault="00D5563F" w:rsidP="009272FA">
      <w:pPr>
        <w:rPr>
          <w:sz w:val="24"/>
          <w:szCs w:val="24"/>
        </w:rPr>
      </w:pPr>
    </w:p>
    <w:p w:rsidR="009272FA" w:rsidRPr="007F48A9" w:rsidRDefault="009272FA" w:rsidP="009272FA">
      <w:pPr>
        <w:rPr>
          <w:sz w:val="24"/>
          <w:szCs w:val="24"/>
        </w:rPr>
      </w:pPr>
      <w:r w:rsidRPr="007F48A9">
        <w:rPr>
          <w:sz w:val="24"/>
          <w:szCs w:val="24"/>
        </w:rPr>
        <w:t xml:space="preserve">Kenneth Thiessen, CEG </w:t>
      </w:r>
    </w:p>
    <w:p w:rsidR="009272FA" w:rsidRPr="007F48A9" w:rsidRDefault="009272FA" w:rsidP="009272FA">
      <w:pPr>
        <w:rPr>
          <w:sz w:val="24"/>
          <w:szCs w:val="24"/>
        </w:rPr>
      </w:pPr>
      <w:r w:rsidRPr="007F48A9">
        <w:rPr>
          <w:sz w:val="24"/>
          <w:szCs w:val="24"/>
        </w:rPr>
        <w:t>DEQ Northwest Region</w:t>
      </w:r>
    </w:p>
    <w:p w:rsidR="009272FA" w:rsidRPr="007F48A9" w:rsidRDefault="009272FA" w:rsidP="009272FA">
      <w:pPr>
        <w:rPr>
          <w:sz w:val="24"/>
          <w:szCs w:val="24"/>
        </w:rPr>
      </w:pPr>
    </w:p>
    <w:p w:rsidR="009272FA" w:rsidRPr="007F48A9" w:rsidRDefault="009272FA" w:rsidP="009272FA">
      <w:pPr>
        <w:rPr>
          <w:sz w:val="24"/>
          <w:szCs w:val="24"/>
        </w:rPr>
      </w:pPr>
      <w:r w:rsidRPr="007F48A9">
        <w:rPr>
          <w:sz w:val="24"/>
          <w:szCs w:val="24"/>
          <w:u w:val="single"/>
        </w:rPr>
        <w:t>Distribution</w:t>
      </w:r>
      <w:r w:rsidRPr="007F48A9">
        <w:rPr>
          <w:sz w:val="24"/>
          <w:szCs w:val="24"/>
        </w:rPr>
        <w:t>:</w:t>
      </w:r>
    </w:p>
    <w:p w:rsidR="009272FA" w:rsidRPr="007F48A9" w:rsidRDefault="009272FA" w:rsidP="009272FA">
      <w:pPr>
        <w:rPr>
          <w:sz w:val="24"/>
          <w:szCs w:val="24"/>
        </w:rPr>
      </w:pPr>
      <w:r w:rsidRPr="007F48A9">
        <w:rPr>
          <w:sz w:val="24"/>
          <w:szCs w:val="24"/>
        </w:rPr>
        <w:t xml:space="preserve">Lance Downs, ART </w:t>
      </w:r>
    </w:p>
    <w:p w:rsidR="009272FA" w:rsidRPr="007F48A9" w:rsidRDefault="009272FA" w:rsidP="009272FA">
      <w:pPr>
        <w:rPr>
          <w:sz w:val="24"/>
          <w:szCs w:val="24"/>
        </w:rPr>
      </w:pPr>
      <w:r w:rsidRPr="007F48A9">
        <w:rPr>
          <w:sz w:val="24"/>
          <w:szCs w:val="24"/>
        </w:rPr>
        <w:t>Stan Jones, Port of Portland</w:t>
      </w:r>
    </w:p>
    <w:p w:rsidR="009272FA" w:rsidRPr="007F48A9" w:rsidRDefault="009272FA" w:rsidP="009272FA">
      <w:pPr>
        <w:rPr>
          <w:sz w:val="24"/>
          <w:szCs w:val="24"/>
        </w:rPr>
      </w:pPr>
      <w:r w:rsidRPr="007F48A9">
        <w:rPr>
          <w:sz w:val="24"/>
          <w:szCs w:val="24"/>
        </w:rPr>
        <w:t xml:space="preserve">Keith Johnson, DEQ NWR </w:t>
      </w:r>
    </w:p>
    <w:p w:rsidR="009272FA" w:rsidRPr="007F48A9" w:rsidRDefault="009272FA" w:rsidP="009272FA">
      <w:pPr>
        <w:rPr>
          <w:sz w:val="24"/>
          <w:szCs w:val="24"/>
        </w:rPr>
      </w:pPr>
      <w:r w:rsidRPr="007F48A9">
        <w:rPr>
          <w:sz w:val="24"/>
          <w:szCs w:val="24"/>
        </w:rPr>
        <w:t>ECSI #1832/5848</w:t>
      </w:r>
    </w:p>
    <w:p w:rsidR="009272FA" w:rsidRPr="007F48A9" w:rsidRDefault="009272FA" w:rsidP="009272FA">
      <w:pPr>
        <w:rPr>
          <w:sz w:val="24"/>
          <w:szCs w:val="24"/>
        </w:rPr>
      </w:pPr>
    </w:p>
    <w:p w:rsidR="009272FA" w:rsidRPr="007F48A9" w:rsidRDefault="009272FA" w:rsidP="009272FA">
      <w:pPr>
        <w:rPr>
          <w:sz w:val="24"/>
          <w:szCs w:val="24"/>
        </w:rPr>
      </w:pPr>
      <w:r w:rsidRPr="007F48A9">
        <w:rPr>
          <w:sz w:val="24"/>
          <w:szCs w:val="24"/>
          <w:u w:val="single"/>
        </w:rPr>
        <w:t>References</w:t>
      </w:r>
      <w:r w:rsidRPr="007F48A9">
        <w:rPr>
          <w:sz w:val="24"/>
          <w:szCs w:val="24"/>
        </w:rPr>
        <w:t>:</w:t>
      </w:r>
    </w:p>
    <w:p w:rsidR="002F7F2F" w:rsidRPr="007F48A9" w:rsidRDefault="00B06746" w:rsidP="002F7F2F">
      <w:pPr>
        <w:rPr>
          <w:sz w:val="24"/>
          <w:szCs w:val="24"/>
        </w:rPr>
      </w:pPr>
      <w:r>
        <w:rPr>
          <w:sz w:val="24"/>
          <w:szCs w:val="24"/>
        </w:rPr>
        <w:t>2014 ART,</w:t>
      </w:r>
      <w:r w:rsidR="002F7F2F" w:rsidRPr="007F48A9">
        <w:rPr>
          <w:sz w:val="24"/>
          <w:szCs w:val="24"/>
        </w:rPr>
        <w:t xml:space="preserve"> Summary Report of ASIG’s Bulk Fuel Storage Facility (and other projects) at the </w:t>
      </w:r>
      <w:r>
        <w:rPr>
          <w:sz w:val="24"/>
          <w:szCs w:val="24"/>
        </w:rPr>
        <w:t xml:space="preserve">Portland International Airport. </w:t>
      </w:r>
      <w:r w:rsidR="002F7F2F" w:rsidRPr="007F48A9">
        <w:rPr>
          <w:sz w:val="24"/>
          <w:szCs w:val="24"/>
        </w:rPr>
        <w:t xml:space="preserve">March 31, 2014. </w:t>
      </w:r>
    </w:p>
    <w:p w:rsidR="002F7F2F" w:rsidRPr="007F48A9" w:rsidRDefault="002F7F2F" w:rsidP="009272FA">
      <w:pPr>
        <w:rPr>
          <w:sz w:val="24"/>
          <w:szCs w:val="24"/>
        </w:rPr>
      </w:pPr>
    </w:p>
    <w:p w:rsidR="009272FA" w:rsidRPr="007F48A9" w:rsidRDefault="009272FA" w:rsidP="009272FA">
      <w:pPr>
        <w:rPr>
          <w:sz w:val="24"/>
          <w:szCs w:val="24"/>
        </w:rPr>
      </w:pPr>
      <w:r w:rsidRPr="007F48A9">
        <w:rPr>
          <w:sz w:val="24"/>
          <w:szCs w:val="24"/>
        </w:rPr>
        <w:t>2002 DEQ, Bulk Fuel Storage Facility Portland International Airport, Request for Expanded Preliminary Assessment. July 9, 2002</w:t>
      </w:r>
      <w:r w:rsidR="00B06746">
        <w:rPr>
          <w:sz w:val="24"/>
          <w:szCs w:val="24"/>
        </w:rPr>
        <w:t>.</w:t>
      </w:r>
    </w:p>
    <w:p w:rsidR="0071036C" w:rsidRPr="007F48A9" w:rsidRDefault="0071036C" w:rsidP="009272FA">
      <w:pPr>
        <w:rPr>
          <w:sz w:val="24"/>
          <w:szCs w:val="24"/>
        </w:rPr>
      </w:pPr>
    </w:p>
    <w:p w:rsidR="00604CC2" w:rsidRPr="007F48A9" w:rsidRDefault="00604CC2" w:rsidP="009272FA">
      <w:pPr>
        <w:rPr>
          <w:sz w:val="24"/>
          <w:szCs w:val="24"/>
        </w:rPr>
      </w:pPr>
      <w:r w:rsidRPr="007F48A9">
        <w:rPr>
          <w:sz w:val="24"/>
          <w:szCs w:val="24"/>
        </w:rPr>
        <w:t>1996 DEQ</w:t>
      </w:r>
      <w:r w:rsidR="00B06746">
        <w:rPr>
          <w:sz w:val="24"/>
          <w:szCs w:val="24"/>
        </w:rPr>
        <w:t>,</w:t>
      </w:r>
      <w:r w:rsidRPr="007F48A9">
        <w:rPr>
          <w:sz w:val="24"/>
          <w:szCs w:val="24"/>
        </w:rPr>
        <w:t xml:space="preserve"> Chevron Tank Farm –PDX/ASII USTC File No. 26-89-0012. Feb. 28, 1996.</w:t>
      </w:r>
    </w:p>
    <w:p w:rsidR="00EB5242" w:rsidRPr="007F48A9" w:rsidRDefault="00EB5242" w:rsidP="009272FA">
      <w:pPr>
        <w:rPr>
          <w:sz w:val="24"/>
          <w:szCs w:val="24"/>
        </w:rPr>
      </w:pPr>
    </w:p>
    <w:p w:rsidR="009272FA" w:rsidRPr="007F48A9" w:rsidRDefault="009272FA" w:rsidP="009272FA">
      <w:pPr>
        <w:rPr>
          <w:sz w:val="24"/>
          <w:szCs w:val="24"/>
        </w:rPr>
      </w:pPr>
      <w:proofErr w:type="gramStart"/>
      <w:r w:rsidRPr="007F48A9">
        <w:rPr>
          <w:sz w:val="24"/>
          <w:szCs w:val="24"/>
        </w:rPr>
        <w:t>1990 Chevron Pipe Line Company, Portland Airport, Corrective Action Plan.</w:t>
      </w:r>
      <w:proofErr w:type="gramEnd"/>
      <w:r w:rsidRPr="007F48A9">
        <w:rPr>
          <w:sz w:val="24"/>
          <w:szCs w:val="24"/>
        </w:rPr>
        <w:t xml:space="preserve"> December 20, 1990</w:t>
      </w:r>
      <w:r w:rsidR="00B06746">
        <w:rPr>
          <w:sz w:val="24"/>
          <w:szCs w:val="24"/>
        </w:rPr>
        <w:t>.</w:t>
      </w:r>
    </w:p>
    <w:p w:rsidR="0071036C" w:rsidRPr="007F48A9" w:rsidRDefault="0071036C" w:rsidP="0071036C">
      <w:pPr>
        <w:jc w:val="center"/>
        <w:rPr>
          <w:b/>
          <w:sz w:val="24"/>
          <w:szCs w:val="24"/>
          <w:u w:val="single"/>
        </w:rPr>
      </w:pPr>
    </w:p>
    <w:p w:rsidR="0071036C" w:rsidRPr="007F48A9" w:rsidRDefault="0071036C" w:rsidP="0071036C">
      <w:pPr>
        <w:jc w:val="center"/>
        <w:rPr>
          <w:b/>
          <w:sz w:val="24"/>
          <w:szCs w:val="24"/>
          <w:u w:val="single"/>
        </w:rPr>
      </w:pPr>
    </w:p>
    <w:p w:rsidR="0071036C" w:rsidRPr="007F48A9" w:rsidRDefault="0071036C" w:rsidP="0071036C">
      <w:pPr>
        <w:jc w:val="center"/>
        <w:rPr>
          <w:b/>
          <w:sz w:val="24"/>
          <w:szCs w:val="24"/>
          <w:u w:val="single"/>
        </w:rPr>
      </w:pPr>
    </w:p>
    <w:p w:rsidR="0071036C" w:rsidRPr="007F48A9" w:rsidRDefault="0071036C" w:rsidP="0071036C">
      <w:pPr>
        <w:jc w:val="center"/>
        <w:rPr>
          <w:b/>
          <w:sz w:val="24"/>
          <w:szCs w:val="24"/>
          <w:u w:val="single"/>
        </w:rPr>
      </w:pPr>
    </w:p>
    <w:p w:rsidR="0071036C" w:rsidRPr="007F48A9" w:rsidRDefault="0071036C" w:rsidP="0071036C">
      <w:pPr>
        <w:jc w:val="center"/>
        <w:rPr>
          <w:b/>
          <w:sz w:val="24"/>
          <w:szCs w:val="24"/>
          <w:u w:val="single"/>
        </w:rPr>
      </w:pPr>
    </w:p>
    <w:p w:rsidR="0071036C" w:rsidRPr="007F48A9" w:rsidRDefault="0071036C" w:rsidP="0071036C">
      <w:pPr>
        <w:jc w:val="center"/>
        <w:rPr>
          <w:b/>
          <w:sz w:val="24"/>
          <w:szCs w:val="24"/>
          <w:u w:val="single"/>
        </w:rPr>
      </w:pPr>
    </w:p>
    <w:p w:rsidR="00EB5242" w:rsidRPr="007F48A9" w:rsidRDefault="00EB5242" w:rsidP="0071036C">
      <w:pPr>
        <w:jc w:val="center"/>
        <w:rPr>
          <w:b/>
          <w:sz w:val="24"/>
          <w:szCs w:val="24"/>
          <w:u w:val="single"/>
        </w:rPr>
      </w:pPr>
    </w:p>
    <w:p w:rsidR="00EB5242" w:rsidRPr="007F48A9" w:rsidRDefault="00EB5242" w:rsidP="0071036C">
      <w:pPr>
        <w:jc w:val="center"/>
        <w:rPr>
          <w:b/>
          <w:sz w:val="24"/>
          <w:szCs w:val="24"/>
          <w:u w:val="single"/>
        </w:rPr>
      </w:pPr>
    </w:p>
    <w:p w:rsidR="00EB5242" w:rsidRPr="007F48A9" w:rsidRDefault="00EB5242" w:rsidP="0071036C">
      <w:pPr>
        <w:jc w:val="center"/>
        <w:rPr>
          <w:b/>
          <w:sz w:val="24"/>
          <w:szCs w:val="24"/>
          <w:u w:val="single"/>
        </w:rPr>
      </w:pPr>
    </w:p>
    <w:p w:rsidR="00EB5242" w:rsidRPr="007F48A9" w:rsidRDefault="00EB5242" w:rsidP="0071036C">
      <w:pPr>
        <w:jc w:val="center"/>
        <w:rPr>
          <w:b/>
          <w:sz w:val="24"/>
          <w:szCs w:val="24"/>
          <w:u w:val="single"/>
        </w:rPr>
      </w:pPr>
    </w:p>
    <w:p w:rsidR="00EB5242" w:rsidRPr="007F48A9" w:rsidRDefault="00EB5242" w:rsidP="0071036C">
      <w:pPr>
        <w:jc w:val="center"/>
        <w:rPr>
          <w:b/>
          <w:sz w:val="24"/>
          <w:szCs w:val="24"/>
          <w:u w:val="single"/>
        </w:rPr>
      </w:pPr>
    </w:p>
    <w:p w:rsidR="00EB5242" w:rsidRPr="007F48A9" w:rsidRDefault="00EB5242" w:rsidP="0071036C">
      <w:pPr>
        <w:jc w:val="center"/>
        <w:rPr>
          <w:b/>
          <w:sz w:val="24"/>
          <w:szCs w:val="24"/>
          <w:u w:val="single"/>
        </w:rPr>
      </w:pPr>
    </w:p>
    <w:p w:rsidR="00EB5242" w:rsidRPr="007F48A9" w:rsidRDefault="00EB5242" w:rsidP="0071036C">
      <w:pPr>
        <w:jc w:val="center"/>
        <w:rPr>
          <w:b/>
          <w:sz w:val="24"/>
          <w:szCs w:val="24"/>
          <w:u w:val="single"/>
        </w:rPr>
      </w:pPr>
    </w:p>
    <w:p w:rsidR="00EB5242" w:rsidRPr="007F48A9" w:rsidRDefault="00EB5242" w:rsidP="0071036C">
      <w:pPr>
        <w:jc w:val="center"/>
        <w:rPr>
          <w:b/>
          <w:sz w:val="24"/>
          <w:szCs w:val="24"/>
          <w:u w:val="single"/>
        </w:rPr>
      </w:pPr>
    </w:p>
    <w:p w:rsidR="00EB5242" w:rsidRPr="007F48A9" w:rsidRDefault="00EB5242" w:rsidP="0071036C">
      <w:pPr>
        <w:jc w:val="center"/>
        <w:rPr>
          <w:b/>
          <w:sz w:val="24"/>
          <w:szCs w:val="24"/>
          <w:u w:val="single"/>
        </w:rPr>
      </w:pPr>
    </w:p>
    <w:p w:rsidR="0071036C" w:rsidRPr="007F48A9" w:rsidRDefault="0071036C" w:rsidP="0071036C">
      <w:pPr>
        <w:jc w:val="center"/>
        <w:rPr>
          <w:b/>
          <w:sz w:val="24"/>
          <w:szCs w:val="24"/>
          <w:u w:val="single"/>
        </w:rPr>
      </w:pPr>
      <w:r w:rsidRPr="007F48A9">
        <w:rPr>
          <w:b/>
          <w:sz w:val="24"/>
          <w:szCs w:val="24"/>
          <w:u w:val="single"/>
        </w:rPr>
        <w:t>Attachment A</w:t>
      </w:r>
    </w:p>
    <w:p w:rsidR="0071036C" w:rsidRPr="007F48A9" w:rsidRDefault="0071036C" w:rsidP="009272FA">
      <w:pPr>
        <w:rPr>
          <w:sz w:val="24"/>
          <w:szCs w:val="24"/>
        </w:rPr>
      </w:pPr>
    </w:p>
    <w:p w:rsidR="00EB5242" w:rsidRPr="007F48A9" w:rsidRDefault="00EB5242" w:rsidP="009272FA">
      <w:pPr>
        <w:rPr>
          <w:sz w:val="24"/>
          <w:szCs w:val="24"/>
        </w:rPr>
      </w:pPr>
    </w:p>
    <w:p w:rsidR="00EB5242" w:rsidRPr="007F48A9" w:rsidRDefault="00EB5242" w:rsidP="009272FA">
      <w:pPr>
        <w:rPr>
          <w:sz w:val="24"/>
          <w:szCs w:val="24"/>
        </w:rPr>
      </w:pPr>
    </w:p>
    <w:p w:rsidR="0071036C" w:rsidRPr="007F48A9" w:rsidRDefault="0071036C" w:rsidP="0071036C">
      <w:pPr>
        <w:jc w:val="center"/>
        <w:rPr>
          <w:b/>
          <w:sz w:val="24"/>
          <w:szCs w:val="24"/>
        </w:rPr>
      </w:pPr>
      <w:r w:rsidRPr="007F48A9">
        <w:rPr>
          <w:b/>
          <w:sz w:val="24"/>
          <w:szCs w:val="24"/>
        </w:rPr>
        <w:t>Outline for DEQ Staff Memorandum in support of a No Further Action determination</w:t>
      </w:r>
    </w:p>
    <w:p w:rsidR="009272FA" w:rsidRPr="007F48A9" w:rsidRDefault="009272FA" w:rsidP="009272FA">
      <w:pPr>
        <w:rPr>
          <w:sz w:val="24"/>
          <w:szCs w:val="24"/>
        </w:rPr>
      </w:pPr>
    </w:p>
    <w:p w:rsidR="009272FA" w:rsidRPr="007F48A9" w:rsidRDefault="009272FA" w:rsidP="009272FA">
      <w:pPr>
        <w:rPr>
          <w:sz w:val="24"/>
          <w:szCs w:val="24"/>
        </w:rPr>
      </w:pPr>
    </w:p>
    <w:p w:rsidR="009272FA" w:rsidRPr="007F48A9" w:rsidRDefault="009272FA" w:rsidP="009272FA">
      <w:pPr>
        <w:rPr>
          <w:sz w:val="24"/>
          <w:szCs w:val="24"/>
        </w:rPr>
      </w:pPr>
    </w:p>
    <w:p w:rsidR="005029D0" w:rsidRPr="007F48A9" w:rsidRDefault="005029D0">
      <w:pPr>
        <w:widowControl w:val="0"/>
        <w:spacing w:before="120" w:after="80"/>
        <w:rPr>
          <w:sz w:val="24"/>
          <w:szCs w:val="24"/>
        </w:rPr>
      </w:pPr>
    </w:p>
    <w:p w:rsidR="00787F91" w:rsidRPr="007F48A9" w:rsidRDefault="00787F91">
      <w:pPr>
        <w:widowControl w:val="0"/>
        <w:spacing w:before="120" w:after="80"/>
        <w:rPr>
          <w:sz w:val="24"/>
          <w:szCs w:val="24"/>
        </w:rPr>
      </w:pPr>
    </w:p>
    <w:sectPr w:rsidR="00787F91" w:rsidRPr="007F48A9" w:rsidSect="005029D0">
      <w:headerReference w:type="first" r:id="rId8"/>
      <w:pgSz w:w="12240" w:h="15840" w:code="1"/>
      <w:pgMar w:top="1310" w:right="144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44A" w:rsidRDefault="00BB044A">
      <w:r>
        <w:separator/>
      </w:r>
    </w:p>
  </w:endnote>
  <w:endnote w:type="continuationSeparator" w:id="0">
    <w:p w:rsidR="00BB044A" w:rsidRDefault="00BB04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44A" w:rsidRDefault="00BB044A">
      <w:r>
        <w:separator/>
      </w:r>
    </w:p>
  </w:footnote>
  <w:footnote w:type="continuationSeparator" w:id="0">
    <w:p w:rsidR="00BB044A" w:rsidRDefault="00BB0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F37" w:rsidRPr="00442032" w:rsidRDefault="007C3F37">
    <w:pPr>
      <w:pStyle w:val="Header"/>
      <w:tabs>
        <w:tab w:val="clear" w:pos="4680"/>
        <w:tab w:val="clear" w:pos="9360"/>
        <w:tab w:val="right" w:pos="11016"/>
      </w:tabs>
      <w:ind w:right="90" w:hanging="990"/>
      <w:rPr>
        <w:color w:val="4B5B9F"/>
      </w:rPr>
    </w:pPr>
    <w:r w:rsidRPr="001630E9">
      <w:rPr>
        <w:noProof/>
        <w:color w:val="4B5B9F"/>
      </w:rPr>
      <w:drawing>
        <wp:anchor distT="0" distB="0" distL="114300" distR="114300" simplePos="0" relativeHeight="251657728" behindDoc="1" locked="0" layoutInCell="1" allowOverlap="1">
          <wp:simplePos x="0" y="0"/>
          <wp:positionH relativeFrom="column">
            <wp:posOffset>-553444</wp:posOffset>
          </wp:positionH>
          <wp:positionV relativeFrom="paragraph">
            <wp:posOffset>32302</wp:posOffset>
          </wp:positionV>
          <wp:extent cx="890270" cy="882595"/>
          <wp:effectExtent l="19050" t="0" r="5439" b="0"/>
          <wp:wrapNone/>
          <wp:docPr id="8"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Pr="00442032">
      <w:rPr>
        <w:noProof/>
        <w:color w:val="4B5B9F"/>
      </w:rPr>
      <w:drawing>
        <wp:anchor distT="0" distB="0" distL="114300" distR="114300" simplePos="0" relativeHeight="251656704" behindDoc="1" locked="0" layoutInCell="1" allowOverlap="1">
          <wp:simplePos x="0" y="0"/>
          <wp:positionH relativeFrom="column">
            <wp:posOffset>429370</wp:posOffset>
          </wp:positionH>
          <wp:positionV relativeFrom="paragraph">
            <wp:posOffset>-15406</wp:posOffset>
          </wp:positionV>
          <wp:extent cx="6105967" cy="930303"/>
          <wp:effectExtent l="19050" t="0" r="9083" b="0"/>
          <wp:wrapNone/>
          <wp:docPr id="1"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rsidR="007C3F37" w:rsidRPr="00442032" w:rsidRDefault="003B4D7A">
    <w:pPr>
      <w:pStyle w:val="Header"/>
      <w:tabs>
        <w:tab w:val="left" w:pos="5760"/>
      </w:tabs>
      <w:spacing w:before="120"/>
      <w:ind w:right="-634"/>
      <w:jc w:val="right"/>
      <w:rPr>
        <w:b/>
        <w:color w:val="4B5B9F"/>
        <w:szCs w:val="18"/>
      </w:rPr>
    </w:pPr>
    <w:r w:rsidRPr="003B4D7A">
      <w:rPr>
        <w:rFonts w:ascii="Palatino Linotype" w:hAnsi="Palatino Linotype"/>
        <w:b/>
        <w:noProof/>
        <w:color w:val="4B5B9F"/>
        <w:sz w:val="22"/>
      </w:rPr>
      <w:pict>
        <v:rect id="_x0000_s2049" style="position:absolute;left:0;text-align:left;margin-left:290.5pt;margin-top:6.15pt;width:218.5pt;height:18.2pt;z-index:-251657728" stroked="f"/>
      </w:pict>
    </w:r>
    <w:r w:rsidR="007C3F37" w:rsidRPr="00442032">
      <w:rPr>
        <w:rFonts w:ascii="Palatino Linotype" w:hAnsi="Palatino Linotype"/>
        <w:b/>
        <w:color w:val="4B5B9F"/>
      </w:rPr>
      <w:t>Department of Environmental Quality</w:t>
    </w:r>
  </w:p>
  <w:p w:rsidR="007C3F37" w:rsidRPr="00442032" w:rsidRDefault="007C3F37">
    <w:pPr>
      <w:pStyle w:val="Header"/>
      <w:tabs>
        <w:tab w:val="clear" w:pos="4680"/>
        <w:tab w:val="clear" w:pos="9360"/>
        <w:tab w:val="left" w:pos="630"/>
        <w:tab w:val="right" w:pos="9990"/>
      </w:tabs>
      <w:ind w:right="-634"/>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Pr>
        <w:rFonts w:ascii="Palatino Linotype" w:hAnsi="Palatino Linotype"/>
        <w:b/>
        <w:color w:val="4B5B9F"/>
        <w:sz w:val="18"/>
        <w:szCs w:val="18"/>
      </w:rPr>
      <w:t>Northwest Region</w:t>
    </w:r>
  </w:p>
  <w:p w:rsidR="007C3F37" w:rsidRPr="00E06EFC" w:rsidRDefault="007C3F37" w:rsidP="00E06EFC">
    <w:pPr>
      <w:pStyle w:val="Header"/>
      <w:tabs>
        <w:tab w:val="clear" w:pos="4680"/>
        <w:tab w:val="clear" w:pos="9360"/>
        <w:tab w:val="left" w:pos="630"/>
        <w:tab w:val="right" w:pos="9990"/>
      </w:tabs>
      <w:ind w:right="-634"/>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r>
    <w:r w:rsidRPr="00E06EFC">
      <w:rPr>
        <w:rFonts w:ascii="Palatino Linotype" w:hAnsi="Palatino Linotype"/>
        <w:color w:val="4B5B9F"/>
        <w:sz w:val="18"/>
        <w:szCs w:val="18"/>
      </w:rPr>
      <w:t>700 NE Multnomah Street, Suite 600</w:t>
    </w:r>
  </w:p>
  <w:p w:rsidR="007C3F37" w:rsidRPr="00442032" w:rsidRDefault="007C3F37" w:rsidP="00E06EFC">
    <w:pPr>
      <w:pStyle w:val="Header"/>
      <w:tabs>
        <w:tab w:val="clear" w:pos="4680"/>
        <w:tab w:val="clear" w:pos="9360"/>
        <w:tab w:val="left" w:pos="630"/>
        <w:tab w:val="right" w:pos="9990"/>
      </w:tabs>
      <w:ind w:right="-634"/>
      <w:rPr>
        <w:rFonts w:ascii="Palatino Linotype" w:hAnsi="Palatino Linotype"/>
        <w:color w:val="4B5B9F"/>
        <w:sz w:val="18"/>
        <w:szCs w:val="18"/>
      </w:rPr>
    </w:pPr>
    <w:r w:rsidRPr="00E06EFC">
      <w:rPr>
        <w:rFonts w:ascii="Palatino Linotype" w:hAnsi="Palatino Linotype"/>
        <w:color w:val="4B5B9F"/>
        <w:sz w:val="18"/>
        <w:szCs w:val="18"/>
      </w:rPr>
      <w:tab/>
      <w:t>Kate Brown, Governor</w:t>
    </w:r>
    <w:r w:rsidRPr="00E06EFC">
      <w:rPr>
        <w:rFonts w:ascii="Palatino Linotype" w:hAnsi="Palatino Linotype"/>
        <w:color w:val="4B5B9F"/>
        <w:sz w:val="18"/>
        <w:szCs w:val="18"/>
      </w:rPr>
      <w:tab/>
      <w:t>Portland, OR  97232</w:t>
    </w:r>
  </w:p>
  <w:p w:rsidR="007C3F37" w:rsidRPr="00442032" w:rsidRDefault="007C3F37">
    <w:pPr>
      <w:pStyle w:val="Header"/>
      <w:tabs>
        <w:tab w:val="clear" w:pos="4680"/>
        <w:tab w:val="clear" w:pos="9360"/>
        <w:tab w:val="left" w:pos="630"/>
        <w:tab w:val="right" w:pos="9990"/>
      </w:tabs>
      <w:ind w:right="-634"/>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(503) 229-5</w:t>
    </w:r>
    <w:r>
      <w:rPr>
        <w:rFonts w:ascii="Palatino Linotype" w:hAnsi="Palatino Linotype"/>
        <w:color w:val="4B5B9F"/>
        <w:sz w:val="18"/>
        <w:szCs w:val="18"/>
      </w:rPr>
      <w:t>2</w:t>
    </w:r>
    <w:r w:rsidRPr="00442032">
      <w:rPr>
        <w:rFonts w:ascii="Palatino Linotype" w:hAnsi="Palatino Linotype"/>
        <w:color w:val="4B5B9F"/>
        <w:sz w:val="18"/>
        <w:szCs w:val="18"/>
      </w:rPr>
      <w:t>6</w:t>
    </w:r>
    <w:r>
      <w:rPr>
        <w:rFonts w:ascii="Palatino Linotype" w:hAnsi="Palatino Linotype"/>
        <w:color w:val="4B5B9F"/>
        <w:sz w:val="18"/>
        <w:szCs w:val="18"/>
      </w:rPr>
      <w:t>3</w:t>
    </w:r>
  </w:p>
  <w:p w:rsidR="007C3F37" w:rsidRPr="00442032" w:rsidRDefault="007C3F37">
    <w:pPr>
      <w:pStyle w:val="Header"/>
      <w:tabs>
        <w:tab w:val="clear" w:pos="4680"/>
        <w:tab w:val="clear" w:pos="9360"/>
        <w:tab w:val="left" w:pos="630"/>
        <w:tab w:val="right" w:pos="9990"/>
      </w:tabs>
      <w:ind w:right="-634"/>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FAX (503) 229-6</w:t>
    </w:r>
    <w:r>
      <w:rPr>
        <w:rFonts w:ascii="Palatino Linotype" w:hAnsi="Palatino Linotype"/>
        <w:color w:val="4B5B9F"/>
        <w:sz w:val="18"/>
        <w:szCs w:val="18"/>
      </w:rPr>
      <w:t>945</w:t>
    </w:r>
  </w:p>
  <w:p w:rsidR="007C3F37" w:rsidRPr="00442032" w:rsidRDefault="007C3F37">
    <w:pPr>
      <w:pStyle w:val="Header"/>
      <w:tabs>
        <w:tab w:val="left" w:pos="5760"/>
      </w:tabs>
      <w:ind w:right="-630"/>
      <w:jc w:val="right"/>
      <w:rPr>
        <w:rFonts w:ascii="Palatino Linotype" w:hAnsi="Palatino Linotype"/>
        <w:color w:val="4B5B9F"/>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54DDB"/>
    <w:multiLevelType w:val="hybridMultilevel"/>
    <w:tmpl w:val="9DF4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273C30"/>
    <w:multiLevelType w:val="hybridMultilevel"/>
    <w:tmpl w:val="5832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B513DC"/>
    <w:multiLevelType w:val="hybridMultilevel"/>
    <w:tmpl w:val="0D8622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AFB7AA9"/>
    <w:multiLevelType w:val="hybridMultilevel"/>
    <w:tmpl w:val="E5440E30"/>
    <w:lvl w:ilvl="0" w:tplc="CC58E85A">
      <w:start w:val="1"/>
      <w:numFmt w:val="decimal"/>
      <w:lvlText w:val="%1."/>
      <w:lvlJc w:val="left"/>
      <w:pPr>
        <w:ind w:left="810" w:hanging="360"/>
      </w:pPr>
      <w:rPr>
        <w:strike w:val="0"/>
        <w:dstrike w:val="0"/>
        <w:u w:val="none" w:color="00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B3F7610"/>
    <w:multiLevelType w:val="hybridMultilevel"/>
    <w:tmpl w:val="215653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121"/>
  <w:stylePaneSortMethod w:val="000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18360E"/>
    <w:rsid w:val="00063271"/>
    <w:rsid w:val="000A1017"/>
    <w:rsid w:val="000B0DAA"/>
    <w:rsid w:val="000C6492"/>
    <w:rsid w:val="00134A20"/>
    <w:rsid w:val="00144F56"/>
    <w:rsid w:val="001630E9"/>
    <w:rsid w:val="0018360E"/>
    <w:rsid w:val="001A2041"/>
    <w:rsid w:val="00262BDB"/>
    <w:rsid w:val="002C5DE6"/>
    <w:rsid w:val="002E74BC"/>
    <w:rsid w:val="002F7F2F"/>
    <w:rsid w:val="0030712D"/>
    <w:rsid w:val="00367CEF"/>
    <w:rsid w:val="00394546"/>
    <w:rsid w:val="003B4D7A"/>
    <w:rsid w:val="003C4692"/>
    <w:rsid w:val="004012B6"/>
    <w:rsid w:val="00442032"/>
    <w:rsid w:val="00480683"/>
    <w:rsid w:val="00487B29"/>
    <w:rsid w:val="005029D0"/>
    <w:rsid w:val="00503EE6"/>
    <w:rsid w:val="00551074"/>
    <w:rsid w:val="00573427"/>
    <w:rsid w:val="005A5A35"/>
    <w:rsid w:val="005B02CC"/>
    <w:rsid w:val="005C3EB5"/>
    <w:rsid w:val="005E1ADA"/>
    <w:rsid w:val="00604CC2"/>
    <w:rsid w:val="00662C20"/>
    <w:rsid w:val="0067077D"/>
    <w:rsid w:val="0067528A"/>
    <w:rsid w:val="006C026E"/>
    <w:rsid w:val="006E2794"/>
    <w:rsid w:val="006E6651"/>
    <w:rsid w:val="006F6BB0"/>
    <w:rsid w:val="0070086E"/>
    <w:rsid w:val="0071036C"/>
    <w:rsid w:val="00712124"/>
    <w:rsid w:val="00731A86"/>
    <w:rsid w:val="00731B9E"/>
    <w:rsid w:val="00745340"/>
    <w:rsid w:val="00787F91"/>
    <w:rsid w:val="007A1C3E"/>
    <w:rsid w:val="007A2071"/>
    <w:rsid w:val="007B6E68"/>
    <w:rsid w:val="007C3F37"/>
    <w:rsid w:val="007E0C14"/>
    <w:rsid w:val="007F48A9"/>
    <w:rsid w:val="0082599D"/>
    <w:rsid w:val="00852DDF"/>
    <w:rsid w:val="008673F3"/>
    <w:rsid w:val="008B063D"/>
    <w:rsid w:val="009272FA"/>
    <w:rsid w:val="00934745"/>
    <w:rsid w:val="00957402"/>
    <w:rsid w:val="009C1EF1"/>
    <w:rsid w:val="00A10B4E"/>
    <w:rsid w:val="00A10C9A"/>
    <w:rsid w:val="00A52D24"/>
    <w:rsid w:val="00AC79AE"/>
    <w:rsid w:val="00AF00D3"/>
    <w:rsid w:val="00B06746"/>
    <w:rsid w:val="00B150F7"/>
    <w:rsid w:val="00B514A4"/>
    <w:rsid w:val="00BA2157"/>
    <w:rsid w:val="00BB044A"/>
    <w:rsid w:val="00BE1160"/>
    <w:rsid w:val="00C66C4C"/>
    <w:rsid w:val="00C85D72"/>
    <w:rsid w:val="00C90B27"/>
    <w:rsid w:val="00CA4577"/>
    <w:rsid w:val="00CD224C"/>
    <w:rsid w:val="00D463D5"/>
    <w:rsid w:val="00D5563F"/>
    <w:rsid w:val="00E06EFC"/>
    <w:rsid w:val="00E36072"/>
    <w:rsid w:val="00EB5242"/>
    <w:rsid w:val="00ED61B6"/>
    <w:rsid w:val="00F07694"/>
    <w:rsid w:val="00F35D24"/>
    <w:rsid w:val="00F461DE"/>
    <w:rsid w:val="00F7162F"/>
    <w:rsid w:val="00F745C9"/>
    <w:rsid w:val="00FA14D9"/>
    <w:rsid w:val="00FF2812"/>
    <w:rsid w:val="00FF7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FA"/>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063271"/>
    <w:pPr>
      <w:autoSpaceDE w:val="0"/>
      <w:autoSpaceDN w:val="0"/>
      <w:adjustRightInd w:val="0"/>
      <w:spacing w:before="14"/>
      <w:ind w:left="3085"/>
      <w:outlineLvl w:val="0"/>
    </w:pPr>
    <w:rPr>
      <w:rFonts w:ascii="Arial" w:eastAsiaTheme="minorHAnsi" w:hAnsi="Arial" w:cs="Arial"/>
      <w:b/>
      <w:bCs/>
      <w:sz w:val="36"/>
      <w:szCs w:val="36"/>
    </w:rPr>
  </w:style>
  <w:style w:type="paragraph" w:styleId="Heading2">
    <w:name w:val="heading 2"/>
    <w:basedOn w:val="Normal"/>
    <w:next w:val="Normal"/>
    <w:link w:val="Heading2Char"/>
    <w:uiPriority w:val="1"/>
    <w:qFormat/>
    <w:rsid w:val="00063271"/>
    <w:pPr>
      <w:autoSpaceDE w:val="0"/>
      <w:autoSpaceDN w:val="0"/>
      <w:adjustRightInd w:val="0"/>
      <w:ind w:left="3085"/>
      <w:outlineLvl w:val="1"/>
    </w:pPr>
    <w:rPr>
      <w:rFonts w:ascii="Arial" w:eastAsiaTheme="minorHAnsi" w:hAnsi="Arial" w:cs="Arial"/>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sz w:val="24"/>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semiHidden/>
    <w:unhideWhenUsed/>
    <w:rsid w:val="005029D0"/>
    <w:pPr>
      <w:tabs>
        <w:tab w:val="center" w:pos="4680"/>
        <w:tab w:val="right" w:pos="9360"/>
      </w:tabs>
    </w:pPr>
  </w:style>
  <w:style w:type="character" w:customStyle="1" w:styleId="FooterChar">
    <w:name w:val="Footer Char"/>
    <w:basedOn w:val="DefaultParagraphFont"/>
    <w:link w:val="Footer"/>
    <w:uiPriority w:val="99"/>
    <w:semiHidden/>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styleId="Hyperlink">
    <w:name w:val="Hyperlink"/>
    <w:uiPriority w:val="99"/>
    <w:semiHidden/>
    <w:unhideWhenUsed/>
    <w:rsid w:val="009272FA"/>
    <w:rPr>
      <w:color w:val="0000FF"/>
      <w:u w:val="single"/>
    </w:rPr>
  </w:style>
  <w:style w:type="paragraph" w:styleId="ListParagraph">
    <w:name w:val="List Paragraph"/>
    <w:basedOn w:val="Normal"/>
    <w:uiPriority w:val="34"/>
    <w:qFormat/>
    <w:rsid w:val="00487B29"/>
    <w:pPr>
      <w:ind w:left="720"/>
      <w:contextualSpacing/>
    </w:pPr>
  </w:style>
  <w:style w:type="character" w:customStyle="1" w:styleId="Heading1Char">
    <w:name w:val="Heading 1 Char"/>
    <w:basedOn w:val="DefaultParagraphFont"/>
    <w:link w:val="Heading1"/>
    <w:uiPriority w:val="1"/>
    <w:rsid w:val="00063271"/>
    <w:rPr>
      <w:rFonts w:ascii="Arial" w:hAnsi="Arial" w:cs="Arial"/>
      <w:b/>
      <w:bCs/>
      <w:sz w:val="36"/>
      <w:szCs w:val="36"/>
    </w:rPr>
  </w:style>
  <w:style w:type="character" w:customStyle="1" w:styleId="Heading2Char">
    <w:name w:val="Heading 2 Char"/>
    <w:basedOn w:val="DefaultParagraphFont"/>
    <w:link w:val="Heading2"/>
    <w:uiPriority w:val="1"/>
    <w:rsid w:val="00063271"/>
    <w:rPr>
      <w:rFonts w:ascii="Arial" w:hAnsi="Arial" w:cs="Arial"/>
      <w:b/>
      <w:bCs/>
      <w:sz w:val="28"/>
      <w:szCs w:val="28"/>
      <w:u w:val="single"/>
    </w:rPr>
  </w:style>
  <w:style w:type="paragraph" w:styleId="BodyText">
    <w:name w:val="Body Text"/>
    <w:basedOn w:val="Normal"/>
    <w:link w:val="BodyTextChar"/>
    <w:uiPriority w:val="1"/>
    <w:qFormat/>
    <w:rsid w:val="00063271"/>
    <w:pPr>
      <w:autoSpaceDE w:val="0"/>
      <w:autoSpaceDN w:val="0"/>
      <w:adjustRightInd w:val="0"/>
      <w:spacing w:before="117"/>
      <w:ind w:left="160"/>
    </w:pPr>
    <w:rPr>
      <w:rFonts w:ascii="Arial" w:eastAsiaTheme="minorHAnsi" w:hAnsi="Arial" w:cs="Arial"/>
    </w:rPr>
  </w:style>
  <w:style w:type="character" w:customStyle="1" w:styleId="BodyTextChar">
    <w:name w:val="Body Text Char"/>
    <w:basedOn w:val="DefaultParagraphFont"/>
    <w:link w:val="BodyText"/>
    <w:uiPriority w:val="1"/>
    <w:rsid w:val="00063271"/>
    <w:rPr>
      <w:rFonts w:ascii="Arial" w:hAnsi="Arial" w:cs="Arial"/>
      <w:sz w:val="20"/>
      <w:szCs w:val="20"/>
    </w:rPr>
  </w:style>
  <w:style w:type="character" w:styleId="CommentReference">
    <w:name w:val="annotation reference"/>
    <w:basedOn w:val="DefaultParagraphFont"/>
    <w:uiPriority w:val="99"/>
    <w:semiHidden/>
    <w:unhideWhenUsed/>
    <w:rsid w:val="00731B9E"/>
    <w:rPr>
      <w:sz w:val="16"/>
      <w:szCs w:val="16"/>
    </w:rPr>
  </w:style>
  <w:style w:type="paragraph" w:styleId="CommentText">
    <w:name w:val="annotation text"/>
    <w:basedOn w:val="Normal"/>
    <w:link w:val="CommentTextChar"/>
    <w:uiPriority w:val="99"/>
    <w:semiHidden/>
    <w:unhideWhenUsed/>
    <w:rsid w:val="00731B9E"/>
  </w:style>
  <w:style w:type="character" w:customStyle="1" w:styleId="CommentTextChar">
    <w:name w:val="Comment Text Char"/>
    <w:basedOn w:val="DefaultParagraphFont"/>
    <w:link w:val="CommentText"/>
    <w:uiPriority w:val="99"/>
    <w:semiHidden/>
    <w:rsid w:val="00731B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1B9E"/>
    <w:rPr>
      <w:b/>
      <w:bCs/>
    </w:rPr>
  </w:style>
  <w:style w:type="character" w:customStyle="1" w:styleId="CommentSubjectChar">
    <w:name w:val="Comment Subject Char"/>
    <w:basedOn w:val="CommentTextChar"/>
    <w:link w:val="CommentSubject"/>
    <w:uiPriority w:val="99"/>
    <w:semiHidden/>
    <w:rsid w:val="00731B9E"/>
    <w:rPr>
      <w:b/>
      <w:bCs/>
    </w:rPr>
  </w:style>
</w:styles>
</file>

<file path=word/webSettings.xml><?xml version="1.0" encoding="utf-8"?>
<w:webSettings xmlns:r="http://schemas.openxmlformats.org/officeDocument/2006/relationships" xmlns:w="http://schemas.openxmlformats.org/wordprocessingml/2006/main">
  <w:divs>
    <w:div w:id="283344609">
      <w:bodyDiv w:val="1"/>
      <w:marLeft w:val="0"/>
      <w:marRight w:val="0"/>
      <w:marTop w:val="0"/>
      <w:marBottom w:val="0"/>
      <w:divBdr>
        <w:top w:val="none" w:sz="0" w:space="0" w:color="auto"/>
        <w:left w:val="none" w:sz="0" w:space="0" w:color="auto"/>
        <w:bottom w:val="none" w:sz="0" w:space="0" w:color="auto"/>
        <w:right w:val="none" w:sz="0" w:space="0" w:color="auto"/>
      </w:divBdr>
    </w:div>
    <w:div w:id="10844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iessen.Kenneth@deq.state.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NWR1\templates\DEQ%20Letterheads\ZcolorNW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ZcolorNWR.dotx</Template>
  <TotalTime>838</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Thiessen</dc:creator>
  <cp:lastModifiedBy>Kenneth Thiessen</cp:lastModifiedBy>
  <cp:revision>42</cp:revision>
  <cp:lastPrinted>2015-09-24T21:08:00Z</cp:lastPrinted>
  <dcterms:created xsi:type="dcterms:W3CDTF">2015-05-26T18:41:00Z</dcterms:created>
  <dcterms:modified xsi:type="dcterms:W3CDTF">2015-09-24T21:21:00Z</dcterms:modified>
</cp:coreProperties>
</file>