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FD45" w14:textId="6B501E5A" w:rsidR="004517C5" w:rsidRDefault="004517C5" w:rsidP="004517C5">
      <w:r>
        <w:t xml:space="preserve">PWB comments received 2/28/2022, Jack Dahl </w:t>
      </w:r>
    </w:p>
    <w:p w14:paraId="3DE56EE4" w14:textId="77777777" w:rsidR="004517C5" w:rsidRDefault="004517C5" w:rsidP="004517C5"/>
    <w:p w14:paraId="4D1A7876" w14:textId="58332A2A" w:rsidR="004517C5" w:rsidRDefault="004517C5" w:rsidP="004517C5">
      <w:r>
        <w:t>Ken,</w:t>
      </w:r>
    </w:p>
    <w:p w14:paraId="0B8C1DCA" w14:textId="77777777" w:rsidR="004517C5" w:rsidRDefault="004517C5" w:rsidP="004517C5"/>
    <w:p w14:paraId="195F7679" w14:textId="77777777" w:rsidR="004517C5" w:rsidRDefault="004517C5" w:rsidP="004517C5">
      <w:r>
        <w:t xml:space="preserve">Thank you for the opportunity to review and provide comments on DEQ’s EMC Zone A CNFA staff memo. We appreciate the continuing communication and willingness to work with us on our concerns in this matter. We have assembled comments to share with you, including comments regarding sections 3, 4, 5, and 7 of the </w:t>
      </w:r>
      <w:proofErr w:type="gramStart"/>
      <w:r>
        <w:t>memo</w:t>
      </w:r>
      <w:proofErr w:type="gramEnd"/>
      <w:r>
        <w:t>. Please find our comments below, in order of occurrence in the memo.</w:t>
      </w:r>
    </w:p>
    <w:p w14:paraId="7E50BA3F" w14:textId="77777777" w:rsidR="004517C5" w:rsidRDefault="004517C5" w:rsidP="004517C5"/>
    <w:p w14:paraId="7A060F39" w14:textId="77777777" w:rsidR="004517C5" w:rsidRDefault="004517C5" w:rsidP="004517C5">
      <w:r>
        <w:t>Section 3: Beneficial Land and Water Use Determinations – Groundwater</w:t>
      </w:r>
    </w:p>
    <w:p w14:paraId="55830627" w14:textId="77777777" w:rsidR="004517C5" w:rsidRDefault="004517C5" w:rsidP="004517C5"/>
    <w:p w14:paraId="1E8FD72B" w14:textId="77777777" w:rsidR="004517C5" w:rsidRDefault="004517C5" w:rsidP="004517C5">
      <w:r>
        <w:t>Note that the site is also within the capture zone of the Cascade Well Field operated cooperatively by the City of Gresham and the Rockwood Public Utility District, and which is a year-round public water supply source. A brief description of this expanding public water supply system and it’s SGA wells may also be appropriate.</w:t>
      </w:r>
    </w:p>
    <w:p w14:paraId="0F3E4DAA" w14:textId="77777777" w:rsidR="004517C5" w:rsidRDefault="004517C5" w:rsidP="004517C5"/>
    <w:p w14:paraId="64361958" w14:textId="77777777" w:rsidR="004517C5" w:rsidRDefault="004517C5" w:rsidP="004517C5">
      <w:r>
        <w:t>Section 4: Investigation and Cleanup Activities – Remedial Action Objectives &amp; Cleanup Levels</w:t>
      </w:r>
    </w:p>
    <w:p w14:paraId="0A7733B7" w14:textId="77777777" w:rsidR="004517C5" w:rsidRDefault="004517C5" w:rsidP="004517C5">
      <w:pPr>
        <w:autoSpaceDE w:val="0"/>
        <w:autoSpaceDN w:val="0"/>
      </w:pPr>
      <w:r>
        <w:t>The listing of remedial action objectives and cleanup levels are incomplete and incorrectly cite MCLs as the sole determining factor of “protective concentrations”. The RAO reads in full:</w:t>
      </w:r>
    </w:p>
    <w:p w14:paraId="1A07B8CB" w14:textId="77777777" w:rsidR="004517C5" w:rsidRDefault="004517C5" w:rsidP="004517C5">
      <w:pPr>
        <w:autoSpaceDE w:val="0"/>
        <w:autoSpaceDN w:val="0"/>
        <w:rPr>
          <w:rFonts w:ascii="FranklinGothic-Book" w:hAnsi="FranklinGothic-Book"/>
        </w:rPr>
      </w:pPr>
      <w:r>
        <w:rPr>
          <w:rFonts w:ascii="FranklinGothic-BookItalic" w:hAnsi="FranklinGothic-BookItalic"/>
          <w:i/>
          <w:iCs/>
        </w:rPr>
        <w:t xml:space="preserve">“Restore the TSA to protective concentrations in a reasonable time, if feasible. If not feasible, minimize the extent of the TSA containing VOCs above MCLs, </w:t>
      </w:r>
      <w:r>
        <w:rPr>
          <w:rFonts w:ascii="FranklinGothic-BookItalic" w:hAnsi="FranklinGothic-BookItalic"/>
          <w:i/>
          <w:iCs/>
          <w:u w:val="single"/>
        </w:rPr>
        <w:t>or 1x10</w:t>
      </w:r>
      <w:r>
        <w:rPr>
          <w:rFonts w:ascii="FranklinGothic-BookItalic" w:hAnsi="FranklinGothic-BookItalic"/>
          <w:i/>
          <w:iCs/>
          <w:sz w:val="14"/>
          <w:szCs w:val="14"/>
          <w:u w:val="single"/>
          <w:vertAlign w:val="superscript"/>
        </w:rPr>
        <w:t>-6</w:t>
      </w:r>
      <w:r>
        <w:rPr>
          <w:rFonts w:ascii="FranklinGothic-BookItalic" w:hAnsi="FranklinGothic-BookItalic"/>
          <w:i/>
          <w:iCs/>
          <w:sz w:val="14"/>
          <w:szCs w:val="14"/>
          <w:u w:val="single"/>
        </w:rPr>
        <w:t xml:space="preserve"> </w:t>
      </w:r>
      <w:r>
        <w:rPr>
          <w:rFonts w:ascii="FranklinGothic-BookItalic" w:hAnsi="FranklinGothic-BookItalic"/>
          <w:i/>
          <w:iCs/>
          <w:u w:val="single"/>
        </w:rPr>
        <w:t>excess cancer risk levels, whichever is more stringent</w:t>
      </w:r>
      <w:r>
        <w:rPr>
          <w:rFonts w:ascii="FranklinGothic-BookItalic" w:hAnsi="FranklinGothic-BookItalic"/>
          <w:i/>
          <w:iCs/>
        </w:rPr>
        <w:t>, and provide long-term containment of areas where concentrations are above MCLs</w:t>
      </w:r>
      <w:r>
        <w:rPr>
          <w:rFonts w:ascii="FranklinGothic-Book" w:hAnsi="FranklinGothic-Book"/>
        </w:rPr>
        <w:t>.”</w:t>
      </w:r>
    </w:p>
    <w:p w14:paraId="3548F7E6" w14:textId="77777777" w:rsidR="004517C5" w:rsidRDefault="004517C5" w:rsidP="004517C5">
      <w:pPr>
        <w:autoSpaceDE w:val="0"/>
        <w:autoSpaceDN w:val="0"/>
      </w:pPr>
      <w:r>
        <w:t>Please include the requirement to apply the excess cancer risk levels in all memos and other site documentation that sources from the RAO. Please replace the bulleted list of Cleanup Levels with the following table to more accurately represent RAO requirements:</w:t>
      </w:r>
    </w:p>
    <w:tbl>
      <w:tblPr>
        <w:tblW w:w="0" w:type="auto"/>
        <w:tblCellMar>
          <w:left w:w="0" w:type="dxa"/>
          <w:right w:w="0" w:type="dxa"/>
        </w:tblCellMar>
        <w:tblLook w:val="04A0" w:firstRow="1" w:lastRow="0" w:firstColumn="1" w:lastColumn="0" w:noHBand="0" w:noVBand="1"/>
      </w:tblPr>
      <w:tblGrid>
        <w:gridCol w:w="2335"/>
        <w:gridCol w:w="2333"/>
        <w:gridCol w:w="2336"/>
        <w:gridCol w:w="2336"/>
      </w:tblGrid>
      <w:tr w:rsidR="004517C5" w14:paraId="54CFEAE0" w14:textId="77777777" w:rsidTr="004517C5">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5AF637" w14:textId="77777777" w:rsidR="004517C5" w:rsidRDefault="004517C5">
            <w:pPr>
              <w:autoSpaceDE w:val="0"/>
              <w:autoSpaceDN w:val="0"/>
            </w:pPr>
            <w:r>
              <w:t>Contaminant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476A4" w14:textId="77777777" w:rsidR="004517C5" w:rsidRDefault="004517C5">
            <w:pPr>
              <w:autoSpaceDE w:val="0"/>
              <w:autoSpaceDN w:val="0"/>
            </w:pPr>
            <w:r>
              <w:t>MCL (ug/l)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86989" w14:textId="77777777" w:rsidR="004517C5" w:rsidRDefault="004517C5">
            <w:pPr>
              <w:autoSpaceDE w:val="0"/>
              <w:autoSpaceDN w:val="0"/>
            </w:pPr>
            <w:r>
              <w:t>Corresponding Excess Cancer Risk Level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A5A5A2" w14:textId="77777777" w:rsidR="004517C5" w:rsidRDefault="004517C5">
            <w:pPr>
              <w:autoSpaceDE w:val="0"/>
              <w:autoSpaceDN w:val="0"/>
            </w:pPr>
            <w:r>
              <w:t>Corresponding 1x10</w:t>
            </w:r>
            <w:r>
              <w:rPr>
                <w:vertAlign w:val="superscript"/>
              </w:rPr>
              <w:t>-6</w:t>
            </w:r>
            <w:r>
              <w:t xml:space="preserve"> Cancer Risk Cleanup Level (ug/l)</w:t>
            </w:r>
          </w:p>
        </w:tc>
      </w:tr>
      <w:tr w:rsidR="004517C5" w14:paraId="275CF055" w14:textId="77777777" w:rsidTr="004517C5">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287F7" w14:textId="77777777" w:rsidR="004517C5" w:rsidRDefault="004517C5">
            <w:pPr>
              <w:autoSpaceDE w:val="0"/>
              <w:autoSpaceDN w:val="0"/>
            </w:pPr>
            <w:r>
              <w:t>TCE</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0FD6DA7C" w14:textId="77777777" w:rsidR="004517C5" w:rsidRDefault="004517C5">
            <w:pPr>
              <w:autoSpaceDE w:val="0"/>
              <w:autoSpaceDN w:val="0"/>
            </w:pPr>
            <w:r>
              <w:t>5</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0889306" w14:textId="77777777" w:rsidR="004517C5" w:rsidRDefault="004517C5">
            <w:pPr>
              <w:autoSpaceDE w:val="0"/>
              <w:autoSpaceDN w:val="0"/>
            </w:pPr>
            <w:r>
              <w:t>1x10</w:t>
            </w:r>
            <w:r>
              <w:rPr>
                <w:vertAlign w:val="superscript"/>
              </w:rPr>
              <w:t>-6</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527D2E10" w14:textId="77777777" w:rsidR="004517C5" w:rsidRDefault="004517C5">
            <w:pPr>
              <w:autoSpaceDE w:val="0"/>
              <w:autoSpaceDN w:val="0"/>
            </w:pPr>
            <w:r>
              <w:t>5</w:t>
            </w:r>
          </w:p>
        </w:tc>
      </w:tr>
      <w:tr w:rsidR="004517C5" w14:paraId="5CF77640" w14:textId="77777777" w:rsidTr="004517C5">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CC286" w14:textId="77777777" w:rsidR="004517C5" w:rsidRDefault="004517C5">
            <w:pPr>
              <w:autoSpaceDE w:val="0"/>
              <w:autoSpaceDN w:val="0"/>
            </w:pPr>
            <w:r>
              <w:t>PCE</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543F59C2" w14:textId="77777777" w:rsidR="004517C5" w:rsidRDefault="004517C5">
            <w:pPr>
              <w:autoSpaceDE w:val="0"/>
              <w:autoSpaceDN w:val="0"/>
            </w:pPr>
            <w:r>
              <w:t>5</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1D634178" w14:textId="77777777" w:rsidR="004517C5" w:rsidRDefault="004517C5">
            <w:pPr>
              <w:autoSpaceDE w:val="0"/>
              <w:autoSpaceDN w:val="0"/>
            </w:pPr>
            <w:r>
              <w:t>5x10</w:t>
            </w:r>
            <w:r>
              <w:rPr>
                <w:vertAlign w:val="superscript"/>
              </w:rPr>
              <w:t>-6</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03D351D8" w14:textId="77777777" w:rsidR="004517C5" w:rsidRDefault="004517C5">
            <w:pPr>
              <w:autoSpaceDE w:val="0"/>
              <w:autoSpaceDN w:val="0"/>
            </w:pPr>
            <w:r>
              <w:t>1</w:t>
            </w:r>
          </w:p>
        </w:tc>
      </w:tr>
      <w:tr w:rsidR="004517C5" w14:paraId="1BDBE1F9" w14:textId="77777777" w:rsidTr="004517C5">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06A97" w14:textId="77777777" w:rsidR="004517C5" w:rsidRDefault="004517C5">
            <w:pPr>
              <w:autoSpaceDE w:val="0"/>
              <w:autoSpaceDN w:val="0"/>
            </w:pPr>
            <w:r>
              <w:t>Cis-1,2-DCE</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0585E792" w14:textId="77777777" w:rsidR="004517C5" w:rsidRDefault="004517C5">
            <w:pPr>
              <w:autoSpaceDE w:val="0"/>
              <w:autoSpaceDN w:val="0"/>
            </w:pPr>
            <w:r>
              <w:t>70</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D116ECD" w14:textId="77777777" w:rsidR="004517C5" w:rsidRDefault="004517C5">
            <w:pPr>
              <w:autoSpaceDE w:val="0"/>
              <w:autoSpaceDN w:val="0"/>
            </w:pPr>
            <w:r>
              <w:t>NA</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20D4B978" w14:textId="77777777" w:rsidR="004517C5" w:rsidRDefault="004517C5">
            <w:pPr>
              <w:autoSpaceDE w:val="0"/>
              <w:autoSpaceDN w:val="0"/>
            </w:pPr>
            <w:r>
              <w:t>NA</w:t>
            </w:r>
          </w:p>
        </w:tc>
      </w:tr>
      <w:tr w:rsidR="004517C5" w14:paraId="4E780BCA" w14:textId="77777777" w:rsidTr="004517C5">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8DBD5" w14:textId="77777777" w:rsidR="004517C5" w:rsidRDefault="004517C5">
            <w:pPr>
              <w:autoSpaceDE w:val="0"/>
              <w:autoSpaceDN w:val="0"/>
            </w:pPr>
            <w:r>
              <w:t>1,1-DCE</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00965413" w14:textId="77777777" w:rsidR="004517C5" w:rsidRDefault="004517C5">
            <w:pPr>
              <w:autoSpaceDE w:val="0"/>
              <w:autoSpaceDN w:val="0"/>
            </w:pPr>
            <w:r>
              <w:t>7</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2223FA47" w14:textId="77777777" w:rsidR="004517C5" w:rsidRDefault="004517C5">
            <w:pPr>
              <w:autoSpaceDE w:val="0"/>
              <w:autoSpaceDN w:val="0"/>
            </w:pPr>
            <w:r>
              <w:t>1x10</w:t>
            </w:r>
            <w:r>
              <w:rPr>
                <w:vertAlign w:val="superscript"/>
              </w:rPr>
              <w:t>-4</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59453110" w14:textId="77777777" w:rsidR="004517C5" w:rsidRDefault="004517C5">
            <w:pPr>
              <w:autoSpaceDE w:val="0"/>
              <w:autoSpaceDN w:val="0"/>
            </w:pPr>
            <w:r>
              <w:t>0.07</w:t>
            </w:r>
          </w:p>
        </w:tc>
      </w:tr>
      <w:tr w:rsidR="004517C5" w14:paraId="56AA4C64" w14:textId="77777777" w:rsidTr="004517C5">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925C9" w14:textId="77777777" w:rsidR="004517C5" w:rsidRDefault="004517C5">
            <w:pPr>
              <w:autoSpaceDE w:val="0"/>
              <w:autoSpaceDN w:val="0"/>
            </w:pPr>
            <w:r>
              <w:t>VC</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52DB9551" w14:textId="77777777" w:rsidR="004517C5" w:rsidRDefault="004517C5">
            <w:pPr>
              <w:autoSpaceDE w:val="0"/>
              <w:autoSpaceDN w:val="0"/>
            </w:pPr>
            <w:r>
              <w:t>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CFC23A9" w14:textId="77777777" w:rsidR="004517C5" w:rsidRDefault="004517C5">
            <w:pPr>
              <w:autoSpaceDE w:val="0"/>
              <w:autoSpaceDN w:val="0"/>
            </w:pPr>
            <w:r>
              <w:t>7x10</w:t>
            </w:r>
            <w:r>
              <w:rPr>
                <w:vertAlign w:val="superscript"/>
              </w:rPr>
              <w:t>-4</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FF0DF0F" w14:textId="77777777" w:rsidR="004517C5" w:rsidRDefault="004517C5">
            <w:pPr>
              <w:autoSpaceDE w:val="0"/>
              <w:autoSpaceDN w:val="0"/>
            </w:pPr>
            <w:r>
              <w:t>0.003</w:t>
            </w:r>
          </w:p>
        </w:tc>
      </w:tr>
    </w:tbl>
    <w:p w14:paraId="5E41819A" w14:textId="77777777" w:rsidR="004517C5" w:rsidRDefault="004517C5" w:rsidP="004517C5"/>
    <w:p w14:paraId="1215D2A8" w14:textId="77777777" w:rsidR="004517C5" w:rsidRDefault="004517C5" w:rsidP="004517C5">
      <w:pPr>
        <w:autoSpaceDE w:val="0"/>
        <w:autoSpaceDN w:val="0"/>
      </w:pPr>
      <w:r>
        <w:t>Section 5: Risk Evaluation</w:t>
      </w:r>
    </w:p>
    <w:p w14:paraId="6A3F251C" w14:textId="77777777" w:rsidR="004517C5" w:rsidRDefault="004517C5" w:rsidP="004517C5">
      <w:pPr>
        <w:autoSpaceDE w:val="0"/>
        <w:autoSpaceDN w:val="0"/>
      </w:pPr>
      <w:r>
        <w:t>As noted for Section 3, portions of the EMC site also lie within the capture zone of the Cascade Well Field operated by Gresham &amp; Rockwood PUD, which is expanding to become the primary year-round public supply for these providers. It would be appropriate to note any consideration or modeling done relative to the operation of this large municipal groundwater system, groundwater elevations and hydraulic capture at the EMC site.</w:t>
      </w:r>
    </w:p>
    <w:p w14:paraId="137F9837" w14:textId="77777777" w:rsidR="004517C5" w:rsidRDefault="004517C5" w:rsidP="004517C5"/>
    <w:p w14:paraId="20FF1ED2" w14:textId="77777777" w:rsidR="004517C5" w:rsidRDefault="004517C5" w:rsidP="004517C5">
      <w:r>
        <w:t>Section 7: Conclusions and Recommendations</w:t>
      </w:r>
    </w:p>
    <w:p w14:paraId="764E1189" w14:textId="77777777" w:rsidR="004517C5" w:rsidRDefault="004517C5" w:rsidP="004517C5">
      <w:r>
        <w:t>Our comments for section 7 are included in the attached memo for your review.</w:t>
      </w:r>
    </w:p>
    <w:p w14:paraId="2C03BE44" w14:textId="77777777" w:rsidR="004517C5" w:rsidRDefault="004517C5" w:rsidP="004517C5"/>
    <w:p w14:paraId="26A6F62B" w14:textId="77777777" w:rsidR="004517C5" w:rsidRDefault="004517C5" w:rsidP="004517C5">
      <w:r>
        <w:t>Figures C-1 and C-2:</w:t>
      </w:r>
    </w:p>
    <w:p w14:paraId="6E3EA3B0" w14:textId="77777777" w:rsidR="004517C5" w:rsidRDefault="004517C5" w:rsidP="004517C5">
      <w:r>
        <w:lastRenderedPageBreak/>
        <w:t>Figures C-1 &amp; C-2 are incomplete and should include data collected since 2018 &amp; 2014, respectively, to accurately represent the status of remediation at the site. We have compiled and attached data collected since 2014 to assist in the update of these figures.</w:t>
      </w:r>
    </w:p>
    <w:p w14:paraId="741A8F7F" w14:textId="77777777" w:rsidR="004517C5" w:rsidRDefault="004517C5" w:rsidP="004517C5"/>
    <w:p w14:paraId="39FFDF04" w14:textId="77777777" w:rsidR="004517C5" w:rsidRDefault="004517C5" w:rsidP="004517C5">
      <w:r>
        <w:t>Thank you again for accepting our comments on this matter. Please feel free to reach out with any questions you might have.</w:t>
      </w:r>
    </w:p>
    <w:p w14:paraId="281B7B3D" w14:textId="77777777" w:rsidR="004517C5" w:rsidRDefault="004517C5" w:rsidP="004517C5"/>
    <w:p w14:paraId="4153A462" w14:textId="77777777" w:rsidR="004517C5" w:rsidRDefault="004517C5" w:rsidP="004517C5">
      <w:r>
        <w:t>Jack</w:t>
      </w:r>
    </w:p>
    <w:p w14:paraId="40D6198B" w14:textId="77777777" w:rsidR="004517C5" w:rsidRDefault="004517C5" w:rsidP="004517C5"/>
    <w:p w14:paraId="709ED072" w14:textId="77777777" w:rsidR="004517C5" w:rsidRDefault="004517C5" w:rsidP="004517C5"/>
    <w:p w14:paraId="17AF9549" w14:textId="77777777" w:rsidR="004517C5" w:rsidRDefault="004517C5" w:rsidP="004517C5">
      <w:r>
        <w:rPr>
          <w:rFonts w:ascii="Garamond" w:hAnsi="Garamond"/>
        </w:rPr>
        <w:t>Jack Dahl, PE, RG, CWRE (</w:t>
      </w:r>
      <w:r>
        <w:rPr>
          <w:rFonts w:ascii="Garamond" w:hAnsi="Garamond"/>
          <w:i/>
          <w:iCs/>
          <w:sz w:val="18"/>
          <w:szCs w:val="18"/>
        </w:rPr>
        <w:t>He/Him</w:t>
      </w:r>
      <w:r>
        <w:rPr>
          <w:rFonts w:ascii="Garamond" w:hAnsi="Garamond"/>
        </w:rPr>
        <w:t>)</w:t>
      </w:r>
    </w:p>
    <w:p w14:paraId="45FECC57" w14:textId="77777777" w:rsidR="004517C5" w:rsidRDefault="004517C5" w:rsidP="004517C5">
      <w:r>
        <w:rPr>
          <w:rFonts w:ascii="Garamond" w:hAnsi="Garamond"/>
        </w:rPr>
        <w:t>Hydrogeologist</w:t>
      </w:r>
    </w:p>
    <w:p w14:paraId="5AF1EFA2" w14:textId="77777777" w:rsidR="004517C5" w:rsidRDefault="004517C5" w:rsidP="004517C5">
      <w:r>
        <w:rPr>
          <w:rFonts w:ascii="Garamond" w:hAnsi="Garamond"/>
          <w:sz w:val="20"/>
          <w:szCs w:val="20"/>
        </w:rPr>
        <w:t>Portland Water Bureau</w:t>
      </w:r>
    </w:p>
    <w:p w14:paraId="0E830561" w14:textId="77777777" w:rsidR="004517C5" w:rsidRDefault="004517C5" w:rsidP="004517C5">
      <w:r>
        <w:rPr>
          <w:rFonts w:ascii="Garamond" w:hAnsi="Garamond"/>
          <w:sz w:val="20"/>
          <w:szCs w:val="20"/>
        </w:rPr>
        <w:t>1120 SW 5</w:t>
      </w:r>
      <w:r>
        <w:rPr>
          <w:rFonts w:ascii="Garamond" w:hAnsi="Garamond"/>
          <w:sz w:val="20"/>
          <w:szCs w:val="20"/>
          <w:vertAlign w:val="superscript"/>
        </w:rPr>
        <w:t>th</w:t>
      </w:r>
      <w:r>
        <w:rPr>
          <w:rFonts w:ascii="Garamond" w:hAnsi="Garamond"/>
          <w:sz w:val="20"/>
          <w:szCs w:val="20"/>
        </w:rPr>
        <w:t xml:space="preserve"> Ave.</w:t>
      </w:r>
    </w:p>
    <w:p w14:paraId="53720073" w14:textId="77777777" w:rsidR="004517C5" w:rsidRDefault="004517C5" w:rsidP="004517C5">
      <w:pPr>
        <w:rPr>
          <w:rFonts w:ascii="Garamond" w:hAnsi="Garamond"/>
          <w:sz w:val="20"/>
          <w:szCs w:val="20"/>
        </w:rPr>
      </w:pPr>
      <w:r>
        <w:rPr>
          <w:rFonts w:ascii="Garamond" w:hAnsi="Garamond"/>
          <w:sz w:val="20"/>
          <w:szCs w:val="20"/>
        </w:rPr>
        <w:t>Portland, OR 97204</w:t>
      </w:r>
    </w:p>
    <w:p w14:paraId="57882E0B" w14:textId="77777777" w:rsidR="004517C5" w:rsidRDefault="004517C5" w:rsidP="004517C5">
      <w:r>
        <w:rPr>
          <w:rFonts w:ascii="Garamond" w:hAnsi="Garamond"/>
          <w:sz w:val="20"/>
          <w:szCs w:val="20"/>
        </w:rPr>
        <w:t>(503)865-6578</w:t>
      </w:r>
    </w:p>
    <w:p w14:paraId="1E5B35EA" w14:textId="77777777" w:rsidR="004517C5" w:rsidRDefault="004517C5" w:rsidP="004517C5">
      <w:pPr>
        <w:rPr>
          <w:color w:val="0000FF"/>
          <w:u w:val="single"/>
        </w:rPr>
      </w:pPr>
      <w:hyperlink r:id="rId4" w:history="1">
        <w:r>
          <w:rPr>
            <w:rStyle w:val="Hyperlink"/>
            <w:rFonts w:ascii="Garamond" w:hAnsi="Garamond"/>
            <w:color w:val="0000FF"/>
            <w:sz w:val="20"/>
            <w:szCs w:val="20"/>
          </w:rPr>
          <w:t>jack.dahl@portlandoregon.gov</w:t>
        </w:r>
      </w:hyperlink>
    </w:p>
    <w:p w14:paraId="2C300449" w14:textId="77777777" w:rsidR="004517C5" w:rsidRDefault="004517C5" w:rsidP="004517C5">
      <w:hyperlink r:id="rId5" w:history="1">
        <w:r>
          <w:rPr>
            <w:rStyle w:val="Hyperlink"/>
            <w:rFonts w:ascii="Garamond" w:hAnsi="Garamond"/>
            <w:color w:val="0000FF"/>
            <w:sz w:val="20"/>
            <w:szCs w:val="20"/>
          </w:rPr>
          <w:t>www.portlandoregon.govwater</w:t>
        </w:r>
      </w:hyperlink>
    </w:p>
    <w:p w14:paraId="6C0DCE1B" w14:textId="77777777" w:rsidR="00523BC7" w:rsidRDefault="00523BC7"/>
    <w:sectPr w:rsidR="00523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Gothic-BookItalic">
    <w:altName w:val="Calibri"/>
    <w:charset w:val="00"/>
    <w:family w:val="auto"/>
    <w:pitch w:val="default"/>
  </w:font>
  <w:font w:name="FranklinGothic-Book">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F0"/>
    <w:rsid w:val="004517C5"/>
    <w:rsid w:val="00523BC7"/>
    <w:rsid w:val="00A8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DA9D"/>
  <w15:chartTrackingRefBased/>
  <w15:docId w15:val="{CBC80A58-D337-4ECC-9871-D6498085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17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rtlandoregon.gov/water" TargetMode="External"/><Relationship Id="rId4" Type="http://schemas.openxmlformats.org/officeDocument/2006/relationships/hyperlink" Target="mailto:Jack.Dahl@portland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2702</Characters>
  <Application>Microsoft Office Word</Application>
  <DocSecurity>0</DocSecurity>
  <Lines>22</Lines>
  <Paragraphs>6</Paragraphs>
  <ScaleCrop>false</ScaleCrop>
  <Company>Oregon Department of Environmental Quality</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THIESSEN Kenneth * DEQ</dc:creator>
  <cp:keywords/>
  <dc:description/>
  <cp:lastModifiedBy>THIESSEN Kenneth * DEQ</cp:lastModifiedBy>
  <cp:revision>2</cp:revision>
  <dcterms:created xsi:type="dcterms:W3CDTF">2022-04-20T23:03:00Z</dcterms:created>
  <dcterms:modified xsi:type="dcterms:W3CDTF">2022-04-20T23:04:00Z</dcterms:modified>
</cp:coreProperties>
</file>