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76E79" w14:textId="77777777" w:rsidR="00FC351C" w:rsidRDefault="00FC351C" w:rsidP="00FC351C">
      <w:pPr>
        <w:rPr>
          <w:lang w:eastAsia="en-US"/>
        </w:rPr>
      </w:pPr>
      <w:r>
        <w:rPr>
          <w:lang w:eastAsia="en-US"/>
        </w:rPr>
        <w:t>Hello Ken,</w:t>
      </w:r>
    </w:p>
    <w:p w14:paraId="48560AE6" w14:textId="77777777" w:rsidR="00FC351C" w:rsidRDefault="00FC351C" w:rsidP="00FC351C">
      <w:pPr>
        <w:rPr>
          <w:lang w:eastAsia="en-US"/>
        </w:rPr>
      </w:pPr>
      <w:r>
        <w:rPr>
          <w:lang w:eastAsia="en-US"/>
        </w:rPr>
        <w:t xml:space="preserve">Thank you for the opportunity to review these conclusions and recommendations. I hope we’re not too late providing you with some comments below for your consideration, plus one question in brackets. Note that the black with red font was in your original email to us, and we’ve provided our comments/edits in green font (or as a strikeout). </w:t>
      </w:r>
    </w:p>
    <w:p w14:paraId="27ECFC89" w14:textId="77777777" w:rsidR="00FC351C" w:rsidRDefault="00FC351C" w:rsidP="00FC351C">
      <w:pPr>
        <w:rPr>
          <w:lang w:eastAsia="en-US"/>
        </w:rPr>
      </w:pPr>
    </w:p>
    <w:p w14:paraId="49A0EB96" w14:textId="77777777" w:rsidR="00FC351C" w:rsidRDefault="00FC351C" w:rsidP="00FC351C">
      <w:pPr>
        <w:rPr>
          <w:lang w:eastAsia="en-US"/>
        </w:rPr>
      </w:pPr>
      <w:r>
        <w:rPr>
          <w:lang w:eastAsia="en-US"/>
        </w:rPr>
        <w:t>We are available for a call/meeting to discuss these edits if you would like.</w:t>
      </w:r>
    </w:p>
    <w:p w14:paraId="3D7AAED6" w14:textId="77777777" w:rsidR="00FC351C" w:rsidRDefault="00FC351C" w:rsidP="00FC351C">
      <w:pPr>
        <w:rPr>
          <w:lang w:eastAsia="en-US"/>
        </w:rPr>
      </w:pPr>
    </w:p>
    <w:p w14:paraId="26921D50" w14:textId="77777777" w:rsidR="00FC351C" w:rsidRDefault="00FC351C" w:rsidP="00FC351C">
      <w:pPr>
        <w:rPr>
          <w:lang w:eastAsia="en-US"/>
        </w:rPr>
      </w:pPr>
      <w:r>
        <w:rPr>
          <w:lang w:eastAsia="en-US"/>
        </w:rPr>
        <w:t>Thank you,</w:t>
      </w:r>
    </w:p>
    <w:p w14:paraId="4E7B4A2C" w14:textId="77777777" w:rsidR="00FC351C" w:rsidRDefault="00FC351C" w:rsidP="00FC351C">
      <w:pPr>
        <w:rPr>
          <w:lang w:eastAsia="en-US"/>
        </w:rPr>
      </w:pPr>
      <w:r>
        <w:rPr>
          <w:lang w:eastAsia="en-US"/>
        </w:rPr>
        <w:t>Cindy</w:t>
      </w:r>
    </w:p>
    <w:p w14:paraId="6AD95818" w14:textId="77777777" w:rsidR="00FC351C" w:rsidRDefault="00FC351C" w:rsidP="00FC351C">
      <w:pPr>
        <w:rPr>
          <w:lang w:eastAsia="en-US"/>
        </w:rPr>
      </w:pPr>
    </w:p>
    <w:p w14:paraId="2F156FF4" w14:textId="77777777" w:rsidR="00FC351C" w:rsidRDefault="00FC351C" w:rsidP="00FC351C">
      <w:pPr>
        <w:rPr>
          <w:lang w:eastAsia="en-US"/>
        </w:rPr>
      </w:pPr>
    </w:p>
    <w:p w14:paraId="6474B862" w14:textId="77777777" w:rsidR="00FC351C" w:rsidRDefault="00FC351C" w:rsidP="00FC351C">
      <w:pPr>
        <w:outlineLvl w:val="0"/>
      </w:pPr>
      <w:r>
        <w:rPr>
          <w:b/>
          <w:bCs/>
        </w:rPr>
        <w:t>From:</w:t>
      </w:r>
      <w:r>
        <w:t xml:space="preserve"> THIESSEN Kenneth * DEQ &lt;</w:t>
      </w:r>
      <w:hyperlink r:id="rId5" w:history="1">
        <w:r>
          <w:rPr>
            <w:rStyle w:val="Hyperlink"/>
          </w:rPr>
          <w:t>Kenneth.THIESSEN@deq.oregon.gov</w:t>
        </w:r>
      </w:hyperlink>
      <w:r>
        <w:t xml:space="preserve">&gt; </w:t>
      </w:r>
      <w:r>
        <w:br/>
      </w:r>
      <w:r>
        <w:rPr>
          <w:b/>
          <w:bCs/>
        </w:rPr>
        <w:t>Sent:</w:t>
      </w:r>
      <w:r>
        <w:t xml:space="preserve"> Thursday, February 3, 2022 10:35 AM</w:t>
      </w:r>
      <w:r>
        <w:br/>
      </w:r>
      <w:r>
        <w:rPr>
          <w:b/>
          <w:bCs/>
        </w:rPr>
        <w:t>To:</w:t>
      </w:r>
      <w:r>
        <w:t xml:space="preserve"> Evelyn Ives &lt;</w:t>
      </w:r>
      <w:hyperlink r:id="rId6" w:history="1">
        <w:r>
          <w:rPr>
            <w:rStyle w:val="Hyperlink"/>
          </w:rPr>
          <w:t>eives@landauinc.com</w:t>
        </w:r>
      </w:hyperlink>
      <w:r>
        <w:t>&gt;; HAFLEY Dan * DEQ &lt;</w:t>
      </w:r>
      <w:hyperlink r:id="rId7" w:history="1">
        <w:r>
          <w:rPr>
            <w:rStyle w:val="Hyperlink"/>
          </w:rPr>
          <w:t>Dan.HAFLEY@deq.oregon.gov</w:t>
        </w:r>
      </w:hyperlink>
      <w:r>
        <w:t>&gt;</w:t>
      </w:r>
      <w:r>
        <w:br/>
      </w:r>
      <w:r>
        <w:rPr>
          <w:b/>
          <w:bCs/>
        </w:rPr>
        <w:t>Cc:</w:t>
      </w:r>
      <w:r>
        <w:t xml:space="preserve"> Cindy Bartlett &lt;</w:t>
      </w:r>
      <w:hyperlink r:id="rId8" w:history="1">
        <w:r>
          <w:rPr>
            <w:rStyle w:val="Hyperlink"/>
          </w:rPr>
          <w:t>CBartlett@Geosyntec.com</w:t>
        </w:r>
      </w:hyperlink>
      <w:r>
        <w:t>&gt;; Chris Kimmel &lt;</w:t>
      </w:r>
      <w:hyperlink r:id="rId9" w:history="1">
        <w:r>
          <w:rPr>
            <w:rStyle w:val="Hyperlink"/>
          </w:rPr>
          <w:t>ckimmel@landauinc.com</w:t>
        </w:r>
      </w:hyperlink>
      <w:r>
        <w:t>&gt;</w:t>
      </w:r>
      <w:r>
        <w:br/>
      </w:r>
      <w:r>
        <w:rPr>
          <w:b/>
          <w:bCs/>
        </w:rPr>
        <w:t>Subject:</w:t>
      </w:r>
      <w:r>
        <w:t xml:space="preserve"> RE: Conditional Zone A Closure Language</w:t>
      </w:r>
    </w:p>
    <w:p w14:paraId="6CD27226" w14:textId="77777777" w:rsidR="00FC351C" w:rsidRDefault="00FC351C" w:rsidP="00FC351C"/>
    <w:p w14:paraId="607200E2" w14:textId="77777777" w:rsidR="00FC351C" w:rsidRDefault="00FC351C" w:rsidP="00FC351C">
      <w:pPr>
        <w:shd w:val="clear" w:color="auto" w:fill="FFEB9C"/>
        <w:spacing w:line="240" w:lineRule="atLeast"/>
        <w:rPr>
          <w:color w:val="000000"/>
          <w:sz w:val="20"/>
          <w:szCs w:val="20"/>
        </w:rPr>
      </w:pPr>
      <w:r>
        <w:rPr>
          <w:color w:val="9C6500"/>
          <w:sz w:val="20"/>
          <w:szCs w:val="20"/>
        </w:rPr>
        <w:t>CAUTION:</w:t>
      </w:r>
      <w:r>
        <w:rPr>
          <w:color w:val="000000"/>
          <w:sz w:val="20"/>
          <w:szCs w:val="20"/>
        </w:rPr>
        <w:t xml:space="preserve"> This email originated from outside of the organization. Do not click links or open attachments unless you recognize the sender and know the content is safe. If you have any suspicion, please confirm with the sender verbally that this email is authentic.</w:t>
      </w:r>
    </w:p>
    <w:p w14:paraId="1098B94B" w14:textId="77777777" w:rsidR="00FC351C" w:rsidRDefault="00FC351C" w:rsidP="00FC351C">
      <w:pPr>
        <w:rPr>
          <w:rFonts w:ascii="SimSun" w:hAnsi="SimSun"/>
          <w:sz w:val="24"/>
          <w:szCs w:val="24"/>
        </w:rPr>
      </w:pPr>
    </w:p>
    <w:p w14:paraId="4E0927E5" w14:textId="77777777" w:rsidR="00FC351C" w:rsidRDefault="00FC351C" w:rsidP="00FC351C">
      <w:pPr>
        <w:pStyle w:val="Heading1"/>
        <w:numPr>
          <w:ilvl w:val="0"/>
          <w:numId w:val="0"/>
        </w:numPr>
        <w:ind w:left="360"/>
        <w:rPr>
          <w:rFonts w:hint="eastAsia"/>
          <w:sz w:val="22"/>
          <w:szCs w:val="22"/>
        </w:rPr>
      </w:pPr>
      <w:r>
        <w:rPr>
          <w:b w:val="0"/>
          <w:bCs w:val="0"/>
        </w:rPr>
        <w:t>Evelyn</w:t>
      </w:r>
      <w:r>
        <w:t>,</w:t>
      </w:r>
    </w:p>
    <w:p w14:paraId="504C5821" w14:textId="77777777" w:rsidR="00FC351C" w:rsidRDefault="00FC351C" w:rsidP="00FC351C">
      <w:r>
        <w:t xml:space="preserve">Here is the draft NFA Staff Memo final section describing future work at PWB-1. Dan H. and the PWB will still have opportunities to edit this document. </w:t>
      </w:r>
    </w:p>
    <w:p w14:paraId="1BDDBEF6" w14:textId="77777777" w:rsidR="00FC351C" w:rsidRDefault="00FC351C" w:rsidP="00FC351C"/>
    <w:p w14:paraId="24F39618" w14:textId="77777777" w:rsidR="00FC351C" w:rsidRDefault="00FC351C" w:rsidP="00FC351C">
      <w:r>
        <w:t>Ken Thiessen</w:t>
      </w:r>
    </w:p>
    <w:p w14:paraId="2FD1EF6F" w14:textId="77777777" w:rsidR="00FC351C" w:rsidRDefault="00FC351C" w:rsidP="00FC351C"/>
    <w:p w14:paraId="23DB5190" w14:textId="77777777" w:rsidR="00FC351C" w:rsidRDefault="00FC351C" w:rsidP="00FC351C">
      <w:pPr>
        <w:pStyle w:val="Heading1"/>
        <w:numPr>
          <w:ilvl w:val="0"/>
          <w:numId w:val="0"/>
        </w:numPr>
        <w:ind w:left="360"/>
        <w:rPr>
          <w:sz w:val="22"/>
          <w:szCs w:val="22"/>
        </w:rPr>
      </w:pPr>
      <w:r>
        <w:rPr>
          <w:sz w:val="22"/>
          <w:szCs w:val="22"/>
        </w:rPr>
        <w:t>CONCLUSIONS AND RECOMMENDATIONS</w:t>
      </w:r>
    </w:p>
    <w:p w14:paraId="2FD4CBCB" w14:textId="77777777" w:rsidR="00FC351C" w:rsidRDefault="00FC351C" w:rsidP="00FC351C">
      <w:pPr>
        <w:autoSpaceDE w:val="0"/>
        <w:autoSpaceDN w:val="0"/>
        <w:jc w:val="both"/>
      </w:pPr>
      <w:r>
        <w:t xml:space="preserve">DEQ has determined that remedial action objectives specified in the 1996 ROD for the EMC project have been met, with groundwater contaminant concentrations within Zone A of the TSA and the entirety of the SGA having been met. Specifically, contaminant concentrations in groundwater as sampled via project monitoring wells within the subject area are either not detectable or are below EPA drinking water standards (MCLs), which are also the 1996 ROD Cleanup Goals. </w:t>
      </w:r>
    </w:p>
    <w:p w14:paraId="119AF35B" w14:textId="77777777" w:rsidR="00FC351C" w:rsidRDefault="00FC351C" w:rsidP="00FC351C">
      <w:pPr>
        <w:autoSpaceDE w:val="0"/>
        <w:autoSpaceDN w:val="0"/>
        <w:jc w:val="both"/>
      </w:pPr>
    </w:p>
    <w:p w14:paraId="00769DEA" w14:textId="77777777" w:rsidR="00FC351C" w:rsidRDefault="00FC351C" w:rsidP="00FC351C">
      <w:pPr>
        <w:autoSpaceDE w:val="0"/>
        <w:autoSpaceDN w:val="0"/>
        <w:jc w:val="both"/>
      </w:pPr>
      <w:r>
        <w:t xml:space="preserve">As discussed in Section 4 of this memorandum, EMC-related contaminants have not been detected in deeper SGA wells and monitoring has generally been discontinued as approved by DEQ and the Portland Water Bureau. No additional monitoring is required by DEQ within this deeper aquifer, and we are comfortable with issuance of a NFA determination for the deeper SGA aquifer for the whole EMC Site. The Portland Water Bureau concurs with this decision. </w:t>
      </w:r>
    </w:p>
    <w:p w14:paraId="6194C1CB" w14:textId="77777777" w:rsidR="00FC351C" w:rsidRDefault="00FC351C" w:rsidP="00FC351C">
      <w:pPr>
        <w:autoSpaceDE w:val="0"/>
        <w:autoSpaceDN w:val="0"/>
        <w:jc w:val="both"/>
      </w:pPr>
    </w:p>
    <w:p w14:paraId="22DB73E6" w14:textId="77777777" w:rsidR="00FC351C" w:rsidRDefault="00FC351C" w:rsidP="00FC351C">
      <w:pPr>
        <w:autoSpaceDE w:val="0"/>
        <w:autoSpaceDN w:val="0"/>
        <w:jc w:val="both"/>
        <w:rPr>
          <w:i/>
          <w:iCs/>
          <w:color w:val="FF0000"/>
        </w:rPr>
      </w:pPr>
      <w:r>
        <w:t xml:space="preserve">Monitoring of groundwater within and downgradient of Zone A of the TSA has largely been discontinued based on an absence of significant contaminant detections. As illustrated in Table A-1 (GSI, 2021), groundwater monitoring has continued at the Portland Water Bureau, PWB-1 well cluster located downgradient of the EMC release area in Zone A. Monitoring well PWB-1(lts), positioned within the lower TSA, originally exhibited exceedance of TCE MCLs (with a maximum detection of 42 ug/L in August 1997) </w:t>
      </w:r>
      <w:r>
        <w:lastRenderedPageBreak/>
        <w:t xml:space="preserve">in the 1992 to 1999 time period. Since August 1998, TCE concentrations have been below the 5 ug/L MCL and other HVOCs (including degradation products) were not detected. After a period of “non-detects” for TCE from 2000 to 2003, TCE has been detected in a narrow range of 0.61 ug/L to 2.04 ug/L. Most recently (2018 to present), TCE has been detected in the ~1.5 to 2 ug/L range. Pending new information, it is DEQ’s determination that TCE concentrations are reasonably stable and remain below the ROD Cleanup Goals, but annual monitoring will continue to evaluate water quality from the PWB-1 well set. </w:t>
      </w:r>
      <w:r>
        <w:rPr>
          <w:i/>
          <w:iCs/>
          <w:color w:val="FF0000"/>
        </w:rPr>
        <w:t>NOTE: PWB is scheduled to provide DEQ with current PWB-1 TCE data during the week of Feb. 7, 2022, which will be included in this paragraph.</w:t>
      </w:r>
    </w:p>
    <w:p w14:paraId="57F9F3C1" w14:textId="77777777" w:rsidR="00FC351C" w:rsidRDefault="00FC351C" w:rsidP="00FC351C">
      <w:pPr>
        <w:autoSpaceDE w:val="0"/>
        <w:autoSpaceDN w:val="0"/>
        <w:jc w:val="both"/>
      </w:pPr>
    </w:p>
    <w:p w14:paraId="2B090B9B" w14:textId="77777777" w:rsidR="00FC351C" w:rsidRDefault="00FC351C" w:rsidP="00FC351C">
      <w:pPr>
        <w:autoSpaceDE w:val="0"/>
        <w:autoSpaceDN w:val="0"/>
        <w:jc w:val="both"/>
      </w:pPr>
      <w:r>
        <w:t xml:space="preserve">Institutional controls, including groundwater use restrictions related to the Zone A TSA and the SGA for the whole EMC Site, will not remain active for Remedy Zone A and the SGA once the CNFA has been approved. DEQ will continue to coordinate with the Oregon Department of Water Resources however, to ensure that DEQ has a continuing role in new well installation permits and water right applications in the project area SGA and the Zone A </w:t>
      </w:r>
      <w:proofErr w:type="gramStart"/>
      <w:r>
        <w:t>TSA aquifers</w:t>
      </w:r>
      <w:proofErr w:type="gramEnd"/>
      <w:r>
        <w:t>.</w:t>
      </w:r>
    </w:p>
    <w:p w14:paraId="150F00A5" w14:textId="77777777" w:rsidR="00FC351C" w:rsidRDefault="00FC351C" w:rsidP="00FC351C">
      <w:pPr>
        <w:autoSpaceDE w:val="0"/>
        <w:autoSpaceDN w:val="0"/>
        <w:jc w:val="both"/>
      </w:pPr>
    </w:p>
    <w:p w14:paraId="7B986A6B" w14:textId="77777777" w:rsidR="00FC351C" w:rsidRDefault="00FC351C" w:rsidP="00FC351C">
      <w:pPr>
        <w:autoSpaceDE w:val="0"/>
        <w:autoSpaceDN w:val="0"/>
        <w:jc w:val="both"/>
      </w:pPr>
      <w:r>
        <w:t xml:space="preserve">Given Portland Water Bureau concerns about TCE trends at this location, and the importance of the TSA </w:t>
      </w:r>
      <w:r>
        <w:rPr>
          <w:strike/>
        </w:rPr>
        <w:t>and SGA</w:t>
      </w:r>
      <w:r>
        <w:t xml:space="preserve"> as a supplemental drinking water resource for the Portland metropolitan area, DEQ recommends </w:t>
      </w:r>
      <w:r>
        <w:rPr>
          <w:color w:val="FF0000"/>
        </w:rPr>
        <w:t xml:space="preserve">(conditions this NFA?) </w:t>
      </w:r>
      <w:r>
        <w:t xml:space="preserve">that monitoring of PWB-1(lts) be continued for a period of five years to evaluate if contaminant concentrations remain </w:t>
      </w:r>
      <w:r>
        <w:rPr>
          <w:strike/>
        </w:rPr>
        <w:t>“stable” (as determined by DEQ) and</w:t>
      </w:r>
      <w:r>
        <w:t xml:space="preserve"> below MCLs. Monitoring should be completed on at least an annual basis. If monitoring is not completed by the Portland Water Bureau as part of ongoing activities within the CSSWF, it will be the responsibility of Boeing/Cascade to complete the work and report the results to DEQ. To be clear, groundwater monitoring at PWB-1 will continue </w:t>
      </w:r>
      <w:r>
        <w:rPr>
          <w:i/>
          <w:iCs/>
        </w:rPr>
        <w:t>after</w:t>
      </w:r>
      <w:r>
        <w:t xml:space="preserve"> DEQ issuance of the CNFA decision</w:t>
      </w:r>
      <w:r>
        <w:rPr>
          <w:color w:val="00B0F0"/>
        </w:rPr>
        <w:t xml:space="preserve">. </w:t>
      </w:r>
      <w:r>
        <w:rPr>
          <w:color w:val="00B050"/>
        </w:rPr>
        <w:t>(</w:t>
      </w:r>
      <w:proofErr w:type="gramStart"/>
      <w:r>
        <w:rPr>
          <w:color w:val="00B050"/>
        </w:rPr>
        <w:t>potentially</w:t>
      </w:r>
      <w:proofErr w:type="gramEnd"/>
      <w:r>
        <w:rPr>
          <w:color w:val="00B050"/>
        </w:rPr>
        <w:t xml:space="preserve"> 7 years of data after the last MK analyses, including 2020 and 2021). [</w:t>
      </w:r>
      <w:r>
        <w:rPr>
          <w:b/>
          <w:bCs/>
          <w:color w:val="00B050"/>
        </w:rPr>
        <w:t>Question</w:t>
      </w:r>
      <w:r>
        <w:rPr>
          <w:color w:val="00B050"/>
        </w:rPr>
        <w:t xml:space="preserve">: Could DEQ share the PWB data collected post MK analyses?] </w:t>
      </w:r>
      <w:r>
        <w:t xml:space="preserve">After 5 years of monitoring and assuming that contaminant conditions </w:t>
      </w:r>
      <w:r>
        <w:rPr>
          <w:color w:val="00B050"/>
        </w:rPr>
        <w:t xml:space="preserve">are below the </w:t>
      </w:r>
      <w:proofErr w:type="spellStart"/>
      <w:r>
        <w:rPr>
          <w:color w:val="00B050"/>
        </w:rPr>
        <w:t>MCL</w:t>
      </w:r>
      <w:r>
        <w:rPr>
          <w:strike/>
        </w:rPr>
        <w:t>do</w:t>
      </w:r>
      <w:proofErr w:type="spellEnd"/>
      <w:r>
        <w:rPr>
          <w:strike/>
        </w:rPr>
        <w:t xml:space="preserve"> not change</w:t>
      </w:r>
      <w:r>
        <w:t xml:space="preserve">, DEQ will confirm cessation of monitoring requirements in letter form. If significant changes in contaminant concentrations </w:t>
      </w:r>
      <w:r>
        <w:rPr>
          <w:i/>
          <w:iCs/>
        </w:rPr>
        <w:t>are</w:t>
      </w:r>
      <w:r>
        <w:t xml:space="preserve"> observed by DEQ during the monitoring period, we will meet with Boeing/Cascade and the City to discuss whether an additional actions, including continued monitoring, are necessary. </w:t>
      </w:r>
      <w:r>
        <w:rPr>
          <w:color w:val="00B050"/>
        </w:rPr>
        <w:t>Significant changes are defined as TCE concentrations above the MCL</w:t>
      </w:r>
      <w:r>
        <w:t xml:space="preserve"> </w:t>
      </w:r>
      <w:r>
        <w:rPr>
          <w:color w:val="00B050"/>
        </w:rPr>
        <w:t xml:space="preserve">of 5 ug/L. </w:t>
      </w:r>
      <w:r>
        <w:t>Exceedance of MCLs that are determined to be EMC Site-related could warrant additional action beyond monitoring.</w:t>
      </w:r>
    </w:p>
    <w:p w14:paraId="213778B8" w14:textId="77777777" w:rsidR="00FC351C" w:rsidRDefault="00FC351C" w:rsidP="00FC351C">
      <w:pPr>
        <w:autoSpaceDE w:val="0"/>
        <w:autoSpaceDN w:val="0"/>
        <w:jc w:val="both"/>
      </w:pPr>
    </w:p>
    <w:p w14:paraId="681EE968" w14:textId="77777777" w:rsidR="00FC351C" w:rsidRDefault="00FC351C" w:rsidP="00FC351C">
      <w:pPr>
        <w:pStyle w:val="BodyText"/>
        <w:jc w:val="both"/>
        <w:rPr>
          <w:rFonts w:ascii="Times New Roman" w:hAnsi="Times New Roman" w:cs="Times New Roman"/>
          <w:sz w:val="22"/>
          <w:szCs w:val="22"/>
        </w:rPr>
      </w:pPr>
      <w:r>
        <w:rPr>
          <w:rFonts w:ascii="Times New Roman" w:hAnsi="Times New Roman" w:cs="Times New Roman"/>
          <w:sz w:val="22"/>
          <w:szCs w:val="22"/>
        </w:rPr>
        <w:t xml:space="preserve">DEQ will also maintain communications with the </w:t>
      </w:r>
      <w:r>
        <w:rPr>
          <w:sz w:val="22"/>
          <w:szCs w:val="22"/>
        </w:rPr>
        <w:t>Portland Water Bureau</w:t>
      </w:r>
      <w:r>
        <w:rPr>
          <w:rFonts w:ascii="Times New Roman" w:hAnsi="Times New Roman" w:cs="Times New Roman"/>
          <w:sz w:val="22"/>
          <w:szCs w:val="22"/>
        </w:rPr>
        <w:t xml:space="preserve"> to ensure timely reporting of groundwater quality data from PWB monitoring and production wells in the vicinity of the EMC project. </w:t>
      </w:r>
      <w:r>
        <w:rPr>
          <w:sz w:val="22"/>
          <w:szCs w:val="22"/>
        </w:rPr>
        <w:t>Monitoring</w:t>
      </w:r>
      <w:r>
        <w:rPr>
          <w:spacing w:val="-4"/>
          <w:sz w:val="22"/>
          <w:szCs w:val="22"/>
        </w:rPr>
        <w:t xml:space="preserve"> </w:t>
      </w:r>
      <w:r>
        <w:rPr>
          <w:sz w:val="22"/>
          <w:szCs w:val="22"/>
        </w:rPr>
        <w:t>of</w:t>
      </w:r>
      <w:r>
        <w:rPr>
          <w:spacing w:val="-4"/>
          <w:sz w:val="22"/>
          <w:szCs w:val="22"/>
        </w:rPr>
        <w:t xml:space="preserve"> </w:t>
      </w:r>
      <w:r>
        <w:rPr>
          <w:sz w:val="22"/>
          <w:szCs w:val="22"/>
        </w:rPr>
        <w:t>other</w:t>
      </w:r>
      <w:r>
        <w:rPr>
          <w:spacing w:val="-3"/>
          <w:sz w:val="22"/>
          <w:szCs w:val="22"/>
        </w:rPr>
        <w:t xml:space="preserve"> </w:t>
      </w:r>
      <w:r>
        <w:rPr>
          <w:sz w:val="22"/>
          <w:szCs w:val="22"/>
        </w:rPr>
        <w:t>EMC</w:t>
      </w:r>
      <w:r>
        <w:rPr>
          <w:spacing w:val="-3"/>
          <w:sz w:val="22"/>
          <w:szCs w:val="22"/>
        </w:rPr>
        <w:t xml:space="preserve"> </w:t>
      </w:r>
      <w:r>
        <w:rPr>
          <w:sz w:val="22"/>
          <w:szCs w:val="22"/>
        </w:rPr>
        <w:t>Site</w:t>
      </w:r>
      <w:r>
        <w:rPr>
          <w:spacing w:val="-3"/>
          <w:sz w:val="22"/>
          <w:szCs w:val="22"/>
        </w:rPr>
        <w:t xml:space="preserve"> </w:t>
      </w:r>
      <w:r>
        <w:rPr>
          <w:sz w:val="22"/>
          <w:szCs w:val="22"/>
        </w:rPr>
        <w:t>sentinel</w:t>
      </w:r>
      <w:r>
        <w:rPr>
          <w:spacing w:val="-4"/>
          <w:sz w:val="22"/>
          <w:szCs w:val="22"/>
        </w:rPr>
        <w:t xml:space="preserve"> </w:t>
      </w:r>
      <w:r>
        <w:rPr>
          <w:sz w:val="22"/>
          <w:szCs w:val="22"/>
        </w:rPr>
        <w:t>wells</w:t>
      </w:r>
      <w:r>
        <w:rPr>
          <w:spacing w:val="-4"/>
          <w:sz w:val="22"/>
          <w:szCs w:val="22"/>
        </w:rPr>
        <w:t xml:space="preserve"> </w:t>
      </w:r>
      <w:r>
        <w:rPr>
          <w:sz w:val="22"/>
          <w:szCs w:val="22"/>
        </w:rPr>
        <w:t>will</w:t>
      </w:r>
      <w:r>
        <w:rPr>
          <w:spacing w:val="-5"/>
          <w:sz w:val="22"/>
          <w:szCs w:val="22"/>
        </w:rPr>
        <w:t xml:space="preserve"> </w:t>
      </w:r>
      <w:r>
        <w:rPr>
          <w:sz w:val="22"/>
          <w:szCs w:val="22"/>
        </w:rPr>
        <w:t>continue</w:t>
      </w:r>
      <w:r>
        <w:rPr>
          <w:spacing w:val="-3"/>
          <w:sz w:val="22"/>
          <w:szCs w:val="22"/>
        </w:rPr>
        <w:t xml:space="preserve"> </w:t>
      </w:r>
      <w:r>
        <w:rPr>
          <w:sz w:val="22"/>
          <w:szCs w:val="22"/>
        </w:rPr>
        <w:t>during</w:t>
      </w:r>
      <w:r>
        <w:rPr>
          <w:spacing w:val="-4"/>
          <w:sz w:val="22"/>
          <w:szCs w:val="22"/>
        </w:rPr>
        <w:t xml:space="preserve"> </w:t>
      </w:r>
      <w:r>
        <w:rPr>
          <w:sz w:val="22"/>
          <w:szCs w:val="22"/>
        </w:rPr>
        <w:t>times</w:t>
      </w:r>
      <w:r>
        <w:rPr>
          <w:spacing w:val="-4"/>
          <w:sz w:val="22"/>
          <w:szCs w:val="22"/>
        </w:rPr>
        <w:t xml:space="preserve"> </w:t>
      </w:r>
      <w:r>
        <w:rPr>
          <w:sz w:val="22"/>
          <w:szCs w:val="22"/>
        </w:rPr>
        <w:t>of</w:t>
      </w:r>
      <w:r>
        <w:rPr>
          <w:spacing w:val="-4"/>
          <w:sz w:val="22"/>
          <w:szCs w:val="22"/>
        </w:rPr>
        <w:t xml:space="preserve"> </w:t>
      </w:r>
      <w:r>
        <w:rPr>
          <w:sz w:val="22"/>
          <w:szCs w:val="22"/>
        </w:rPr>
        <w:t>Portland Water Bureau CSSWF pumping in accordance with the DEQ‐approved 2019 Portland Water Bureau, Contingency Monitoring</w:t>
      </w:r>
      <w:r>
        <w:rPr>
          <w:spacing w:val="-29"/>
          <w:sz w:val="22"/>
          <w:szCs w:val="22"/>
        </w:rPr>
        <w:t xml:space="preserve"> </w:t>
      </w:r>
      <w:r>
        <w:rPr>
          <w:sz w:val="22"/>
          <w:szCs w:val="22"/>
        </w:rPr>
        <w:t>Plan.</w:t>
      </w:r>
    </w:p>
    <w:p w14:paraId="04ED2E53" w14:textId="77777777" w:rsidR="00FC351C" w:rsidRDefault="00FC351C" w:rsidP="00FC351C">
      <w:pPr>
        <w:pStyle w:val="BodyText"/>
        <w:jc w:val="both"/>
        <w:rPr>
          <w:rFonts w:ascii="Times New Roman" w:hAnsi="Times New Roman" w:cs="Times New Roman"/>
          <w:sz w:val="22"/>
          <w:szCs w:val="22"/>
        </w:rPr>
      </w:pPr>
    </w:p>
    <w:p w14:paraId="1A16DD14" w14:textId="77777777" w:rsidR="00FC351C" w:rsidRDefault="00FC351C" w:rsidP="00FC351C">
      <w:pPr>
        <w:pStyle w:val="BodyText"/>
        <w:jc w:val="both"/>
        <w:rPr>
          <w:sz w:val="22"/>
          <w:szCs w:val="22"/>
        </w:rPr>
      </w:pPr>
      <w:r>
        <w:rPr>
          <w:sz w:val="22"/>
          <w:szCs w:val="22"/>
        </w:rPr>
        <w:t xml:space="preserve">The existing remedy requirements shall continue in other areas of the EMC Site (Zones B, C, D) until </w:t>
      </w:r>
      <w:r>
        <w:rPr>
          <w:color w:val="00B050"/>
          <w:sz w:val="22"/>
          <w:szCs w:val="22"/>
        </w:rPr>
        <w:t xml:space="preserve">DEQ concludes the remedy is no longer needed to meet the </w:t>
      </w:r>
      <w:r>
        <w:rPr>
          <w:sz w:val="22"/>
          <w:szCs w:val="22"/>
        </w:rPr>
        <w:t xml:space="preserve">Consent Order and Record of Decision criteria </w:t>
      </w:r>
      <w:r>
        <w:rPr>
          <w:strike/>
          <w:sz w:val="22"/>
          <w:szCs w:val="22"/>
        </w:rPr>
        <w:t>until Consent Order and Record of Decision criteria are met</w:t>
      </w:r>
      <w:r>
        <w:rPr>
          <w:sz w:val="22"/>
          <w:szCs w:val="22"/>
        </w:rPr>
        <w:t xml:space="preserve">. </w:t>
      </w:r>
    </w:p>
    <w:p w14:paraId="7A2C0135" w14:textId="77777777" w:rsidR="00FC351C" w:rsidRDefault="00FC351C" w:rsidP="00FC351C">
      <w:pPr>
        <w:pStyle w:val="BodyText"/>
        <w:jc w:val="both"/>
        <w:rPr>
          <w:sz w:val="22"/>
          <w:szCs w:val="22"/>
        </w:rPr>
      </w:pPr>
    </w:p>
    <w:p w14:paraId="05375042" w14:textId="77777777" w:rsidR="00FC351C" w:rsidRDefault="00FC351C" w:rsidP="00FC351C">
      <w:pPr>
        <w:pStyle w:val="BodyText"/>
        <w:jc w:val="both"/>
        <w:rPr>
          <w:rFonts w:ascii="Times New Roman" w:hAnsi="Times New Roman" w:cs="Times New Roman"/>
          <w:sz w:val="22"/>
          <w:szCs w:val="22"/>
        </w:rPr>
      </w:pPr>
      <w:r>
        <w:rPr>
          <w:sz w:val="22"/>
          <w:szCs w:val="22"/>
        </w:rPr>
        <w:t>This Staff Memorandum proposing and supporting a Conditional</w:t>
      </w:r>
      <w:r>
        <w:rPr>
          <w:spacing w:val="-2"/>
          <w:sz w:val="22"/>
          <w:szCs w:val="22"/>
        </w:rPr>
        <w:t xml:space="preserve"> </w:t>
      </w:r>
      <w:r>
        <w:rPr>
          <w:sz w:val="22"/>
          <w:szCs w:val="22"/>
        </w:rPr>
        <w:t>NFA for the EMC Remedy Zone A and the SGA will be submitted for public review and comment during the month of March 2022. Comments received will be reviewed and considered by DEQ prior to a project decision being made.</w:t>
      </w:r>
    </w:p>
    <w:p w14:paraId="360EAD26" w14:textId="77777777" w:rsidR="00FC351C" w:rsidRDefault="00FC351C" w:rsidP="00FC351C">
      <w:pPr>
        <w:pStyle w:val="BodyText"/>
        <w:spacing w:before="200" w:line="264" w:lineRule="auto"/>
        <w:ind w:right="438"/>
        <w:jc w:val="both"/>
        <w:rPr>
          <w:sz w:val="22"/>
          <w:szCs w:val="22"/>
        </w:rPr>
      </w:pPr>
      <w:r>
        <w:rPr>
          <w:sz w:val="22"/>
          <w:szCs w:val="22"/>
        </w:rPr>
        <w:t>Following approval of the conditional NFA for Zone A and the SGA, the remaining four (3 TSA and 1 SGA) wells within Zone A will be decommissioned, as approved by DEQ in 2018. The NFA determination for Zone A and the SGA will be recorded in DEQ’s ECSI database (ECSI # 4237).</w:t>
      </w:r>
    </w:p>
    <w:p w14:paraId="6C1554FB" w14:textId="77777777" w:rsidR="00FC351C" w:rsidRDefault="00FC351C" w:rsidP="00FC351C">
      <w:pPr>
        <w:pStyle w:val="BodyText"/>
        <w:spacing w:before="200" w:line="264" w:lineRule="auto"/>
        <w:ind w:right="438"/>
        <w:rPr>
          <w:sz w:val="22"/>
          <w:szCs w:val="22"/>
        </w:rPr>
      </w:pPr>
    </w:p>
    <w:p w14:paraId="7425CBCD" w14:textId="77777777" w:rsidR="00570ADF" w:rsidRDefault="00570ADF"/>
    <w:sectPr w:rsidR="00570A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1)">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3686"/>
    <w:multiLevelType w:val="multilevel"/>
    <w:tmpl w:val="F9106B28"/>
    <w:lvl w:ilvl="0">
      <w:start w:val="1"/>
      <w:numFmt w:val="decimal"/>
      <w:pStyle w:val="Heading1"/>
      <w:lvlText w:val="%1."/>
      <w:lvlJc w:val="left"/>
      <w:pPr>
        <w:ind w:left="720" w:hanging="360"/>
      </w:pPr>
    </w:lvl>
    <w:lvl w:ilvl="1">
      <w:start w:val="2"/>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703939012">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628"/>
    <w:rsid w:val="00070628"/>
    <w:rsid w:val="00570ADF"/>
    <w:rsid w:val="00FC3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9917DC-C0BB-4EE1-8EAC-EDC462C33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51C"/>
    <w:pPr>
      <w:spacing w:after="0" w:line="240" w:lineRule="auto"/>
    </w:pPr>
    <w:rPr>
      <w:rFonts w:ascii="Calibri" w:eastAsia="SimSun" w:hAnsi="Calibri" w:cs="Calibri"/>
      <w:lang w:eastAsia="zh-CN"/>
    </w:rPr>
  </w:style>
  <w:style w:type="paragraph" w:styleId="Heading1">
    <w:name w:val="heading 1"/>
    <w:basedOn w:val="Normal"/>
    <w:link w:val="Heading1Char"/>
    <w:uiPriority w:val="9"/>
    <w:qFormat/>
    <w:rsid w:val="00FC351C"/>
    <w:pPr>
      <w:keepNext/>
      <w:numPr>
        <w:numId w:val="1"/>
      </w:numPr>
      <w:spacing w:after="240"/>
      <w:ind w:left="360"/>
      <w:outlineLvl w:val="0"/>
    </w:pPr>
    <w:rPr>
      <w:rFonts w:ascii="Times New Roman" w:hAnsi="Times New Roman" w:cs="Times New Roman"/>
      <w:b/>
      <w:bCs/>
      <w:kern w:val="3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51C"/>
    <w:rPr>
      <w:rFonts w:ascii="Times New Roman" w:eastAsia="SimSun" w:hAnsi="Times New Roman" w:cs="Times New Roman"/>
      <w:b/>
      <w:bCs/>
      <w:kern w:val="36"/>
      <w:sz w:val="24"/>
      <w:szCs w:val="24"/>
      <w:lang w:eastAsia="zh-CN"/>
    </w:rPr>
  </w:style>
  <w:style w:type="character" w:styleId="Hyperlink">
    <w:name w:val="Hyperlink"/>
    <w:basedOn w:val="DefaultParagraphFont"/>
    <w:uiPriority w:val="99"/>
    <w:semiHidden/>
    <w:unhideWhenUsed/>
    <w:rsid w:val="00FC351C"/>
    <w:rPr>
      <w:color w:val="0563C1"/>
      <w:u w:val="single"/>
    </w:rPr>
  </w:style>
  <w:style w:type="paragraph" w:styleId="BodyText">
    <w:name w:val="Body Text"/>
    <w:basedOn w:val="Normal"/>
    <w:link w:val="BodyTextChar"/>
    <w:uiPriority w:val="1"/>
    <w:semiHidden/>
    <w:unhideWhenUsed/>
    <w:rsid w:val="00FC351C"/>
    <w:rPr>
      <w:rFonts w:ascii="CG Times (W1)" w:hAnsi="CG Times (W1)" w:cs="SimSun"/>
      <w:sz w:val="24"/>
      <w:szCs w:val="24"/>
    </w:rPr>
  </w:style>
  <w:style w:type="character" w:customStyle="1" w:styleId="BodyTextChar">
    <w:name w:val="Body Text Char"/>
    <w:basedOn w:val="DefaultParagraphFont"/>
    <w:link w:val="BodyText"/>
    <w:uiPriority w:val="1"/>
    <w:semiHidden/>
    <w:rsid w:val="00FC351C"/>
    <w:rPr>
      <w:rFonts w:ascii="CG Times (W1)" w:eastAsia="SimSun" w:hAnsi="CG Times (W1)" w:cs="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9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Bartlett@Geosyntec.com" TargetMode="External"/><Relationship Id="rId3" Type="http://schemas.openxmlformats.org/officeDocument/2006/relationships/settings" Target="settings.xml"/><Relationship Id="rId7" Type="http://schemas.openxmlformats.org/officeDocument/2006/relationships/hyperlink" Target="mailto:Dan.HAFLEY@deq.oregon.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ives@landauinc.com" TargetMode="External"/><Relationship Id="rId11" Type="http://schemas.openxmlformats.org/officeDocument/2006/relationships/theme" Target="theme/theme1.xml"/><Relationship Id="rId5" Type="http://schemas.openxmlformats.org/officeDocument/2006/relationships/hyperlink" Target="mailto:Kenneth.THIESSEN@deq.oregon.go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kimmel@landaui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1022</Words>
  <Characters>5826</Characters>
  <Application>Microsoft Office Word</Application>
  <DocSecurity>0</DocSecurity>
  <Lines>48</Lines>
  <Paragraphs>13</Paragraphs>
  <ScaleCrop>false</ScaleCrop>
  <Company>Oregon Department of Environmental Quality</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THIESSEN Kenneth * DEQ</dc:creator>
  <cp:keywords/>
  <dc:description/>
  <cp:lastModifiedBy>THIESSEN Kenneth * DEQ</cp:lastModifiedBy>
  <cp:revision>2</cp:revision>
  <dcterms:created xsi:type="dcterms:W3CDTF">2022-04-20T23:17:00Z</dcterms:created>
  <dcterms:modified xsi:type="dcterms:W3CDTF">2022-04-20T23:17:00Z</dcterms:modified>
</cp:coreProperties>
</file>