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5EF1" w14:textId="77777777" w:rsidR="00F628F2" w:rsidRPr="004B5E6B" w:rsidRDefault="00F628F2" w:rsidP="00F628F2">
      <w:pPr>
        <w:kinsoku w:val="0"/>
        <w:overflowPunct w:val="0"/>
        <w:autoSpaceDE w:val="0"/>
        <w:autoSpaceDN w:val="0"/>
        <w:adjustRightInd w:val="0"/>
        <w:spacing w:after="0" w:line="344" w:lineRule="exact"/>
        <w:ind w:left="450"/>
        <w:rPr>
          <w:rFonts w:ascii="Times New Roman" w:hAnsi="Times New Roman" w:cs="Times New Roman"/>
          <w:b/>
          <w:bCs/>
          <w:sz w:val="36"/>
          <w:szCs w:val="36"/>
          <w:lang w:val="en-ZW"/>
        </w:rPr>
      </w:pPr>
      <w:r w:rsidRPr="004B5E6B">
        <w:rPr>
          <w:rFonts w:ascii="Times New Roman" w:hAnsi="Times New Roman" w:cs="Times New Roman"/>
          <w:b/>
          <w:bCs/>
          <w:sz w:val="36"/>
          <w:szCs w:val="36"/>
          <w:lang w:val="en-ZW"/>
        </w:rPr>
        <w:t>State of Oregon</w:t>
      </w:r>
    </w:p>
    <w:p w14:paraId="7EF91DE9" w14:textId="77777777" w:rsidR="00F628F2" w:rsidRPr="004B5E6B" w:rsidRDefault="00F628F2" w:rsidP="00F628F2">
      <w:pPr>
        <w:kinsoku w:val="0"/>
        <w:overflowPunct w:val="0"/>
        <w:autoSpaceDE w:val="0"/>
        <w:autoSpaceDN w:val="0"/>
        <w:adjustRightInd w:val="0"/>
        <w:spacing w:before="13" w:after="17" w:line="240" w:lineRule="auto"/>
        <w:ind w:left="450"/>
        <w:rPr>
          <w:rFonts w:ascii="Times New Roman" w:hAnsi="Times New Roman" w:cs="Times New Roman"/>
          <w:b/>
          <w:bCs/>
          <w:sz w:val="36"/>
          <w:szCs w:val="36"/>
          <w:lang w:val="en-ZW"/>
        </w:rPr>
      </w:pPr>
      <w:r w:rsidRPr="004B5E6B">
        <w:rPr>
          <w:rFonts w:ascii="Times New Roman" w:hAnsi="Times New Roman" w:cs="Times New Roman"/>
          <w:b/>
          <w:bCs/>
          <w:sz w:val="36"/>
          <w:szCs w:val="36"/>
          <w:lang w:val="en-ZW"/>
        </w:rPr>
        <w:t>Department of Environmental Quality Memorandum</w:t>
      </w:r>
    </w:p>
    <w:p w14:paraId="35FD7618" w14:textId="77777777" w:rsidR="00F628F2" w:rsidRPr="009D1CBD" w:rsidRDefault="00F628F2" w:rsidP="00F628F2">
      <w:pPr>
        <w:kinsoku w:val="0"/>
        <w:overflowPunct w:val="0"/>
        <w:autoSpaceDE w:val="0"/>
        <w:autoSpaceDN w:val="0"/>
        <w:adjustRightInd w:val="0"/>
        <w:spacing w:after="0" w:line="74" w:lineRule="exact"/>
        <w:ind w:left="450"/>
        <w:rPr>
          <w:rFonts w:ascii="Times New Roman" w:hAnsi="Times New Roman" w:cs="Times New Roman"/>
          <w:position w:val="-1"/>
          <w:sz w:val="7"/>
          <w:szCs w:val="7"/>
          <w:lang w:val="en-ZW"/>
        </w:rPr>
      </w:pPr>
      <w:r w:rsidRPr="009D1CBD">
        <w:rPr>
          <w:rFonts w:ascii="Times New Roman" w:hAnsi="Times New Roman" w:cs="Times New Roman"/>
          <w:noProof/>
          <w:position w:val="-1"/>
          <w:sz w:val="7"/>
          <w:szCs w:val="7"/>
          <w:lang w:val="en-ZW" w:eastAsia="en-ZW"/>
        </w:rPr>
        <mc:AlternateContent>
          <mc:Choice Requires="wpg">
            <w:drawing>
              <wp:inline distT="0" distB="0" distL="0" distR="0" wp14:anchorId="370C8108" wp14:editId="75BEE8D8">
                <wp:extent cx="5951855" cy="46355"/>
                <wp:effectExtent l="28575" t="9525" r="29845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46355"/>
                          <a:chOff x="0" y="0"/>
                          <a:chExt cx="9373" cy="7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36"/>
                            <a:ext cx="9373" cy="20"/>
                          </a:xfrm>
                          <a:custGeom>
                            <a:avLst/>
                            <a:gdLst>
                              <a:gd name="T0" fmla="*/ 0 w 9373"/>
                              <a:gd name="T1" fmla="*/ 0 h 20"/>
                              <a:gd name="T2" fmla="*/ 9372 w 93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73" h="20">
                                <a:moveTo>
                                  <a:pt x="0" y="0"/>
                                </a:moveTo>
                                <a:lnTo>
                                  <a:pt x="9372" y="0"/>
                                </a:lnTo>
                              </a:path>
                            </a:pathLst>
                          </a:custGeom>
                          <a:noFill/>
                          <a:ln w="457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C58AD" id="Group 1" o:spid="_x0000_s1026" style="width:468.65pt;height:3.65pt;mso-position-horizontal-relative:char;mso-position-vertical-relative:line" coordsize="9373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">
                <v:shape id="Freeform 3" o:spid="_x0000_s1027" style="position:absolute;top:36;width:9373;height:20;visibility:visible;mso-wrap-style:square;v-text-anchor:top" coordsize="93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" path="m,l9372,e" filled="f" strokeweight="1.2713mm">
                  <v:path arrowok="t" o:connecttype="custom" o:connectlocs="0,0;9372,0" o:connectangles="0,0"/>
                </v:shape>
                <w10:anchorlock/>
              </v:group>
            </w:pict>
          </mc:Fallback>
        </mc:AlternateContent>
      </w:r>
    </w:p>
    <w:p w14:paraId="57A859B3" w14:textId="77777777" w:rsidR="00F628F2" w:rsidRPr="00CD52DD" w:rsidRDefault="000D6AE6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September 4</w:t>
      </w:r>
      <w:r w:rsidR="00F628F2" w:rsidRPr="00CD52DD">
        <w:rPr>
          <w:rFonts w:ascii="Times New Roman" w:hAnsi="Times New Roman" w:cs="Times New Roman"/>
          <w:sz w:val="24"/>
          <w:szCs w:val="24"/>
          <w:lang w:val="en-ZW"/>
        </w:rPr>
        <w:t>, 2019</w:t>
      </w:r>
    </w:p>
    <w:p w14:paraId="7085FFD7" w14:textId="77777777" w:rsidR="00F628F2" w:rsidRPr="00CD52DD" w:rsidRDefault="00F628F2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</w:p>
    <w:p w14:paraId="5FB4D6CF" w14:textId="77777777" w:rsidR="00F628F2" w:rsidRDefault="00F628F2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  <w:r w:rsidRPr="00CD52DD">
        <w:rPr>
          <w:rFonts w:ascii="Times New Roman" w:hAnsi="Times New Roman" w:cs="Times New Roman"/>
          <w:b/>
          <w:sz w:val="24"/>
          <w:szCs w:val="24"/>
          <w:lang w:val="en-ZW"/>
        </w:rPr>
        <w:t>Subject</w:t>
      </w:r>
      <w:r w:rsidRPr="00CD52DD">
        <w:rPr>
          <w:rFonts w:ascii="Times New Roman" w:hAnsi="Times New Roman" w:cs="Times New Roman"/>
          <w:sz w:val="24"/>
          <w:szCs w:val="24"/>
          <w:lang w:val="en-ZW"/>
        </w:rPr>
        <w:t>: No</w:t>
      </w:r>
      <w:r>
        <w:rPr>
          <w:rFonts w:ascii="Times New Roman" w:hAnsi="Times New Roman" w:cs="Times New Roman"/>
          <w:sz w:val="24"/>
          <w:szCs w:val="24"/>
          <w:lang w:val="en-ZW"/>
        </w:rPr>
        <w:t>n-Hazardous Waste</w:t>
      </w:r>
      <w:r w:rsidRPr="00CD52DD">
        <w:rPr>
          <w:rFonts w:ascii="Times New Roman" w:hAnsi="Times New Roman" w:cs="Times New Roman"/>
          <w:sz w:val="24"/>
          <w:szCs w:val="24"/>
          <w:lang w:val="en-ZW"/>
        </w:rPr>
        <w:t xml:space="preserve"> Determination for Investigation Derived Waste. East Multnomah County Troutdale Sandstone Aquifer Remedy 2201 and 2525 NE 201st Ave. Fairview, Oregon. (ECSI #1479)</w:t>
      </w:r>
    </w:p>
    <w:p w14:paraId="37A1BF35" w14:textId="77777777" w:rsidR="00A6779F" w:rsidRDefault="00A6779F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</w:p>
    <w:p w14:paraId="53311F55" w14:textId="77777777" w:rsidR="00A6779F" w:rsidRPr="00CD52DD" w:rsidRDefault="00A6779F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  <w:r w:rsidRPr="00A6779F"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  <w:t>To</w:t>
      </w:r>
      <w:r>
        <w:rPr>
          <w:rFonts w:ascii="Times New Roman" w:hAnsi="Times New Roman" w:cs="Times New Roman"/>
          <w:sz w:val="24"/>
          <w:szCs w:val="24"/>
          <w:lang w:val="en-ZW"/>
        </w:rPr>
        <w:t>: Cindy Bartlett, Geosyntec Consultants</w:t>
      </w:r>
    </w:p>
    <w:p w14:paraId="1E8BD9DF" w14:textId="77777777" w:rsidR="00F628F2" w:rsidRPr="00CD52DD" w:rsidRDefault="00F628F2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</w:p>
    <w:p w14:paraId="7631F941" w14:textId="77777777" w:rsidR="00F628F2" w:rsidRDefault="00F628F2" w:rsidP="00F628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Cs/>
          <w:w w:val="105"/>
          <w:sz w:val="24"/>
          <w:szCs w:val="24"/>
          <w:lang w:val="en-ZW"/>
        </w:rPr>
      </w:pPr>
      <w:r w:rsidRPr="00867FFA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  <w:lang w:val="en-ZW"/>
        </w:rPr>
        <w:t>From</w:t>
      </w:r>
      <w:r w:rsidRPr="009D2B22">
        <w:rPr>
          <w:rFonts w:ascii="Times New Roman" w:hAnsi="Times New Roman" w:cs="Times New Roman"/>
          <w:b/>
          <w:bCs/>
          <w:w w:val="105"/>
          <w:sz w:val="24"/>
          <w:szCs w:val="24"/>
          <w:lang w:val="en-ZW"/>
        </w:rPr>
        <w:t xml:space="preserve">: </w:t>
      </w:r>
      <w:r w:rsidRPr="00CD52DD">
        <w:rPr>
          <w:rFonts w:ascii="Times New Roman" w:hAnsi="Times New Roman" w:cs="Times New Roman"/>
          <w:bCs/>
          <w:w w:val="105"/>
          <w:sz w:val="24"/>
          <w:szCs w:val="24"/>
          <w:lang w:val="en-ZW"/>
        </w:rPr>
        <w:t>Kenneth Thiessen, NWR Cleanup Program</w:t>
      </w:r>
    </w:p>
    <w:p w14:paraId="76342A1F" w14:textId="77777777" w:rsidR="00F628F2" w:rsidRDefault="00F628F2" w:rsidP="00F628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w w:val="105"/>
          <w:sz w:val="24"/>
          <w:szCs w:val="24"/>
          <w:lang w:val="en-ZW"/>
        </w:rPr>
      </w:pPr>
    </w:p>
    <w:p w14:paraId="4A40DCAD" w14:textId="77777777" w:rsidR="00F628F2" w:rsidRDefault="00F628F2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  <w:r w:rsidRPr="00825B53">
        <w:rPr>
          <w:rFonts w:ascii="Times New Roman" w:hAnsi="Times New Roman" w:cs="Times New Roman"/>
          <w:sz w:val="24"/>
          <w:szCs w:val="24"/>
          <w:lang w:val="en-ZW"/>
        </w:rPr>
        <w:t xml:space="preserve">The DEQ Northwest Region Environmental Cleanup and Hazardous Waste Program has prepared this </w:t>
      </w:r>
      <w:r w:rsidR="00910E3D" w:rsidRPr="00CD52DD">
        <w:rPr>
          <w:rFonts w:ascii="Times New Roman" w:hAnsi="Times New Roman" w:cs="Times New Roman"/>
          <w:sz w:val="24"/>
          <w:szCs w:val="24"/>
          <w:lang w:val="en-ZW"/>
        </w:rPr>
        <w:t>No</w:t>
      </w:r>
      <w:r w:rsidR="00910E3D">
        <w:rPr>
          <w:rFonts w:ascii="Times New Roman" w:hAnsi="Times New Roman" w:cs="Times New Roman"/>
          <w:sz w:val="24"/>
          <w:szCs w:val="24"/>
          <w:lang w:val="en-ZW"/>
        </w:rPr>
        <w:t>n-Hazardous Waste</w:t>
      </w:r>
      <w:r w:rsidR="00910E3D" w:rsidRPr="00CD52DD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825B53">
        <w:rPr>
          <w:rFonts w:ascii="Times New Roman" w:hAnsi="Times New Roman" w:cs="Times New Roman"/>
          <w:sz w:val="24"/>
          <w:szCs w:val="24"/>
          <w:lang w:val="en-ZW"/>
        </w:rPr>
        <w:t xml:space="preserve">Determination for investigation derived waste (IDW) produced as drill cores from construction of four new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soil vapor </w:t>
      </w:r>
      <w:r w:rsidRPr="00825B53">
        <w:rPr>
          <w:rFonts w:ascii="Times New Roman" w:hAnsi="Times New Roman" w:cs="Times New Roman"/>
          <w:sz w:val="24"/>
          <w:szCs w:val="24"/>
          <w:lang w:val="en-ZW"/>
        </w:rPr>
        <w:t xml:space="preserve">extraction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(SVE) </w:t>
      </w:r>
      <w:r w:rsidRPr="00825B53">
        <w:rPr>
          <w:rFonts w:ascii="Times New Roman" w:hAnsi="Times New Roman" w:cs="Times New Roman"/>
          <w:sz w:val="24"/>
          <w:szCs w:val="24"/>
          <w:lang w:val="en-ZW"/>
        </w:rPr>
        <w:t>wells: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825B53">
        <w:rPr>
          <w:rFonts w:ascii="Times New Roman" w:hAnsi="Times New Roman" w:cs="Times New Roman"/>
          <w:sz w:val="24"/>
          <w:szCs w:val="24"/>
          <w:lang w:val="en-ZW"/>
        </w:rPr>
        <w:t>VMW-E, VMW-F, VMW-G, and VMW-H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. </w:t>
      </w:r>
    </w:p>
    <w:p w14:paraId="355EA49A" w14:textId="77777777" w:rsidR="00BD2E7A" w:rsidRDefault="00BD2E7A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</w:p>
    <w:p w14:paraId="0ADD73ED" w14:textId="77777777" w:rsidR="00BD2E7A" w:rsidRPr="00BD2E7A" w:rsidRDefault="00BD2E7A" w:rsidP="00BD2E7A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Trichloroethylene (</w:t>
      </w:r>
      <w:r w:rsidRPr="00BD2E7A">
        <w:rPr>
          <w:rFonts w:ascii="Times New Roman" w:hAnsi="Times New Roman" w:cs="Times New Roman"/>
          <w:sz w:val="24"/>
          <w:szCs w:val="24"/>
          <w:lang w:val="en-ZW"/>
        </w:rPr>
        <w:t>TCE</w:t>
      </w:r>
      <w:r>
        <w:rPr>
          <w:rFonts w:ascii="Times New Roman" w:hAnsi="Times New Roman" w:cs="Times New Roman"/>
          <w:sz w:val="24"/>
          <w:szCs w:val="24"/>
          <w:lang w:val="en-ZW"/>
        </w:rPr>
        <w:t>)</w:t>
      </w:r>
      <w:r w:rsidRPr="00BD2E7A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is the risk driver for the </w:t>
      </w:r>
      <w:r w:rsidRPr="00CD52DD">
        <w:rPr>
          <w:rFonts w:ascii="Times New Roman" w:hAnsi="Times New Roman" w:cs="Times New Roman"/>
          <w:sz w:val="24"/>
          <w:szCs w:val="24"/>
          <w:lang w:val="en-ZW"/>
        </w:rPr>
        <w:t>East Multnomah County Troutdale Sandstone Aquifer Remedy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 and may have been transported to this off-site drilling area by the movement of groundwater.</w:t>
      </w:r>
      <w:r w:rsidR="00910E3D">
        <w:rPr>
          <w:rFonts w:ascii="Times New Roman" w:hAnsi="Times New Roman" w:cs="Times New Roman"/>
          <w:sz w:val="24"/>
          <w:szCs w:val="24"/>
          <w:lang w:val="en-ZW"/>
        </w:rPr>
        <w:t xml:space="preserve"> However, b</w:t>
      </w:r>
      <w:r w:rsidRPr="00BD2E7A">
        <w:rPr>
          <w:rFonts w:ascii="Times New Roman" w:hAnsi="Times New Roman" w:cs="Times New Roman"/>
          <w:sz w:val="24"/>
          <w:szCs w:val="24"/>
          <w:lang w:val="en-ZW"/>
        </w:rPr>
        <w:t xml:space="preserve">ased on the analytical results, </w:t>
      </w:r>
      <w:r>
        <w:rPr>
          <w:rFonts w:ascii="Times New Roman" w:hAnsi="Times New Roman" w:cs="Times New Roman"/>
          <w:sz w:val="24"/>
          <w:szCs w:val="24"/>
          <w:lang w:val="en-ZW"/>
        </w:rPr>
        <w:t>trichloroethylene (</w:t>
      </w:r>
      <w:r w:rsidRPr="00BD2E7A">
        <w:rPr>
          <w:rFonts w:ascii="Times New Roman" w:hAnsi="Times New Roman" w:cs="Times New Roman"/>
          <w:sz w:val="24"/>
          <w:szCs w:val="24"/>
          <w:lang w:val="en-ZW"/>
        </w:rPr>
        <w:t>TCE</w:t>
      </w:r>
      <w:r>
        <w:rPr>
          <w:rFonts w:ascii="Times New Roman" w:hAnsi="Times New Roman" w:cs="Times New Roman"/>
          <w:sz w:val="24"/>
          <w:szCs w:val="24"/>
          <w:lang w:val="en-ZW"/>
        </w:rPr>
        <w:t>)</w:t>
      </w:r>
      <w:r w:rsidRPr="00BD2E7A">
        <w:rPr>
          <w:rFonts w:ascii="Times New Roman" w:hAnsi="Times New Roman" w:cs="Times New Roman"/>
          <w:sz w:val="24"/>
          <w:szCs w:val="24"/>
          <w:lang w:val="en-ZW"/>
        </w:rPr>
        <w:t xml:space="preserve"> was not detected in the IDW. This </w:t>
      </w:r>
      <w:r w:rsidR="00910E3D">
        <w:rPr>
          <w:rFonts w:ascii="Times New Roman" w:hAnsi="Times New Roman" w:cs="Times New Roman"/>
          <w:sz w:val="24"/>
          <w:szCs w:val="24"/>
          <w:lang w:val="en-ZW"/>
        </w:rPr>
        <w:t xml:space="preserve">result </w:t>
      </w:r>
      <w:r w:rsidRPr="00BD2E7A">
        <w:rPr>
          <w:rFonts w:ascii="Times New Roman" w:hAnsi="Times New Roman" w:cs="Times New Roman"/>
          <w:sz w:val="24"/>
          <w:szCs w:val="24"/>
          <w:lang w:val="en-ZW"/>
        </w:rPr>
        <w:t>is expected</w:t>
      </w:r>
      <w:r w:rsidR="00910E3D">
        <w:rPr>
          <w:rFonts w:ascii="Times New Roman" w:hAnsi="Times New Roman" w:cs="Times New Roman"/>
          <w:sz w:val="24"/>
          <w:szCs w:val="24"/>
          <w:lang w:val="en-ZW"/>
        </w:rPr>
        <w:t>,</w:t>
      </w:r>
      <w:r w:rsidRPr="00BD2E7A">
        <w:rPr>
          <w:rFonts w:ascii="Times New Roman" w:hAnsi="Times New Roman" w:cs="Times New Roman"/>
          <w:sz w:val="24"/>
          <w:szCs w:val="24"/>
          <w:lang w:val="en-ZW"/>
        </w:rPr>
        <w:t xml:space="preserve"> since drill core </w:t>
      </w:r>
      <w:r w:rsidR="00910E3D">
        <w:rPr>
          <w:rFonts w:ascii="Times New Roman" w:hAnsi="Times New Roman" w:cs="Times New Roman"/>
          <w:sz w:val="24"/>
          <w:szCs w:val="24"/>
          <w:lang w:val="en-ZW"/>
        </w:rPr>
        <w:t>soil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 accumulated as IDW</w:t>
      </w:r>
      <w:r w:rsidRPr="00BD2E7A">
        <w:rPr>
          <w:rFonts w:ascii="Times New Roman" w:hAnsi="Times New Roman" w:cs="Times New Roman"/>
          <w:sz w:val="24"/>
          <w:szCs w:val="24"/>
          <w:lang w:val="en-ZW"/>
        </w:rPr>
        <w:t xml:space="preserve"> from the SVE wells is from above the water table, where soil is not directly contaminated by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TCE or other </w:t>
      </w:r>
      <w:r w:rsidRPr="00BD2E7A">
        <w:rPr>
          <w:rFonts w:ascii="Times New Roman" w:hAnsi="Times New Roman" w:cs="Times New Roman"/>
          <w:sz w:val="24"/>
          <w:szCs w:val="24"/>
          <w:lang w:val="en-ZW"/>
        </w:rPr>
        <w:t>volatile organic compounds (VOCs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)  </w:t>
      </w:r>
    </w:p>
    <w:p w14:paraId="6CB5059D" w14:textId="77777777" w:rsidR="00F628F2" w:rsidRDefault="00F628F2" w:rsidP="00F628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w w:val="105"/>
          <w:sz w:val="24"/>
          <w:szCs w:val="24"/>
          <w:lang w:val="en-ZW"/>
        </w:rPr>
      </w:pPr>
    </w:p>
    <w:p w14:paraId="77A552EA" w14:textId="77777777" w:rsidR="00F628F2" w:rsidRPr="00C2171F" w:rsidRDefault="00F628F2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  <w:r w:rsidRPr="00C2171F">
        <w:rPr>
          <w:rFonts w:ascii="Times New Roman" w:hAnsi="Times New Roman" w:cs="Times New Roman"/>
          <w:sz w:val="24"/>
          <w:szCs w:val="24"/>
          <w:lang w:val="en-ZW"/>
        </w:rPr>
        <w:t xml:space="preserve">The IDW </w:t>
      </w:r>
      <w:r w:rsidR="00910E3D">
        <w:rPr>
          <w:rFonts w:ascii="Times New Roman" w:hAnsi="Times New Roman" w:cs="Times New Roman"/>
          <w:sz w:val="24"/>
          <w:szCs w:val="24"/>
          <w:lang w:val="en-ZW"/>
        </w:rPr>
        <w:t xml:space="preserve">soil </w:t>
      </w:r>
      <w:r w:rsidRPr="00C2171F">
        <w:rPr>
          <w:rFonts w:ascii="Times New Roman" w:hAnsi="Times New Roman" w:cs="Times New Roman"/>
          <w:sz w:val="24"/>
          <w:szCs w:val="24"/>
          <w:lang w:val="en-ZW"/>
        </w:rPr>
        <w:t>was placed into 55-gallon drums and stored at the Cascade remediation</w:t>
      </w:r>
    </w:p>
    <w:p w14:paraId="1C6AD704" w14:textId="77777777" w:rsidR="00F628F2" w:rsidRDefault="00F628F2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  <w:r w:rsidRPr="00C2171F">
        <w:rPr>
          <w:rFonts w:ascii="Times New Roman" w:hAnsi="Times New Roman" w:cs="Times New Roman"/>
          <w:sz w:val="24"/>
          <w:szCs w:val="24"/>
          <w:lang w:val="en-ZW"/>
        </w:rPr>
        <w:t xml:space="preserve">yard (2525 NE 201st Ave). Three multi-part composite samples were obtained from the soil drums on 28 June 2019 and </w:t>
      </w:r>
      <w:proofErr w:type="spellStart"/>
      <w:r w:rsidRPr="00C2171F">
        <w:rPr>
          <w:rFonts w:ascii="Times New Roman" w:hAnsi="Times New Roman" w:cs="Times New Roman"/>
          <w:sz w:val="24"/>
          <w:szCs w:val="24"/>
          <w:lang w:val="en-ZW"/>
        </w:rPr>
        <w:t>analyzed</w:t>
      </w:r>
      <w:proofErr w:type="spellEnd"/>
      <w:r w:rsidRPr="00C2171F">
        <w:rPr>
          <w:rFonts w:ascii="Times New Roman" w:hAnsi="Times New Roman" w:cs="Times New Roman"/>
          <w:sz w:val="24"/>
          <w:szCs w:val="24"/>
          <w:lang w:val="en-ZW"/>
        </w:rPr>
        <w:t xml:space="preserve"> for VOCs by U.S. Environmental Protection Agency (EPA) Method 8260 and RCRA 8 by EPA Method 6010B/7470. Of these, one sample was additionally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analysed </w:t>
      </w:r>
      <w:r w:rsidRPr="00C2171F">
        <w:rPr>
          <w:rFonts w:ascii="Times New Roman" w:hAnsi="Times New Roman" w:cs="Times New Roman"/>
          <w:sz w:val="24"/>
          <w:szCs w:val="24"/>
          <w:lang w:val="en-ZW"/>
        </w:rPr>
        <w:t>by Method 1311 TCLP Extraction.</w:t>
      </w:r>
    </w:p>
    <w:p w14:paraId="49C77F9B" w14:textId="77777777" w:rsidR="00E7223C" w:rsidRDefault="00E7223C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</w:p>
    <w:p w14:paraId="05773E45" w14:textId="77777777" w:rsidR="00E7223C" w:rsidRDefault="00E7223C" w:rsidP="00E7223C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b/>
          <w:sz w:val="24"/>
          <w:szCs w:val="24"/>
          <w:lang w:val="en-ZW"/>
        </w:rPr>
      </w:pPr>
      <w:r w:rsidRPr="00F628F2">
        <w:rPr>
          <w:rFonts w:ascii="Times New Roman" w:hAnsi="Times New Roman" w:cs="Times New Roman"/>
          <w:sz w:val="24"/>
          <w:szCs w:val="24"/>
          <w:lang w:val="en-ZW"/>
        </w:rPr>
        <w:t xml:space="preserve">Jay Collins, DEQ Hazardous Waste Compliance Inspector has reviewed this </w:t>
      </w:r>
      <w:r>
        <w:rPr>
          <w:rFonts w:ascii="Times New Roman" w:hAnsi="Times New Roman" w:cs="Times New Roman"/>
          <w:sz w:val="24"/>
          <w:szCs w:val="24"/>
          <w:lang w:val="en-ZW"/>
        </w:rPr>
        <w:t>waste characterization data</w:t>
      </w:r>
      <w:r w:rsidRPr="00F628F2">
        <w:rPr>
          <w:rFonts w:ascii="Times New Roman" w:hAnsi="Times New Roman" w:cs="Times New Roman"/>
          <w:sz w:val="24"/>
          <w:szCs w:val="24"/>
          <w:lang w:val="en-ZW"/>
        </w:rPr>
        <w:t xml:space="preserve"> and concludes </w:t>
      </w:r>
      <w:r>
        <w:rPr>
          <w:rFonts w:ascii="Times New Roman" w:hAnsi="Times New Roman" w:cs="Times New Roman"/>
          <w:sz w:val="24"/>
          <w:szCs w:val="24"/>
          <w:lang w:val="en-ZW"/>
        </w:rPr>
        <w:t>that this</w:t>
      </w:r>
      <w:r w:rsidRPr="00F628F2">
        <w:rPr>
          <w:rFonts w:ascii="Times New Roman" w:hAnsi="Times New Roman" w:cs="Times New Roman"/>
          <w:sz w:val="24"/>
          <w:szCs w:val="24"/>
          <w:lang w:val="en-ZW"/>
        </w:rPr>
        <w:t xml:space="preserve"> IDW material is non-hazardous waste </w:t>
      </w:r>
      <w:proofErr w:type="gramStart"/>
      <w:r w:rsidRPr="00F628F2">
        <w:rPr>
          <w:rFonts w:ascii="Times New Roman" w:hAnsi="Times New Roman" w:cs="Times New Roman"/>
          <w:sz w:val="24"/>
          <w:szCs w:val="24"/>
          <w:lang w:val="en-ZW"/>
        </w:rPr>
        <w:t>on the basis of</w:t>
      </w:r>
      <w:proofErr w:type="gramEnd"/>
      <w:r w:rsidRPr="00F628F2">
        <w:rPr>
          <w:rFonts w:ascii="Times New Roman" w:hAnsi="Times New Roman" w:cs="Times New Roman"/>
          <w:sz w:val="24"/>
          <w:szCs w:val="24"/>
          <w:lang w:val="en-ZW"/>
        </w:rPr>
        <w:t xml:space="preserve"> TCE not being detected and TCLP </w:t>
      </w:r>
      <w:r>
        <w:rPr>
          <w:rFonts w:ascii="Times New Roman" w:hAnsi="Times New Roman" w:cs="Times New Roman"/>
          <w:sz w:val="24"/>
          <w:szCs w:val="24"/>
          <w:lang w:val="en-ZW"/>
        </w:rPr>
        <w:t>for chromium being</w:t>
      </w:r>
      <w:r w:rsidRPr="00F628F2">
        <w:rPr>
          <w:rFonts w:ascii="Times New Roman" w:hAnsi="Times New Roman" w:cs="Times New Roman"/>
          <w:sz w:val="24"/>
          <w:szCs w:val="24"/>
          <w:lang w:val="en-ZW"/>
        </w:rPr>
        <w:t xml:space="preserve"> below the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applicable </w:t>
      </w:r>
      <w:r w:rsidRPr="00F628F2">
        <w:rPr>
          <w:rFonts w:ascii="Times New Roman" w:hAnsi="Times New Roman" w:cs="Times New Roman"/>
          <w:sz w:val="24"/>
          <w:szCs w:val="24"/>
          <w:lang w:val="en-ZW"/>
        </w:rPr>
        <w:t>leachate concentration thre</w:t>
      </w:r>
      <w:r>
        <w:rPr>
          <w:rFonts w:ascii="Times New Roman" w:hAnsi="Times New Roman" w:cs="Times New Roman"/>
          <w:sz w:val="24"/>
          <w:szCs w:val="24"/>
          <w:lang w:val="en-ZW"/>
        </w:rPr>
        <w:t>shold</w:t>
      </w:r>
      <w:r w:rsidRPr="00F628F2">
        <w:rPr>
          <w:rFonts w:ascii="Times New Roman" w:hAnsi="Times New Roman" w:cs="Times New Roman"/>
          <w:sz w:val="24"/>
          <w:szCs w:val="24"/>
          <w:lang w:val="en-ZW"/>
        </w:rPr>
        <w:t>.</w:t>
      </w:r>
      <w:r w:rsidRPr="00F628F2">
        <w:rPr>
          <w:rFonts w:ascii="Times New Roman" w:hAnsi="Times New Roman" w:cs="Times New Roman"/>
          <w:b/>
          <w:sz w:val="24"/>
          <w:szCs w:val="24"/>
          <w:lang w:val="en-ZW"/>
        </w:rPr>
        <w:t xml:space="preserve"> </w:t>
      </w:r>
    </w:p>
    <w:p w14:paraId="4A9C9231" w14:textId="77777777" w:rsidR="00E7223C" w:rsidRPr="00C2171F" w:rsidRDefault="00E7223C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</w:p>
    <w:p w14:paraId="73A13352" w14:textId="77777777" w:rsidR="00F628F2" w:rsidRDefault="00F628F2" w:rsidP="00F628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w w:val="105"/>
          <w:sz w:val="24"/>
          <w:szCs w:val="24"/>
          <w:lang w:val="en-ZW"/>
        </w:rPr>
      </w:pPr>
    </w:p>
    <w:p w14:paraId="0A3AC29C" w14:textId="77777777" w:rsidR="00910E3D" w:rsidRDefault="00910E3D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</w:p>
    <w:p w14:paraId="0B488ADB" w14:textId="77777777" w:rsidR="00910E3D" w:rsidRDefault="00910E3D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</w:p>
    <w:p w14:paraId="79039F2A" w14:textId="77777777" w:rsidR="00910E3D" w:rsidRDefault="00910E3D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</w:p>
    <w:p w14:paraId="1AFE0386" w14:textId="77777777" w:rsidR="00910E3D" w:rsidRDefault="00910E3D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</w:p>
    <w:p w14:paraId="1DD9E97F" w14:textId="77777777" w:rsidR="00F628F2" w:rsidRPr="00E46635" w:rsidRDefault="00F628F2" w:rsidP="00E7223C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17" w:firstLine="720"/>
        <w:rPr>
          <w:rFonts w:ascii="Times New Roman" w:hAnsi="Times New Roman" w:cs="Times New Roman"/>
          <w:w w:val="105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lastRenderedPageBreak/>
        <w:t>Key results and</w:t>
      </w:r>
      <w:r w:rsidRPr="003824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analyse</w:t>
      </w:r>
      <w:r w:rsidRPr="00382427">
        <w:rPr>
          <w:rFonts w:ascii="Times New Roman" w:hAnsi="Times New Roman" w:cs="Times New Roman"/>
          <w:sz w:val="24"/>
          <w:szCs w:val="24"/>
          <w:lang w:val="en-ZW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are provided below </w:t>
      </w:r>
      <w:r w:rsidRPr="00382427">
        <w:rPr>
          <w:rFonts w:ascii="Times New Roman" w:hAnsi="Times New Roman" w:cs="Times New Roman"/>
          <w:sz w:val="24"/>
          <w:szCs w:val="24"/>
          <w:lang w:val="en-ZW"/>
        </w:rPr>
        <w:t xml:space="preserve">using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metals detected in the IDW samples. </w:t>
      </w:r>
      <w:r w:rsidRPr="00790B26">
        <w:rPr>
          <w:rFonts w:ascii="Times New Roman" w:hAnsi="Times New Roman" w:cs="Times New Roman"/>
          <w:w w:val="105"/>
          <w:sz w:val="24"/>
          <w:szCs w:val="24"/>
          <w:lang w:val="en-ZW"/>
        </w:rPr>
        <w:t xml:space="preserve"> </w:t>
      </w:r>
    </w:p>
    <w:p w14:paraId="4BDF815B" w14:textId="77777777" w:rsidR="00F628F2" w:rsidRPr="009D1CBD" w:rsidRDefault="00F628F2" w:rsidP="00F628F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50"/>
        <w:rPr>
          <w:rFonts w:ascii="Times New Roman" w:hAnsi="Times New Roman" w:cs="Times New Roman"/>
          <w:sz w:val="20"/>
          <w:szCs w:val="20"/>
          <w:lang w:val="en-ZW"/>
        </w:rPr>
      </w:pP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23"/>
        <w:gridCol w:w="1887"/>
        <w:gridCol w:w="1890"/>
        <w:gridCol w:w="1601"/>
        <w:gridCol w:w="1438"/>
      </w:tblGrid>
      <w:tr w:rsidR="00F628F2" w:rsidRPr="009D1CBD" w14:paraId="4D222065" w14:textId="77777777" w:rsidTr="0071483B">
        <w:trPr>
          <w:trHeight w:val="79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726031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90" w:right="81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Media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6E1135D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right="43"/>
              <w:jc w:val="center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Max.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Barium</w:t>
            </w:r>
          </w:p>
          <w:p w14:paraId="73B0AF46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right="64"/>
              <w:jc w:val="center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Concentration</w:t>
            </w:r>
          </w:p>
          <w:p w14:paraId="5C40FE20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jc w:val="center"/>
              <w:rPr>
                <w:rFonts w:ascii="Arial" w:hAnsi="Arial" w:cs="Arial"/>
                <w:b/>
                <w:w w:val="62"/>
                <w:sz w:val="2"/>
                <w:szCs w:val="2"/>
                <w:lang w:val="en-ZW"/>
              </w:rPr>
            </w:pPr>
            <w:r w:rsidRPr="00016629">
              <w:rPr>
                <w:rFonts w:ascii="Arial" w:hAnsi="Arial" w:cs="Arial"/>
                <w:b/>
                <w:w w:val="62"/>
                <w:sz w:val="2"/>
                <w:szCs w:val="2"/>
                <w:lang w:val="en-ZW"/>
              </w:rPr>
              <w:t>.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461E878" w14:textId="77777777" w:rsidR="00910E3D" w:rsidRDefault="00F628F2" w:rsidP="0071483B">
            <w:pPr>
              <w:numPr>
                <w:ilvl w:val="0"/>
                <w:numId w:val="1"/>
              </w:numPr>
              <w:tabs>
                <w:tab w:val="left" w:pos="275"/>
              </w:tabs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ind w:left="60" w:right="-165" w:hanging="90"/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Barium</w:t>
            </w:r>
            <w:r w:rsidRPr="00016629"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RBC Soil Direct Contact </w:t>
            </w:r>
          </w:p>
          <w:p w14:paraId="7B200B12" w14:textId="77777777" w:rsidR="00F628F2" w:rsidRPr="00016629" w:rsidRDefault="00F628F2" w:rsidP="0071483B">
            <w:pPr>
              <w:numPr>
                <w:ilvl w:val="0"/>
                <w:numId w:val="1"/>
              </w:numPr>
              <w:tabs>
                <w:tab w:val="left" w:pos="275"/>
              </w:tabs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ind w:left="60" w:right="-165" w:hanging="90"/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755BCAF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ind w:right="233"/>
              <w:rPr>
                <w:rFonts w:ascii="Arial" w:hAnsi="Arial" w:cs="Arial"/>
                <w:b/>
                <w:position w:val="9"/>
                <w:sz w:val="7"/>
                <w:szCs w:val="7"/>
                <w:lang w:val="en-ZW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Barium</w:t>
            </w:r>
            <w:r w:rsidRPr="00016629"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RBC Soil</w:t>
            </w:r>
            <w:r w:rsidRPr="00016629">
              <w:rPr>
                <w:rFonts w:ascii="Times New Roman" w:hAnsi="Times New Roman" w:cs="Times New Roman"/>
                <w:b/>
                <w:spacing w:val="30"/>
                <w:sz w:val="19"/>
                <w:szCs w:val="19"/>
                <w:lang w:val="en-ZW"/>
              </w:rPr>
              <w:t xml:space="preserve"> </w:t>
            </w:r>
          </w:p>
          <w:p w14:paraId="4F3444E3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right="118"/>
              <w:rPr>
                <w:rFonts w:ascii="Arial" w:hAnsi="Arial" w:cs="Arial"/>
                <w:b/>
                <w:w w:val="110"/>
                <w:position w:val="6"/>
                <w:sz w:val="9"/>
                <w:szCs w:val="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  <w:t xml:space="preserve"> </w:t>
            </w:r>
            <w:r w:rsidRPr="00016629"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  <w:t>Leaching to</w:t>
            </w:r>
          </w:p>
          <w:p w14:paraId="2343A4F7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12" w:lineRule="exact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 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Groundwater 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4BCD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Barium</w:t>
            </w:r>
            <w:r w:rsidRPr="00016629"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  <w:t xml:space="preserve"> RBC</w:t>
            </w:r>
          </w:p>
          <w:p w14:paraId="599500E4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20" w:lineRule="atLeast"/>
              <w:ind w:right="444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Water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ingestion 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09C3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6" w:right="60"/>
              <w:jc w:val="both"/>
              <w:rPr>
                <w:rFonts w:ascii="Times New Roman" w:hAnsi="Times New Roman" w:cs="Times New Roman"/>
                <w:b/>
                <w:w w:val="11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15"/>
                <w:sz w:val="19"/>
                <w:szCs w:val="19"/>
                <w:lang w:val="en-ZW"/>
              </w:rPr>
              <w:t>20xTCLP</w:t>
            </w:r>
          </w:p>
          <w:p w14:paraId="4D935D00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17" w:lineRule="exact"/>
              <w:ind w:left="76" w:right="63"/>
              <w:jc w:val="both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Limit·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Barium</w:t>
            </w:r>
            <w:r w:rsidRPr="00016629"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  <w:t xml:space="preserve"> 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for</w:t>
            </w:r>
          </w:p>
          <w:p w14:paraId="296396B4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45" w:lineRule="exact"/>
              <w:ind w:left="76" w:right="7"/>
              <w:jc w:val="both"/>
              <w:rPr>
                <w:rFonts w:ascii="Arial" w:hAnsi="Arial" w:cs="Arial"/>
                <w:b/>
                <w:w w:val="60"/>
                <w:sz w:val="7"/>
                <w:szCs w:val="7"/>
                <w:lang w:val="en-ZW"/>
              </w:rPr>
            </w:pPr>
            <w:r w:rsidRPr="00016629">
              <w:rPr>
                <w:rFonts w:ascii="Arial" w:hAnsi="Arial" w:cs="Arial"/>
                <w:b/>
                <w:w w:val="60"/>
                <w:sz w:val="7"/>
                <w:szCs w:val="7"/>
                <w:lang w:val="en-ZW"/>
              </w:rPr>
              <w:t>.·</w:t>
            </w:r>
          </w:p>
          <w:p w14:paraId="6C9938BA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76" w:right="56"/>
              <w:jc w:val="both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Soil (ppm)</w:t>
            </w:r>
          </w:p>
        </w:tc>
      </w:tr>
      <w:tr w:rsidR="00F628F2" w:rsidRPr="009D1CBD" w14:paraId="474C83F3" w14:textId="77777777" w:rsidTr="0071483B">
        <w:trPr>
          <w:trHeight w:val="43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A107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90" w:right="73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 w:rsidRPr="009D1CBD"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IDW 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Drill cores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DCB5752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47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243 mg/Kg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CE1AD18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-165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 Occupational 220,000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8BA566C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None, inorganic chemical</w:t>
            </w:r>
          </w:p>
          <w:p w14:paraId="5F924BDE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190" w:lineRule="exact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6D4D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right="91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 Occupational: 33,000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DACB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76" w:right="37"/>
              <w:jc w:val="both"/>
              <w:rPr>
                <w:rFonts w:ascii="Times New Roman" w:hAnsi="Times New Roman" w:cs="Times New Roman"/>
                <w:w w:val="110"/>
                <w:sz w:val="19"/>
                <w:szCs w:val="19"/>
                <w:lang w:val="en-ZW"/>
              </w:rPr>
            </w:pPr>
            <w:r w:rsidRPr="009D1CBD"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Not applicable</w:t>
            </w:r>
          </w:p>
        </w:tc>
      </w:tr>
    </w:tbl>
    <w:p w14:paraId="5D6ED1D3" w14:textId="77777777" w:rsidR="00F628F2" w:rsidRDefault="00F628F2" w:rsidP="00F628F2">
      <w:pPr>
        <w:kinsoku w:val="0"/>
        <w:overflowPunct w:val="0"/>
        <w:autoSpaceDE w:val="0"/>
        <w:autoSpaceDN w:val="0"/>
        <w:adjustRightInd w:val="0"/>
        <w:spacing w:after="0" w:line="252" w:lineRule="auto"/>
        <w:ind w:left="450" w:right="596" w:hanging="1"/>
        <w:rPr>
          <w:rFonts w:ascii="Times New Roman" w:hAnsi="Times New Roman" w:cs="Times New Roman"/>
          <w:w w:val="105"/>
          <w:sz w:val="21"/>
          <w:szCs w:val="21"/>
          <w:lang w:val="en-ZW"/>
        </w:rPr>
      </w:pP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23"/>
        <w:gridCol w:w="1887"/>
        <w:gridCol w:w="1890"/>
        <w:gridCol w:w="1601"/>
        <w:gridCol w:w="1438"/>
      </w:tblGrid>
      <w:tr w:rsidR="00F628F2" w:rsidRPr="009D1CBD" w14:paraId="62C0F7D0" w14:textId="77777777" w:rsidTr="0071483B">
        <w:trPr>
          <w:trHeight w:val="72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746F9A" w14:textId="77777777" w:rsidR="00F628F2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90" w:right="81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Media</w:t>
            </w:r>
          </w:p>
          <w:p w14:paraId="30EA72FD" w14:textId="77777777" w:rsidR="00910E3D" w:rsidRPr="00016629" w:rsidRDefault="00910E3D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90" w:right="81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D4A1A1F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right="43"/>
              <w:jc w:val="center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Max.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Chromium</w:t>
            </w:r>
          </w:p>
          <w:p w14:paraId="0ED8D24F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right="64"/>
              <w:jc w:val="center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Concentration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 total</w:t>
            </w:r>
          </w:p>
          <w:p w14:paraId="2F08D945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jc w:val="center"/>
              <w:rPr>
                <w:rFonts w:ascii="Arial" w:hAnsi="Arial" w:cs="Arial"/>
                <w:b/>
                <w:w w:val="62"/>
                <w:sz w:val="2"/>
                <w:szCs w:val="2"/>
                <w:lang w:val="en-ZW"/>
              </w:rPr>
            </w:pPr>
            <w:r w:rsidRPr="00016629">
              <w:rPr>
                <w:rFonts w:ascii="Arial" w:hAnsi="Arial" w:cs="Arial"/>
                <w:b/>
                <w:w w:val="62"/>
                <w:sz w:val="2"/>
                <w:szCs w:val="2"/>
                <w:lang w:val="en-ZW"/>
              </w:rPr>
              <w:t>.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1840B3B" w14:textId="77777777" w:rsidR="00910E3D" w:rsidRDefault="00F628F2" w:rsidP="0071483B">
            <w:pPr>
              <w:numPr>
                <w:ilvl w:val="0"/>
                <w:numId w:val="1"/>
              </w:numPr>
              <w:tabs>
                <w:tab w:val="left" w:pos="275"/>
              </w:tabs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ind w:left="60" w:right="-165" w:hanging="90"/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Chromium</w:t>
            </w:r>
            <w:r w:rsidRPr="00016629"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RBC Soil Direct Contact </w:t>
            </w:r>
          </w:p>
          <w:p w14:paraId="41AF7DC5" w14:textId="77777777" w:rsidR="00F628F2" w:rsidRPr="00016629" w:rsidRDefault="00F628F2" w:rsidP="0071483B">
            <w:pPr>
              <w:numPr>
                <w:ilvl w:val="0"/>
                <w:numId w:val="1"/>
              </w:numPr>
              <w:tabs>
                <w:tab w:val="left" w:pos="275"/>
              </w:tabs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ind w:left="60" w:right="-165" w:hanging="90"/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478D646" w14:textId="77777777" w:rsidR="00F628F2" w:rsidRPr="00744906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ind w:right="233"/>
              <w:rPr>
                <w:rFonts w:ascii="Arial" w:hAnsi="Arial" w:cs="Arial"/>
                <w:b/>
                <w:position w:val="9"/>
                <w:sz w:val="7"/>
                <w:szCs w:val="7"/>
                <w:lang w:val="en-ZW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Chromium</w:t>
            </w:r>
            <w:r w:rsidRPr="00016629"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RBC Soil</w:t>
            </w:r>
            <w:r>
              <w:rPr>
                <w:rFonts w:ascii="Times New Roman" w:hAnsi="Times New Roman" w:cs="Times New Roman"/>
                <w:b/>
                <w:spacing w:val="30"/>
                <w:sz w:val="19"/>
                <w:szCs w:val="19"/>
                <w:lang w:val="en-ZW"/>
              </w:rPr>
              <w:t xml:space="preserve"> </w:t>
            </w:r>
            <w:r w:rsidRPr="00016629"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  <w:t>Leaching to</w:t>
            </w:r>
          </w:p>
          <w:p w14:paraId="2AC0E2FE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12" w:lineRule="exact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 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Groundwater 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0084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Chromium</w:t>
            </w:r>
            <w:r w:rsidRPr="00016629"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  <w:t xml:space="preserve"> RBC</w:t>
            </w:r>
          </w:p>
          <w:p w14:paraId="210DA46B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20" w:lineRule="atLeast"/>
              <w:ind w:right="444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Water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ingestion 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55E5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6" w:right="60"/>
              <w:jc w:val="both"/>
              <w:rPr>
                <w:rFonts w:ascii="Times New Roman" w:hAnsi="Times New Roman" w:cs="Times New Roman"/>
                <w:b/>
                <w:w w:val="11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15"/>
                <w:sz w:val="19"/>
                <w:szCs w:val="19"/>
                <w:lang w:val="en-ZW"/>
              </w:rPr>
              <w:t>20xTCLP</w:t>
            </w:r>
          </w:p>
          <w:p w14:paraId="1B10EE70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17" w:lineRule="exact"/>
              <w:ind w:left="76" w:right="63"/>
              <w:jc w:val="both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Limit·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Chromium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 for</w:t>
            </w:r>
          </w:p>
          <w:p w14:paraId="7397F3A9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45" w:lineRule="exact"/>
              <w:ind w:left="76" w:right="7"/>
              <w:jc w:val="both"/>
              <w:rPr>
                <w:rFonts w:ascii="Arial" w:hAnsi="Arial" w:cs="Arial"/>
                <w:b/>
                <w:w w:val="60"/>
                <w:sz w:val="7"/>
                <w:szCs w:val="7"/>
                <w:lang w:val="en-ZW"/>
              </w:rPr>
            </w:pPr>
            <w:r w:rsidRPr="00016629">
              <w:rPr>
                <w:rFonts w:ascii="Arial" w:hAnsi="Arial" w:cs="Arial"/>
                <w:b/>
                <w:w w:val="60"/>
                <w:sz w:val="7"/>
                <w:szCs w:val="7"/>
                <w:lang w:val="en-ZW"/>
              </w:rPr>
              <w:t>.·</w:t>
            </w:r>
          </w:p>
          <w:p w14:paraId="276B8458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76" w:right="56"/>
              <w:jc w:val="both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Soil (ppm)</w:t>
            </w:r>
          </w:p>
        </w:tc>
      </w:tr>
      <w:tr w:rsidR="00F628F2" w:rsidRPr="009D1CBD" w14:paraId="10CB8E7B" w14:textId="77777777" w:rsidTr="0071483B">
        <w:trPr>
          <w:trHeight w:val="43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CA38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90" w:right="73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 w:rsidRPr="009D1CBD"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IDW 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Drill cores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D2D9026" w14:textId="77777777" w:rsidR="00F628F2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47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125</w:t>
            </w:r>
          </w:p>
          <w:p w14:paraId="67FFD86B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47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D1E802C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-165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 Occupational: 1000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6280920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None, inorganic chemical</w:t>
            </w:r>
          </w:p>
          <w:p w14:paraId="78F2F51A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190" w:lineRule="exact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D69E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right="91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 Occupational: 250,000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31BBB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76" w:right="37"/>
              <w:jc w:val="both"/>
              <w:rPr>
                <w:rFonts w:ascii="Times New Roman" w:hAnsi="Times New Roman" w:cs="Times New Roman"/>
                <w:w w:val="110"/>
                <w:sz w:val="19"/>
                <w:szCs w:val="19"/>
                <w:lang w:val="en-ZW"/>
              </w:rPr>
            </w:pPr>
            <w:r w:rsidRPr="009D1CBD"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Not applicable</w:t>
            </w:r>
          </w:p>
        </w:tc>
      </w:tr>
    </w:tbl>
    <w:p w14:paraId="6C25CB57" w14:textId="77777777" w:rsidR="00F628F2" w:rsidRDefault="00F628F2" w:rsidP="00F628F2">
      <w:pPr>
        <w:kinsoku w:val="0"/>
        <w:overflowPunct w:val="0"/>
        <w:autoSpaceDE w:val="0"/>
        <w:autoSpaceDN w:val="0"/>
        <w:adjustRightInd w:val="0"/>
        <w:spacing w:before="186" w:after="0" w:line="249" w:lineRule="auto"/>
        <w:ind w:right="162"/>
        <w:jc w:val="both"/>
        <w:rPr>
          <w:rFonts w:ascii="Times New Roman" w:hAnsi="Times New Roman" w:cs="Times New Roman"/>
          <w:w w:val="105"/>
          <w:lang w:val="en-ZW"/>
        </w:rPr>
      </w:pP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23"/>
        <w:gridCol w:w="1887"/>
        <w:gridCol w:w="1890"/>
        <w:gridCol w:w="1601"/>
        <w:gridCol w:w="1438"/>
      </w:tblGrid>
      <w:tr w:rsidR="00F628F2" w:rsidRPr="009D1CBD" w14:paraId="07699DC1" w14:textId="77777777" w:rsidTr="0071483B">
        <w:trPr>
          <w:trHeight w:val="72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F6AD77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90" w:right="81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Media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2694E3A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right="43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   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Chromium</w:t>
            </w:r>
          </w:p>
          <w:p w14:paraId="6CEAD00D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right="64"/>
              <w:jc w:val="center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Concentration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 TCLP</w:t>
            </w:r>
          </w:p>
          <w:p w14:paraId="073C64EC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jc w:val="center"/>
              <w:rPr>
                <w:rFonts w:ascii="Arial" w:hAnsi="Arial" w:cs="Arial"/>
                <w:b/>
                <w:w w:val="62"/>
                <w:sz w:val="2"/>
                <w:szCs w:val="2"/>
                <w:lang w:val="en-ZW"/>
              </w:rPr>
            </w:pPr>
            <w:r w:rsidRPr="00016629">
              <w:rPr>
                <w:rFonts w:ascii="Arial" w:hAnsi="Arial" w:cs="Arial"/>
                <w:b/>
                <w:w w:val="62"/>
                <w:sz w:val="2"/>
                <w:szCs w:val="2"/>
                <w:lang w:val="en-ZW"/>
              </w:rPr>
              <w:t>.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2F853AE" w14:textId="77777777" w:rsidR="00910E3D" w:rsidRDefault="00F628F2" w:rsidP="0071483B">
            <w:pPr>
              <w:numPr>
                <w:ilvl w:val="0"/>
                <w:numId w:val="1"/>
              </w:numPr>
              <w:tabs>
                <w:tab w:val="left" w:pos="275"/>
              </w:tabs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ind w:left="60" w:right="-165" w:hanging="90"/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Chromium</w:t>
            </w:r>
            <w:r w:rsidRPr="00016629"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RBC Soil Direct Contact </w:t>
            </w:r>
          </w:p>
          <w:p w14:paraId="7BAEF88C" w14:textId="77777777" w:rsidR="00F628F2" w:rsidRPr="00016629" w:rsidRDefault="00F628F2" w:rsidP="0071483B">
            <w:pPr>
              <w:numPr>
                <w:ilvl w:val="0"/>
                <w:numId w:val="1"/>
              </w:numPr>
              <w:tabs>
                <w:tab w:val="left" w:pos="275"/>
              </w:tabs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ind w:left="60" w:right="-165" w:hanging="90"/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28217DC" w14:textId="77777777" w:rsidR="00F628F2" w:rsidRPr="00744906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ind w:right="233"/>
              <w:rPr>
                <w:rFonts w:ascii="Arial" w:hAnsi="Arial" w:cs="Arial"/>
                <w:b/>
                <w:position w:val="9"/>
                <w:sz w:val="7"/>
                <w:szCs w:val="7"/>
                <w:lang w:val="en-ZW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Chromium</w:t>
            </w:r>
            <w:r w:rsidRPr="00016629"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RBC Soil</w:t>
            </w:r>
            <w:r w:rsidRPr="00016629">
              <w:rPr>
                <w:rFonts w:ascii="Times New Roman" w:hAnsi="Times New Roman" w:cs="Times New Roman"/>
                <w:b/>
                <w:spacing w:val="30"/>
                <w:sz w:val="19"/>
                <w:szCs w:val="19"/>
                <w:lang w:val="en-ZW"/>
              </w:rPr>
              <w:t xml:space="preserve"> </w:t>
            </w:r>
            <w:r w:rsidRPr="00016629"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  <w:t>Leaching to</w:t>
            </w:r>
          </w:p>
          <w:p w14:paraId="53DA1648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12" w:lineRule="exact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 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Groundwater 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AD4F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Chromium</w:t>
            </w:r>
            <w:r w:rsidRPr="00016629"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  <w:t xml:space="preserve"> RBC</w:t>
            </w:r>
          </w:p>
          <w:p w14:paraId="3926A8C9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20" w:lineRule="atLeast"/>
              <w:ind w:right="444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Water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ingestion 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EEE1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6" w:right="60"/>
              <w:jc w:val="both"/>
              <w:rPr>
                <w:rFonts w:ascii="Times New Roman" w:hAnsi="Times New Roman" w:cs="Times New Roman"/>
                <w:b/>
                <w:w w:val="11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15"/>
                <w:sz w:val="19"/>
                <w:szCs w:val="19"/>
                <w:lang w:val="en-ZW"/>
              </w:rPr>
              <w:t>20xTCLP</w:t>
            </w:r>
          </w:p>
          <w:p w14:paraId="1949E8A2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17" w:lineRule="exact"/>
              <w:ind w:left="76" w:right="63"/>
              <w:jc w:val="both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Limit·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Chromium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 for</w:t>
            </w:r>
          </w:p>
          <w:p w14:paraId="436E5FD9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45" w:lineRule="exact"/>
              <w:ind w:left="76" w:right="7"/>
              <w:jc w:val="both"/>
              <w:rPr>
                <w:rFonts w:ascii="Arial" w:hAnsi="Arial" w:cs="Arial"/>
                <w:b/>
                <w:w w:val="60"/>
                <w:sz w:val="7"/>
                <w:szCs w:val="7"/>
                <w:lang w:val="en-ZW"/>
              </w:rPr>
            </w:pPr>
            <w:r w:rsidRPr="00016629">
              <w:rPr>
                <w:rFonts w:ascii="Arial" w:hAnsi="Arial" w:cs="Arial"/>
                <w:b/>
                <w:w w:val="60"/>
                <w:sz w:val="7"/>
                <w:szCs w:val="7"/>
                <w:lang w:val="en-ZW"/>
              </w:rPr>
              <w:t>.·</w:t>
            </w:r>
          </w:p>
          <w:p w14:paraId="7C5FEF3B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76" w:right="56"/>
              <w:jc w:val="both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Soil (ppm)</w:t>
            </w:r>
          </w:p>
        </w:tc>
      </w:tr>
      <w:tr w:rsidR="00F628F2" w:rsidRPr="009D1CBD" w14:paraId="5925E7F1" w14:textId="77777777" w:rsidTr="00F628F2">
        <w:trPr>
          <w:trHeight w:val="82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9734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90" w:right="73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 w:rsidRPr="009D1CBD"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IDW 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Drill cores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2169889" w14:textId="77777777" w:rsidR="00F628F2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47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ND &lt; 0.100 </w:t>
            </w:r>
          </w:p>
          <w:p w14:paraId="07E66FF4" w14:textId="77777777" w:rsidR="00F628F2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47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(RDL)</w:t>
            </w:r>
          </w:p>
          <w:p w14:paraId="2E618F40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47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FC15926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-165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 Occupational: 1000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785EAE8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None, inorganic chemical</w:t>
            </w:r>
          </w:p>
          <w:p w14:paraId="1791B9E6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</w:p>
          <w:p w14:paraId="4C956A72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190" w:lineRule="exact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729B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right="91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 Occupational: 250,000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59F4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76" w:right="37"/>
              <w:jc w:val="both"/>
              <w:rPr>
                <w:rFonts w:ascii="Times New Roman" w:hAnsi="Times New Roman" w:cs="Times New Roman"/>
                <w:w w:val="110"/>
                <w:sz w:val="19"/>
                <w:szCs w:val="19"/>
                <w:lang w:val="en-ZW"/>
              </w:rPr>
            </w:pPr>
            <w:r w:rsidRPr="009D1CBD"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Not applicable</w:t>
            </w:r>
          </w:p>
        </w:tc>
      </w:tr>
    </w:tbl>
    <w:p w14:paraId="1E3FDD99" w14:textId="77777777" w:rsidR="00F628F2" w:rsidRDefault="00F628F2" w:rsidP="00F628F2">
      <w:pPr>
        <w:kinsoku w:val="0"/>
        <w:overflowPunct w:val="0"/>
        <w:autoSpaceDE w:val="0"/>
        <w:autoSpaceDN w:val="0"/>
        <w:adjustRightInd w:val="0"/>
        <w:spacing w:before="186" w:after="0" w:line="249" w:lineRule="auto"/>
        <w:ind w:right="162"/>
        <w:jc w:val="both"/>
        <w:rPr>
          <w:rFonts w:ascii="Times New Roman" w:hAnsi="Times New Roman" w:cs="Times New Roman"/>
          <w:w w:val="105"/>
          <w:lang w:val="en-ZW"/>
        </w:rPr>
      </w:pPr>
    </w:p>
    <w:tbl>
      <w:tblPr>
        <w:tblW w:w="9339" w:type="dxa"/>
        <w:tblInd w:w="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23"/>
        <w:gridCol w:w="1887"/>
        <w:gridCol w:w="1890"/>
        <w:gridCol w:w="1601"/>
        <w:gridCol w:w="1438"/>
      </w:tblGrid>
      <w:tr w:rsidR="00F628F2" w:rsidRPr="009D1CBD" w14:paraId="05A76A45" w14:textId="77777777" w:rsidTr="00F628F2">
        <w:trPr>
          <w:trHeight w:val="72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24F048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90" w:right="81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Media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B22A864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right="43"/>
              <w:jc w:val="center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Max.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Mercury</w:t>
            </w:r>
          </w:p>
          <w:p w14:paraId="4BA2BA93" w14:textId="77777777" w:rsidR="00F628F2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right="64"/>
              <w:jc w:val="center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Concentration</w:t>
            </w:r>
          </w:p>
          <w:p w14:paraId="3CDC86B9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right="64"/>
              <w:jc w:val="center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</w:p>
          <w:p w14:paraId="73294191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jc w:val="center"/>
              <w:rPr>
                <w:rFonts w:ascii="Arial" w:hAnsi="Arial" w:cs="Arial"/>
                <w:b/>
                <w:w w:val="62"/>
                <w:sz w:val="2"/>
                <w:szCs w:val="2"/>
                <w:lang w:val="en-ZW"/>
              </w:rPr>
            </w:pPr>
            <w:r w:rsidRPr="00016629">
              <w:rPr>
                <w:rFonts w:ascii="Arial" w:hAnsi="Arial" w:cs="Arial"/>
                <w:b/>
                <w:w w:val="62"/>
                <w:sz w:val="2"/>
                <w:szCs w:val="2"/>
                <w:lang w:val="en-ZW"/>
              </w:rPr>
              <w:t>.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0C55A21" w14:textId="77777777" w:rsidR="00F628F2" w:rsidRDefault="00F628F2" w:rsidP="0071483B">
            <w:pPr>
              <w:numPr>
                <w:ilvl w:val="0"/>
                <w:numId w:val="1"/>
              </w:numPr>
              <w:tabs>
                <w:tab w:val="left" w:pos="275"/>
              </w:tabs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ind w:left="60" w:right="-165" w:hanging="90"/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Mercury</w:t>
            </w:r>
            <w:r w:rsidRPr="00016629"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RBC Soil Direct Contact </w:t>
            </w:r>
          </w:p>
          <w:p w14:paraId="7E1F609A" w14:textId="77777777" w:rsidR="00F628F2" w:rsidRPr="00016629" w:rsidRDefault="00F628F2" w:rsidP="0071483B">
            <w:pPr>
              <w:numPr>
                <w:ilvl w:val="0"/>
                <w:numId w:val="1"/>
              </w:numPr>
              <w:tabs>
                <w:tab w:val="left" w:pos="275"/>
              </w:tabs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ind w:left="60" w:right="-165" w:hanging="90"/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4C9F221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ind w:right="233"/>
              <w:rPr>
                <w:rFonts w:ascii="Arial" w:hAnsi="Arial" w:cs="Arial"/>
                <w:b/>
                <w:position w:val="9"/>
                <w:sz w:val="7"/>
                <w:szCs w:val="7"/>
                <w:lang w:val="en-ZW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Mercury</w:t>
            </w:r>
            <w:r w:rsidRPr="00016629">
              <w:rPr>
                <w:rFonts w:ascii="Times New Roman" w:hAnsi="Times New Roman" w:cs="Times New Roman"/>
                <w:b/>
                <w:sz w:val="19"/>
                <w:szCs w:val="19"/>
                <w:lang w:val="en-ZW"/>
              </w:rPr>
              <w:t xml:space="preserve"> RBC </w:t>
            </w:r>
          </w:p>
          <w:p w14:paraId="225A8AF8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right="118"/>
              <w:rPr>
                <w:rFonts w:ascii="Arial" w:hAnsi="Arial" w:cs="Arial"/>
                <w:b/>
                <w:w w:val="110"/>
                <w:position w:val="6"/>
                <w:sz w:val="9"/>
                <w:szCs w:val="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  <w:t xml:space="preserve"> </w:t>
            </w:r>
            <w:r w:rsidRPr="00016629"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  <w:t>Leaching to</w:t>
            </w:r>
          </w:p>
          <w:p w14:paraId="069221AA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12" w:lineRule="exact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 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Groundwater 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3ADE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Mercury</w:t>
            </w:r>
            <w:r w:rsidRPr="00016629">
              <w:rPr>
                <w:rFonts w:ascii="Times New Roman" w:hAnsi="Times New Roman" w:cs="Times New Roman"/>
                <w:b/>
                <w:w w:val="110"/>
                <w:sz w:val="19"/>
                <w:szCs w:val="19"/>
                <w:lang w:val="en-ZW"/>
              </w:rPr>
              <w:t xml:space="preserve"> RBC</w:t>
            </w:r>
          </w:p>
          <w:p w14:paraId="4F3934C2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20" w:lineRule="atLeast"/>
              <w:ind w:right="444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Water </w:t>
            </w: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ingestion 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(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mg/Kg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)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D5B5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6" w:right="60"/>
              <w:jc w:val="both"/>
              <w:rPr>
                <w:rFonts w:ascii="Times New Roman" w:hAnsi="Times New Roman" w:cs="Times New Roman"/>
                <w:b/>
                <w:w w:val="11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15"/>
                <w:sz w:val="19"/>
                <w:szCs w:val="19"/>
                <w:lang w:val="en-ZW"/>
              </w:rPr>
              <w:t>20xTCLP</w:t>
            </w:r>
          </w:p>
          <w:p w14:paraId="6E787BC9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17" w:lineRule="exact"/>
              <w:ind w:left="76" w:right="63"/>
              <w:jc w:val="both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Limit Mercury</w:t>
            </w: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 xml:space="preserve"> for</w:t>
            </w:r>
          </w:p>
          <w:p w14:paraId="1F31B19A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45" w:lineRule="exact"/>
              <w:ind w:left="76" w:right="7"/>
              <w:jc w:val="both"/>
              <w:rPr>
                <w:rFonts w:ascii="Arial" w:hAnsi="Arial" w:cs="Arial"/>
                <w:b/>
                <w:w w:val="60"/>
                <w:sz w:val="7"/>
                <w:szCs w:val="7"/>
                <w:lang w:val="en-ZW"/>
              </w:rPr>
            </w:pPr>
            <w:r w:rsidRPr="00016629">
              <w:rPr>
                <w:rFonts w:ascii="Arial" w:hAnsi="Arial" w:cs="Arial"/>
                <w:b/>
                <w:w w:val="60"/>
                <w:sz w:val="7"/>
                <w:szCs w:val="7"/>
                <w:lang w:val="en-ZW"/>
              </w:rPr>
              <w:t>.·</w:t>
            </w:r>
          </w:p>
          <w:p w14:paraId="507723DB" w14:textId="77777777" w:rsidR="00F628F2" w:rsidRPr="00016629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76" w:right="56"/>
              <w:jc w:val="both"/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</w:pPr>
            <w:r w:rsidRPr="00016629">
              <w:rPr>
                <w:rFonts w:ascii="Times New Roman" w:hAnsi="Times New Roman" w:cs="Times New Roman"/>
                <w:b/>
                <w:w w:val="105"/>
                <w:sz w:val="19"/>
                <w:szCs w:val="19"/>
                <w:lang w:val="en-ZW"/>
              </w:rPr>
              <w:t>Soil (ppm)</w:t>
            </w:r>
          </w:p>
        </w:tc>
      </w:tr>
      <w:tr w:rsidR="00F628F2" w:rsidRPr="009D1CBD" w14:paraId="3B14A4D5" w14:textId="77777777" w:rsidTr="00F628F2">
        <w:trPr>
          <w:trHeight w:val="43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8727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90" w:right="73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 w:rsidRPr="009D1CBD"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IDW </w:t>
            </w: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Drill cores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CE18B7A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47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0.0358 mg/Kg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3B0BCE2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right="-165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 Occupational 2300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E4B1AB8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9" w:lineRule="exact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None, inorganic chemical</w:t>
            </w:r>
          </w:p>
          <w:p w14:paraId="024CDEFD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190" w:lineRule="exact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330BA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right="91"/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 xml:space="preserve"> Occupational: 49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3ED8" w14:textId="77777777" w:rsidR="00F628F2" w:rsidRPr="009D1CBD" w:rsidRDefault="00F628F2" w:rsidP="0071483B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76" w:right="37"/>
              <w:jc w:val="both"/>
              <w:rPr>
                <w:rFonts w:ascii="Times New Roman" w:hAnsi="Times New Roman" w:cs="Times New Roman"/>
                <w:w w:val="110"/>
                <w:sz w:val="19"/>
                <w:szCs w:val="19"/>
                <w:lang w:val="en-ZW"/>
              </w:rPr>
            </w:pPr>
            <w:r w:rsidRPr="009D1CBD">
              <w:rPr>
                <w:rFonts w:ascii="Times New Roman" w:hAnsi="Times New Roman" w:cs="Times New Roman"/>
                <w:w w:val="105"/>
                <w:sz w:val="19"/>
                <w:szCs w:val="19"/>
                <w:lang w:val="en-ZW"/>
              </w:rPr>
              <w:t>Not applicable</w:t>
            </w:r>
          </w:p>
        </w:tc>
      </w:tr>
    </w:tbl>
    <w:p w14:paraId="22045A58" w14:textId="77777777" w:rsidR="00F628F2" w:rsidRPr="00F628F2" w:rsidRDefault="00F628F2" w:rsidP="00F628F2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17"/>
        <w:contextualSpacing/>
        <w:rPr>
          <w:rFonts w:ascii="Times New Roman" w:hAnsi="Times New Roman" w:cs="Times New Roman"/>
          <w:sz w:val="24"/>
          <w:szCs w:val="24"/>
          <w:lang w:val="en-ZW"/>
        </w:rPr>
      </w:pPr>
      <w:r w:rsidRPr="00F628F2">
        <w:rPr>
          <w:rFonts w:ascii="Times New Roman" w:hAnsi="Times New Roman" w:cs="Times New Roman"/>
          <w:sz w:val="24"/>
          <w:szCs w:val="24"/>
          <w:lang w:val="en-ZW"/>
        </w:rPr>
        <w:t>ND indicates that concentration is less than indicated Reported Detection Limit (RDL).</w:t>
      </w:r>
    </w:p>
    <w:p w14:paraId="1C0AA914" w14:textId="77777777" w:rsidR="00F628F2" w:rsidRDefault="00F628F2" w:rsidP="003040B6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17"/>
        <w:contextualSpacing/>
        <w:rPr>
          <w:rFonts w:ascii="Times New Roman" w:hAnsi="Times New Roman" w:cs="Times New Roman"/>
          <w:sz w:val="24"/>
          <w:szCs w:val="24"/>
          <w:lang w:val="en-ZW"/>
        </w:rPr>
      </w:pPr>
      <w:r w:rsidRPr="00F628F2">
        <w:rPr>
          <w:rFonts w:ascii="Times New Roman" w:hAnsi="Times New Roman" w:cs="Times New Roman"/>
          <w:sz w:val="24"/>
          <w:szCs w:val="24"/>
          <w:lang w:val="en-ZW"/>
        </w:rPr>
        <w:t>RBC = DEQ Risk-Based Concentrations for Individual Chemicals. May 2018 revision</w:t>
      </w:r>
    </w:p>
    <w:p w14:paraId="60052633" w14:textId="77777777" w:rsidR="003040B6" w:rsidRPr="003040B6" w:rsidRDefault="003040B6" w:rsidP="003040B6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1170" w:right="117"/>
        <w:contextualSpacing/>
        <w:rPr>
          <w:rFonts w:ascii="Times New Roman" w:hAnsi="Times New Roman" w:cs="Times New Roman"/>
          <w:sz w:val="24"/>
          <w:szCs w:val="24"/>
          <w:lang w:val="en-ZW"/>
        </w:rPr>
      </w:pPr>
    </w:p>
    <w:p w14:paraId="40976CBC" w14:textId="77777777" w:rsidR="00F628F2" w:rsidRPr="00F628F2" w:rsidRDefault="00F628F2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  <w:r w:rsidRPr="00F628F2">
        <w:rPr>
          <w:rFonts w:ascii="Times New Roman" w:hAnsi="Times New Roman" w:cs="Times New Roman"/>
          <w:b/>
          <w:sz w:val="24"/>
          <w:szCs w:val="24"/>
          <w:lang w:val="en-ZW"/>
        </w:rPr>
        <w:t>Reference</w:t>
      </w:r>
      <w:r w:rsidRPr="00F628F2">
        <w:rPr>
          <w:rFonts w:ascii="Times New Roman" w:hAnsi="Times New Roman" w:cs="Times New Roman"/>
          <w:sz w:val="24"/>
          <w:szCs w:val="24"/>
          <w:lang w:val="en-ZW"/>
        </w:rPr>
        <w:t xml:space="preserve">: August 8, 2019. Geosyntec Consultants. </w:t>
      </w:r>
      <w:bookmarkStart w:id="0" w:name="site_history_and_background"/>
      <w:bookmarkStart w:id="1" w:name="Cascade_TSA_Contained_In_Request"/>
      <w:bookmarkEnd w:id="0"/>
      <w:bookmarkEnd w:id="1"/>
      <w:r w:rsidRPr="00F628F2">
        <w:rPr>
          <w:rFonts w:ascii="Times New Roman" w:hAnsi="Times New Roman" w:cs="Times New Roman"/>
          <w:sz w:val="24"/>
          <w:szCs w:val="24"/>
          <w:lang w:val="en-ZW"/>
        </w:rPr>
        <w:t>TSA SVE Well Drilling Soil IDW, No-Longer Contains Determination Request East Multnomah County Troutdale Sandstone Aquifer Remedy (ECSI No. 1479) Fairview, Oregon</w:t>
      </w:r>
    </w:p>
    <w:p w14:paraId="0C334BF4" w14:textId="77777777" w:rsidR="00F628F2" w:rsidRPr="00F628F2" w:rsidRDefault="00F628F2" w:rsidP="00F628F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50" w:right="117"/>
        <w:rPr>
          <w:rFonts w:ascii="Times New Roman" w:hAnsi="Times New Roman" w:cs="Times New Roman"/>
          <w:sz w:val="24"/>
          <w:szCs w:val="24"/>
          <w:lang w:val="en-ZW"/>
        </w:rPr>
      </w:pPr>
    </w:p>
    <w:p w14:paraId="26F59972" w14:textId="77777777" w:rsidR="000F7EA5" w:rsidRDefault="000F7EA5"/>
    <w:sectPr w:rsidR="000F7E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1C5C" w14:textId="77777777" w:rsidR="000A7AE9" w:rsidRDefault="000A7AE9" w:rsidP="00BD2E7A">
      <w:pPr>
        <w:spacing w:after="0" w:line="240" w:lineRule="auto"/>
      </w:pPr>
      <w:r>
        <w:separator/>
      </w:r>
    </w:p>
  </w:endnote>
  <w:endnote w:type="continuationSeparator" w:id="0">
    <w:p w14:paraId="6F4BB5CF" w14:textId="77777777" w:rsidR="000A7AE9" w:rsidRDefault="000A7AE9" w:rsidP="00BD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0D56" w14:textId="77777777" w:rsidR="000D6AE6" w:rsidRDefault="000D6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71EC" w14:textId="77777777" w:rsidR="000D6AE6" w:rsidRDefault="000D6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2CE8" w14:textId="77777777" w:rsidR="000D6AE6" w:rsidRDefault="000D6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979C" w14:textId="77777777" w:rsidR="000A7AE9" w:rsidRDefault="000A7AE9" w:rsidP="00BD2E7A">
      <w:pPr>
        <w:spacing w:after="0" w:line="240" w:lineRule="auto"/>
      </w:pPr>
      <w:r>
        <w:separator/>
      </w:r>
    </w:p>
  </w:footnote>
  <w:footnote w:type="continuationSeparator" w:id="0">
    <w:p w14:paraId="3E6401A4" w14:textId="77777777" w:rsidR="000A7AE9" w:rsidRDefault="000A7AE9" w:rsidP="00BD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A327" w14:textId="77777777" w:rsidR="000D6AE6" w:rsidRDefault="000D6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0BFE" w14:textId="77777777" w:rsidR="00BD2E7A" w:rsidRDefault="00BD2E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0B87" w14:textId="77777777" w:rsidR="000D6AE6" w:rsidRDefault="000D6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·"/>
      <w:lvlJc w:val="left"/>
      <w:pPr>
        <w:ind w:left="281" w:hanging="63"/>
      </w:pPr>
      <w:rPr>
        <w:rFonts w:ascii="Times New Roman" w:hAnsi="Times New Roman" w:cs="Times New Roman"/>
        <w:b w:val="0"/>
        <w:bCs w:val="0"/>
        <w:w w:val="53"/>
        <w:sz w:val="19"/>
        <w:szCs w:val="19"/>
      </w:rPr>
    </w:lvl>
    <w:lvl w:ilvl="1">
      <w:numFmt w:val="bullet"/>
      <w:lvlText w:val="•"/>
      <w:lvlJc w:val="left"/>
      <w:pPr>
        <w:ind w:left="420" w:hanging="63"/>
      </w:pPr>
    </w:lvl>
    <w:lvl w:ilvl="2">
      <w:numFmt w:val="bullet"/>
      <w:lvlText w:val="•"/>
      <w:lvlJc w:val="left"/>
      <w:pPr>
        <w:ind w:left="560" w:hanging="63"/>
      </w:pPr>
    </w:lvl>
    <w:lvl w:ilvl="3">
      <w:numFmt w:val="bullet"/>
      <w:lvlText w:val="•"/>
      <w:lvlJc w:val="left"/>
      <w:pPr>
        <w:ind w:left="700" w:hanging="63"/>
      </w:pPr>
    </w:lvl>
    <w:lvl w:ilvl="4">
      <w:numFmt w:val="bullet"/>
      <w:lvlText w:val="•"/>
      <w:lvlJc w:val="left"/>
      <w:pPr>
        <w:ind w:left="840" w:hanging="63"/>
      </w:pPr>
    </w:lvl>
    <w:lvl w:ilvl="5">
      <w:numFmt w:val="bullet"/>
      <w:lvlText w:val="•"/>
      <w:lvlJc w:val="left"/>
      <w:pPr>
        <w:ind w:left="981" w:hanging="63"/>
      </w:pPr>
    </w:lvl>
    <w:lvl w:ilvl="6">
      <w:numFmt w:val="bullet"/>
      <w:lvlText w:val="•"/>
      <w:lvlJc w:val="left"/>
      <w:pPr>
        <w:ind w:left="1121" w:hanging="63"/>
      </w:pPr>
    </w:lvl>
    <w:lvl w:ilvl="7">
      <w:numFmt w:val="bullet"/>
      <w:lvlText w:val="•"/>
      <w:lvlJc w:val="left"/>
      <w:pPr>
        <w:ind w:left="1261" w:hanging="63"/>
      </w:pPr>
    </w:lvl>
    <w:lvl w:ilvl="8">
      <w:numFmt w:val="bullet"/>
      <w:lvlText w:val="•"/>
      <w:lvlJc w:val="left"/>
      <w:pPr>
        <w:ind w:left="1401" w:hanging="63"/>
      </w:pPr>
    </w:lvl>
  </w:abstractNum>
  <w:abstractNum w:abstractNumId="1" w15:restartNumberingAfterBreak="0">
    <w:nsid w:val="20A51202"/>
    <w:multiLevelType w:val="hybridMultilevel"/>
    <w:tmpl w:val="0A12B512"/>
    <w:lvl w:ilvl="0" w:tplc="3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942539723">
    <w:abstractNumId w:val="0"/>
  </w:num>
  <w:num w:numId="2" w16cid:durableId="165610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63"/>
    <w:rsid w:val="000A7AE9"/>
    <w:rsid w:val="000D6AE6"/>
    <w:rsid w:val="000F7EA5"/>
    <w:rsid w:val="003040B6"/>
    <w:rsid w:val="003E7F63"/>
    <w:rsid w:val="007A45EE"/>
    <w:rsid w:val="00910E3D"/>
    <w:rsid w:val="00A6779F"/>
    <w:rsid w:val="00BD2E7A"/>
    <w:rsid w:val="00E7223C"/>
    <w:rsid w:val="00F6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49458B"/>
  <w15:chartTrackingRefBased/>
  <w15:docId w15:val="{817F6DE3-C238-4109-B626-BD5A2888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E7A"/>
  </w:style>
  <w:style w:type="paragraph" w:styleId="Footer">
    <w:name w:val="footer"/>
    <w:basedOn w:val="Normal"/>
    <w:link w:val="FooterChar"/>
    <w:uiPriority w:val="99"/>
    <w:unhideWhenUsed/>
    <w:rsid w:val="00BD2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E7A"/>
  </w:style>
  <w:style w:type="paragraph" w:styleId="BalloonText">
    <w:name w:val="Balloon Text"/>
    <w:basedOn w:val="Normal"/>
    <w:link w:val="BalloonTextChar"/>
    <w:uiPriority w:val="99"/>
    <w:semiHidden/>
    <w:unhideWhenUsed/>
    <w:rsid w:val="0091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2DBD-53BA-423B-9DBC-9856A1BA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THIESSEN Kenneth</dc:creator>
  <cp:keywords/>
  <dc:description/>
  <cp:lastModifiedBy>THIESSEN Kenneth * DEQ</cp:lastModifiedBy>
  <cp:revision>7</cp:revision>
  <cp:lastPrinted>2019-09-04T22:11:00Z</cp:lastPrinted>
  <dcterms:created xsi:type="dcterms:W3CDTF">2019-08-27T21:52:00Z</dcterms:created>
  <dcterms:modified xsi:type="dcterms:W3CDTF">2023-10-27T16:07:00Z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2023-10-27T16:07:03Z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3be13323-ce41-473c-961c-49d76aaa9fb3</vt:lpwstr>
  </property>
  <property fmtid="{D5CDD505-2E9C-101B-9397-08002B2CF9AE}" pid="8" name="MSIP_Label_09b73270-2993-4076-be47-9c78f42a1e84_ContentBits">
    <vt:lpwstr>0</vt:lpwstr>
  </property>
</Properties>
</file>