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autoSpaceDE w:val="0"/>
        <w:autoSpaceDN w:val="0"/>
        <w:adjustRightInd w:val="0"/>
        <w:spacing w:after="0" w:line="240" w:lineRule="auto"/>
        <w:rPr>
          <w:rFonts w:ascii="Times-Bold-TT" w:hAnsi="Times-Bold-TT" w:cs="Times-Bold-TT"/>
          <w:b/>
          <w:bCs/>
          <w:sz w:val="18"/>
          <w:szCs w:val="18"/>
        </w:rPr>
      </w:pPr>
      <w:r>
        <w:rPr>
          <w:rFonts w:ascii="Times-Bold-TT" w:hAnsi="Times-Bold-TT" w:cs="Times-Bold-TT"/>
          <w:b/>
          <w:bCs/>
          <w:sz w:val="18"/>
          <w:szCs w:val="18"/>
        </w:rPr>
        <w:t>REQUEST FOR COMMENTS</w:t>
      </w:r>
    </w:p>
    <w:p>
      <w:pPr>
        <w:autoSpaceDE w:val="0"/>
        <w:autoSpaceDN w:val="0"/>
        <w:adjustRightInd w:val="0"/>
        <w:spacing w:after="0" w:line="240" w:lineRule="auto"/>
        <w:rPr>
          <w:rFonts w:ascii="Times-Bold-TT" w:hAnsi="Times-Bold-TT" w:cs="Times-Bold-TT"/>
          <w:b/>
          <w:bCs/>
          <w:sz w:val="18"/>
          <w:szCs w:val="18"/>
        </w:rPr>
      </w:pPr>
      <w:r>
        <w:rPr>
          <w:rFonts w:ascii="Times-Bold-TT" w:hAnsi="Times-Bold-TT" w:cs="Times-Bold-TT"/>
          <w:b/>
          <w:bCs/>
          <w:sz w:val="18"/>
          <w:szCs w:val="18"/>
        </w:rPr>
        <w:t>PROPOSED REMEDIAL ACTION AT</w:t>
      </w:r>
    </w:p>
    <w:p>
      <w:pPr>
        <w:autoSpaceDE w:val="0"/>
        <w:autoSpaceDN w:val="0"/>
        <w:adjustRightInd w:val="0"/>
        <w:spacing w:after="0" w:line="240" w:lineRule="auto"/>
        <w:rPr>
          <w:rFonts w:ascii="Times-Bold-TT" w:hAnsi="Times-Bold-TT" w:cs="Times-Bold-TT"/>
          <w:b/>
          <w:bCs/>
          <w:sz w:val="18"/>
          <w:szCs w:val="18"/>
        </w:rPr>
      </w:pPr>
      <w:r>
        <w:rPr>
          <w:rFonts w:ascii="Times-Bold-TT" w:hAnsi="Times-Bold-TT" w:cs="Times-Bold-TT"/>
          <w:b/>
          <w:bCs/>
          <w:sz w:val="18"/>
          <w:szCs w:val="18"/>
        </w:rPr>
        <w:t>NW PIPE COMPANY SITE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Bold-TT" w:hAnsi="Times-Bold-TT" w:cs="Times-Bold-TT"/>
          <w:b/>
          <w:bCs/>
          <w:sz w:val="18"/>
          <w:szCs w:val="18"/>
        </w:rPr>
        <w:t xml:space="preserve">COMMENTS DUE: </w:t>
      </w:r>
      <w:r>
        <w:rPr>
          <w:rFonts w:ascii="Times-Roman-TT" w:eastAsia="Times-Roman-TT" w:hAnsi="Times-Bold-TT" w:cs="Times-Roman-TT"/>
          <w:sz w:val="18"/>
          <w:szCs w:val="18"/>
        </w:rPr>
        <w:t>June 30, 2010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Bold-TT" w:hAnsi="Times-Bold-TT" w:cs="Times-Bold-TT"/>
          <w:b/>
          <w:bCs/>
          <w:sz w:val="18"/>
          <w:szCs w:val="18"/>
        </w:rPr>
        <w:t xml:space="preserve">PROJECT LOCATION: </w:t>
      </w:r>
      <w:r>
        <w:rPr>
          <w:rFonts w:ascii="Times-Roman-TT" w:eastAsia="Times-Roman-TT" w:hAnsi="Times-Bold-TT" w:cs="Times-Roman-TT"/>
          <w:sz w:val="18"/>
          <w:szCs w:val="18"/>
        </w:rPr>
        <w:t>The NW Pipe Company site (Site) is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located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in the northern part of Portland, Oregon at 12005 North Burgard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Road</w:t>
      </w: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 xml:space="preserve">. 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>The property has been used by Northwest Pipe Company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for heavy industrial activities since 1982</w:t>
      </w: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 xml:space="preserve">. 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>The site was first developed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during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the 1940s as a portion of the Oregon Shipbuilding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Corporation</w:t>
      </w:r>
      <w:r>
        <w:rPr>
          <w:rFonts w:ascii="Times-Roman-TT" w:eastAsia="Times-Roman-TT" w:hAnsi="Times-Bold-TT" w:cs="Times-Roman-TT" w:hint="eastAsia"/>
          <w:sz w:val="18"/>
          <w:szCs w:val="18"/>
        </w:rPr>
        <w:t>’</w:t>
      </w:r>
      <w:r>
        <w:rPr>
          <w:rFonts w:ascii="Times-Roman-TT" w:eastAsia="Times-Roman-TT" w:hAnsi="Times-Bold-TT" w:cs="Times-Roman-TT"/>
          <w:sz w:val="18"/>
          <w:szCs w:val="18"/>
        </w:rPr>
        <w:t>s operations and has since been under industrial use</w:t>
      </w: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 xml:space="preserve">. 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>The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Site is identified as number #138 in DEQ</w:t>
      </w:r>
      <w:r>
        <w:rPr>
          <w:rFonts w:ascii="Times-Roman-TT" w:eastAsia="Times-Roman-TT" w:hAnsi="Times-Bold-TT" w:cs="Times-Roman-TT" w:hint="eastAsia"/>
          <w:sz w:val="18"/>
          <w:szCs w:val="18"/>
        </w:rPr>
        <w:t>’</w:t>
      </w:r>
      <w:r>
        <w:rPr>
          <w:rFonts w:ascii="Times-Roman-TT" w:eastAsia="Times-Roman-TT" w:hAnsi="Times-Bold-TT" w:cs="Times-Roman-TT"/>
          <w:sz w:val="18"/>
          <w:szCs w:val="18"/>
        </w:rPr>
        <w:t>s Environmental Cleanup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and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Site Information (ECSI) database and is included in the Portland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Harbor Superfund site evaluation process.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Bold-TT" w:hAnsi="Times-Bold-TT" w:cs="Times-Bold-TT"/>
          <w:b/>
          <w:bCs/>
          <w:sz w:val="18"/>
          <w:szCs w:val="18"/>
        </w:rPr>
        <w:t xml:space="preserve">PROPOSAL: </w:t>
      </w:r>
      <w:r>
        <w:rPr>
          <w:rFonts w:ascii="Times-Roman-TT" w:eastAsia="Times-Roman-TT" w:hAnsi="Times-Bold-TT" w:cs="Times-Roman-TT"/>
          <w:sz w:val="18"/>
          <w:szCs w:val="18"/>
        </w:rPr>
        <w:t>As required by ORS 465.320 and ORS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465.325(10</w:t>
      </w: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)(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>b), the Department of Environmental Quality (DEQ)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invites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public comments on a proposed remedial action at the Site.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Bold-TT" w:hAnsi="Times-Bold-TT" w:cs="Times-Bold-TT"/>
          <w:b/>
          <w:bCs/>
          <w:sz w:val="18"/>
          <w:szCs w:val="18"/>
        </w:rPr>
        <w:t xml:space="preserve">HIGHLIGHTS: </w:t>
      </w:r>
      <w:r>
        <w:rPr>
          <w:rFonts w:ascii="Times-Roman-TT" w:eastAsia="Times-Roman-TT" w:hAnsi="Times-Bold-TT" w:cs="Times-Roman-TT"/>
          <w:sz w:val="18"/>
          <w:szCs w:val="18"/>
        </w:rPr>
        <w:t>Northwest Pipe Company is a 26-acre property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located in an area of industrial development in north Portland</w:t>
      </w: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 xml:space="preserve">. 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>Due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to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past operational activity, contaminants including </w:t>
      </w:r>
      <w:proofErr w:type="spellStart"/>
      <w:r>
        <w:rPr>
          <w:rFonts w:ascii="Times-Roman-TT" w:eastAsia="Times-Roman-TT" w:hAnsi="Times-Bold-TT" w:cs="Times-Roman-TT"/>
          <w:sz w:val="18"/>
          <w:szCs w:val="18"/>
        </w:rPr>
        <w:t>PolynuclearAromatic</w:t>
      </w:r>
      <w:proofErr w:type="spellEnd"/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Hydrocarbons (PAHs) and Polychlorinated biphenyls (PCBs)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have been released to site soil</w:t>
      </w: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 xml:space="preserve">. 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>Northwest Pipe has collected numerous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soil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samples to address Oregon Department of Environmental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Quality (DEQ) requirements for site characterization and support soil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removal activities</w:t>
      </w: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 xml:space="preserve">. 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>The results of this work show that surficial soils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contain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detectable concentrations of PAHs and PCBs above Risk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 xml:space="preserve">Based Concentrations (RBCs) for occupational </w:t>
      </w:r>
      <w:proofErr w:type="spellStart"/>
      <w:r>
        <w:rPr>
          <w:rFonts w:ascii="Times-Roman-TT" w:eastAsia="Times-Roman-TT" w:hAnsi="Times-Bold-TT" w:cs="Times-Roman-TT"/>
          <w:sz w:val="18"/>
          <w:szCs w:val="18"/>
        </w:rPr>
        <w:t>exposure.A</w:t>
      </w:r>
      <w:proofErr w:type="spellEnd"/>
      <w:r>
        <w:rPr>
          <w:rFonts w:ascii="Times-Roman-TT" w:eastAsia="Times-Roman-TT" w:hAnsi="Times-Bold-TT" w:cs="Times-Roman-TT"/>
          <w:sz w:val="18"/>
          <w:szCs w:val="18"/>
        </w:rPr>
        <w:t xml:space="preserve"> detailed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discussion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of surface soil analytical results compared against RBC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screening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level values (SLVs) and possible remedial options is presented</w:t>
      </w:r>
    </w:p>
    <w:p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in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</w:t>
      </w:r>
      <w:r>
        <w:rPr>
          <w:rFonts w:ascii="Times-Italic" w:hAnsi="Times-Italic" w:cs="Times-Italic"/>
          <w:i/>
          <w:iCs/>
          <w:sz w:val="18"/>
          <w:szCs w:val="18"/>
        </w:rPr>
        <w:t>Surface Soil Risk Screening and Focused Feasibility Study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Italic" w:hAnsi="Times-Italic" w:cs="Times-Italic"/>
          <w:i/>
          <w:iCs/>
          <w:sz w:val="18"/>
          <w:szCs w:val="18"/>
        </w:rPr>
        <w:t>for Interim Action (FFS), CH2M HILL, 2010</w:t>
      </w:r>
      <w:proofErr w:type="gramStart"/>
      <w:r>
        <w:rPr>
          <w:rFonts w:ascii="Times-Italic" w:hAnsi="Times-Italic" w:cs="Times-Italic"/>
          <w:i/>
          <w:iCs/>
          <w:sz w:val="18"/>
          <w:szCs w:val="18"/>
        </w:rPr>
        <w:t xml:space="preserve">. 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>The recommended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remedial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actions presented in the FFS, and subsequently approved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by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DEQ, are hot spot soil removal and placement of an asphalt cap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over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remaining soil with contamination exceeding acceptable levels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for occupational exposure</w:t>
      </w: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 xml:space="preserve">. 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>The estimated hot spot removal area is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1,033 cubic yards</w:t>
      </w: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 xml:space="preserve">. 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>Following contaminated soil removal, the soil will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be transported to a Subtitle D landfill for disposal</w:t>
      </w: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 xml:space="preserve">. 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>The estimated area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of capping is approximately 19,166 square yards</w:t>
      </w: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 xml:space="preserve">. 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>Following capping,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annual inspections would be required to confirm cap condition</w:t>
      </w: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 xml:space="preserve">. 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>A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deed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restriction would be recorded with the property deed requiring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future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maintenance of the cap.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Bold-TT" w:hAnsi="Times-Bold-TT" w:cs="Times-Bold-TT"/>
          <w:b/>
          <w:bCs/>
          <w:sz w:val="18"/>
          <w:szCs w:val="18"/>
        </w:rPr>
        <w:t xml:space="preserve">HOW TO COMMENT: </w:t>
      </w:r>
      <w:r>
        <w:rPr>
          <w:rFonts w:ascii="Times-Roman-TT" w:eastAsia="Times-Roman-TT" w:hAnsi="Times-Bold-TT" w:cs="Times-Roman-TT"/>
          <w:sz w:val="18"/>
          <w:szCs w:val="18"/>
        </w:rPr>
        <w:t>The project file may be reviewed by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appointment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at DEQ</w:t>
      </w:r>
      <w:r>
        <w:rPr>
          <w:rFonts w:ascii="Times-Roman-TT" w:eastAsia="Times-Roman-TT" w:hAnsi="Times-Bold-TT" w:cs="Times-Roman-TT" w:hint="eastAsia"/>
          <w:sz w:val="18"/>
          <w:szCs w:val="18"/>
        </w:rPr>
        <w:t>’</w:t>
      </w:r>
      <w:r>
        <w:rPr>
          <w:rFonts w:ascii="Times-Roman-TT" w:eastAsia="Times-Roman-TT" w:hAnsi="Times-Bold-TT" w:cs="Times-Roman-TT"/>
          <w:sz w:val="18"/>
          <w:szCs w:val="18"/>
        </w:rPr>
        <w:t>s Northwest Region Office located at 2020 SW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spellStart"/>
      <w:r>
        <w:rPr>
          <w:rFonts w:ascii="Times-Roman-TT" w:eastAsia="Times-Roman-TT" w:hAnsi="Times-Bold-TT" w:cs="Times-Roman-TT"/>
          <w:sz w:val="18"/>
          <w:szCs w:val="18"/>
        </w:rPr>
        <w:t>FourthAvenue</w:t>
      </w:r>
      <w:proofErr w:type="spellEnd"/>
      <w:r>
        <w:rPr>
          <w:rFonts w:ascii="Times-Roman-TT" w:eastAsia="Times-Roman-TT" w:hAnsi="Times-Bold-TT" w:cs="Times-Roman-TT"/>
          <w:sz w:val="18"/>
          <w:szCs w:val="18"/>
        </w:rPr>
        <w:t>, Suite 400 in Portland, Oregon 97201</w:t>
      </w: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 xml:space="preserve">. 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>To schedule a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file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review appointment, call 503-229-6729; toll free 1-800-452-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4011; or TTY at 1-800-735-2900 or 711</w:t>
      </w: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 xml:space="preserve">. 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>To access site information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in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DEQ</w:t>
      </w:r>
      <w:r>
        <w:rPr>
          <w:rFonts w:ascii="Times-Roman-TT" w:eastAsia="Times-Roman-TT" w:hAnsi="Times-Bold-TT" w:cs="Times-Roman-TT" w:hint="eastAsia"/>
          <w:sz w:val="18"/>
          <w:szCs w:val="18"/>
        </w:rPr>
        <w:t>’</w:t>
      </w:r>
      <w:r>
        <w:rPr>
          <w:rFonts w:ascii="Times-Roman-TT" w:eastAsia="Times-Roman-TT" w:hAnsi="Times-Bold-TT" w:cs="Times-Roman-TT"/>
          <w:sz w:val="18"/>
          <w:szCs w:val="18"/>
        </w:rPr>
        <w:t>s ECSI database on the Internet, go to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http://www.deq.state.or.us/lq/ECSI/ecsiquery.asp, then enter ECSI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 xml:space="preserve">#138 in the Site ID </w:t>
      </w: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box,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and click </w:t>
      </w:r>
      <w:r>
        <w:rPr>
          <w:rFonts w:ascii="Times-Roman-TT" w:eastAsia="Times-Roman-TT" w:hAnsi="Times-Bold-TT" w:cs="Times-Roman-TT" w:hint="eastAsia"/>
          <w:sz w:val="18"/>
          <w:szCs w:val="18"/>
        </w:rPr>
        <w:t>“</w:t>
      </w:r>
      <w:r>
        <w:rPr>
          <w:rFonts w:ascii="Times-Roman-TT" w:eastAsia="Times-Roman-TT" w:hAnsi="Times-Bold-TT" w:cs="Times-Roman-TT"/>
          <w:sz w:val="18"/>
          <w:szCs w:val="18"/>
        </w:rPr>
        <w:t>Submit</w:t>
      </w:r>
      <w:r>
        <w:rPr>
          <w:rFonts w:ascii="Times-Roman-TT" w:eastAsia="Times-Roman-TT" w:hAnsi="Times-Bold-TT" w:cs="Times-Roman-TT" w:hint="eastAsia"/>
          <w:sz w:val="18"/>
          <w:szCs w:val="18"/>
        </w:rPr>
        <w:t>”</w:t>
      </w:r>
      <w:r>
        <w:rPr>
          <w:rFonts w:ascii="Times-Roman-TT" w:eastAsia="Times-Roman-TT" w:hAnsi="Times-Bold-TT" w:cs="Times-Roman-TT"/>
          <w:sz w:val="18"/>
          <w:szCs w:val="18"/>
        </w:rPr>
        <w:t xml:space="preserve"> at the bottom of the page.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Next, click the link labeled ECSI #138 in the Site ID/Info column.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The DEQ project manager is Jim Orr (503-229-5039)</w:t>
      </w: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 xml:space="preserve">. 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>Please send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written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comments to Jim Orr at the address listed above or via email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at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orr.jim@deq.state.or.us by June 30, 2010.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Bold-TT" w:hAnsi="Times-Bold-TT" w:cs="Times-Bold-TT"/>
          <w:b/>
          <w:bCs/>
          <w:sz w:val="18"/>
          <w:szCs w:val="18"/>
        </w:rPr>
        <w:t xml:space="preserve">THE NEXT STEP: </w:t>
      </w:r>
      <w:r>
        <w:rPr>
          <w:rFonts w:ascii="Times-Roman-TT" w:eastAsia="Times-Roman-TT" w:hAnsi="Times-Bold-TT" w:cs="Times-Roman-TT"/>
          <w:sz w:val="18"/>
          <w:szCs w:val="18"/>
        </w:rPr>
        <w:t>DEQ will consider all comments received and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the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Northwest </w:t>
      </w:r>
      <w:proofErr w:type="spellStart"/>
      <w:r>
        <w:rPr>
          <w:rFonts w:ascii="Times-Roman-TT" w:eastAsia="Times-Roman-TT" w:hAnsi="Times-Bold-TT" w:cs="Times-Roman-TT"/>
          <w:sz w:val="18"/>
          <w:szCs w:val="18"/>
        </w:rPr>
        <w:t>RegionAdministrator</w:t>
      </w:r>
      <w:proofErr w:type="spellEnd"/>
      <w:r>
        <w:rPr>
          <w:rFonts w:ascii="Times-Roman-TT" w:eastAsia="Times-Roman-TT" w:hAnsi="Times-Bold-TT" w:cs="Times-Roman-TT"/>
          <w:sz w:val="18"/>
          <w:szCs w:val="18"/>
        </w:rPr>
        <w:t xml:space="preserve"> will make a final decision after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consideration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of any comments.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Bold-TT" w:hAnsi="Times-Bold-TT" w:cs="Times-Bold-TT"/>
          <w:b/>
          <w:bCs/>
          <w:sz w:val="18"/>
          <w:szCs w:val="18"/>
        </w:rPr>
        <w:lastRenderedPageBreak/>
        <w:t xml:space="preserve">ACCESSIBILITY INFORMATION: </w:t>
      </w:r>
      <w:r>
        <w:rPr>
          <w:rFonts w:ascii="Times-Roman-TT" w:eastAsia="Times-Roman-TT" w:hAnsi="Times-Bold-TT" w:cs="Times-Roman-TT"/>
          <w:sz w:val="18"/>
          <w:szCs w:val="18"/>
        </w:rPr>
        <w:t>DEQ is committed to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accommodating people with disabilities</w:t>
      </w: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 xml:space="preserve">. 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>Please notify DEQ of any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special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physical or language accommodations or if you need information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in large print, Braille or another format</w:t>
      </w: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 xml:space="preserve">. 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>To make these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arrangements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>, contact DEQ Communications &amp; Outreach (503) 229-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5696 or toll free in Oregon at (800) 452-4011; fax to 503-229-6762;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or</w:t>
      </w:r>
      <w:proofErr w:type="gramEnd"/>
      <w:r>
        <w:rPr>
          <w:rFonts w:ascii="Times-Roman-TT" w:eastAsia="Times-Roman-TT" w:hAnsi="Times-Bold-TT" w:cs="Times-Roman-TT"/>
          <w:sz w:val="18"/>
          <w:szCs w:val="18"/>
        </w:rPr>
        <w:t xml:space="preserve"> e-mail to deqinfo@deq.state.or.us.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People with hearing impairments may call DEQ</w:t>
      </w:r>
      <w:r>
        <w:rPr>
          <w:rFonts w:ascii="Times-Roman-TT" w:eastAsia="Times-Roman-TT" w:hAnsi="Times-Bold-TT" w:cs="Times-Roman-TT" w:hint="eastAsia"/>
          <w:sz w:val="18"/>
          <w:szCs w:val="18"/>
        </w:rPr>
        <w:t>’</w:t>
      </w:r>
      <w:r>
        <w:rPr>
          <w:rFonts w:ascii="Times-Roman-TT" w:eastAsia="Times-Roman-TT" w:hAnsi="Times-Bold-TT" w:cs="Times-Roman-TT"/>
          <w:sz w:val="18"/>
          <w:szCs w:val="18"/>
        </w:rPr>
        <w:t>s TTY number,</w:t>
      </w:r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proofErr w:type="gramStart"/>
      <w:r>
        <w:rPr>
          <w:rFonts w:ascii="Times-Roman-TT" w:eastAsia="Times-Roman-TT" w:hAnsi="Times-Bold-TT" w:cs="Times-Roman-TT"/>
          <w:sz w:val="18"/>
          <w:szCs w:val="18"/>
        </w:rPr>
        <w:t>(800) 735-2900 or 711.</w:t>
      </w:r>
      <w:proofErr w:type="gramEnd"/>
    </w:p>
    <w:p>
      <w:pPr>
        <w:autoSpaceDE w:val="0"/>
        <w:autoSpaceDN w:val="0"/>
        <w:adjustRightInd w:val="0"/>
        <w:spacing w:after="0" w:line="240" w:lineRule="auto"/>
        <w:rPr>
          <w:rFonts w:ascii="Times-Roman-TT" w:eastAsia="Times-Roman-TT" w:hAnsi="Times-Bold-TT" w:cs="Times-Roman-TT"/>
          <w:sz w:val="18"/>
          <w:szCs w:val="18"/>
        </w:rPr>
      </w:pPr>
      <w:r>
        <w:rPr>
          <w:rFonts w:ascii="Times-Roman-TT" w:eastAsia="Times-Roman-TT" w:hAnsi="Times-Bold-TT" w:cs="Times-Roman-TT"/>
          <w:sz w:val="18"/>
          <w:szCs w:val="18"/>
        </w:rPr>
        <w:t>Oregon Bulletin June 2010: Volume 49, No. 6</w:t>
      </w:r>
    </w:p>
    <w:p>
      <w:pPr>
        <w:autoSpaceDE w:val="0"/>
        <w:autoSpaceDN w:val="0"/>
        <w:adjustRightInd w:val="0"/>
        <w:spacing w:after="0" w:line="240" w:lineRule="auto"/>
        <w:rPr>
          <w:rFonts w:ascii="Times-Bold-TT" w:hAnsi="Times-Bold-TT" w:cs="Times-Bold-TT"/>
          <w:sz w:val="20"/>
          <w:szCs w:val="20"/>
        </w:rPr>
      </w:pPr>
      <w:r>
        <w:rPr>
          <w:rFonts w:ascii="Times-Roman-TT" w:eastAsia="Times-Roman-TT" w:hAnsi="Times-Bold-TT" w:cs="Times-Roman-TT"/>
          <w:sz w:val="18"/>
          <w:szCs w:val="18"/>
        </w:rPr>
        <w:t>9</w:t>
      </w:r>
    </w:p>
    <w:p/>
    <w:sectPr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Bold-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-T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3249</Characters>
  <Application>Microsoft Office Word</Application>
  <DocSecurity>0</DocSecurity>
  <Lines>27</Lines>
  <Paragraphs>7</Paragraphs>
  <ScaleCrop>false</ScaleCrop>
  <Company>State of Oregon Department of Environmental Quality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Orr</dc:creator>
  <cp:keywords/>
  <dc:description/>
  <cp:lastModifiedBy>Jim Orr</cp:lastModifiedBy>
  <cp:revision>1</cp:revision>
  <dcterms:created xsi:type="dcterms:W3CDTF">2010-09-28T15:48:00Z</dcterms:created>
  <dcterms:modified xsi:type="dcterms:W3CDTF">2010-09-28T15:49:00Z</dcterms:modified>
</cp:coreProperties>
</file>