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7F7" w:rsidRPr="00460813" w:rsidRDefault="0083723E">
      <w:pPr>
        <w:rPr>
          <w:sz w:val="22"/>
          <w:szCs w:val="22"/>
        </w:rPr>
      </w:pPr>
      <w:r>
        <w:rPr>
          <w:noProof/>
          <w:sz w:val="22"/>
          <w:szCs w:val="22"/>
        </w:rPr>
        <w:pict>
          <v:shapetype id="_x0000_t202" coordsize="21600,21600" o:spt="202" path="m,l,21600r21600,l21600,xe">
            <v:stroke joinstyle="miter"/>
            <v:path gradientshapeok="t" o:connecttype="rect"/>
          </v:shapetype>
          <v:shape id="_x0000_s1030" type="#_x0000_t202" style="position:absolute;margin-left:243.25pt;margin-top:-63pt;width:3in;height:86.4pt;z-index:251659776" o:allowincell="f" filled="f" stroked="f">
            <v:textbox>
              <w:txbxContent>
                <w:p w:rsidR="00663137" w:rsidRPr="003871F6" w:rsidRDefault="00663137">
                  <w:pPr>
                    <w:pStyle w:val="Header"/>
                    <w:tabs>
                      <w:tab w:val="left" w:pos="5760"/>
                    </w:tabs>
                    <w:jc w:val="right"/>
                    <w:rPr>
                      <w:b/>
                      <w:color w:val="333399"/>
                      <w:sz w:val="24"/>
                    </w:rPr>
                  </w:pPr>
                  <w:r w:rsidRPr="003871F6">
                    <w:rPr>
                      <w:b/>
                      <w:color w:val="333399"/>
                      <w:sz w:val="24"/>
                    </w:rPr>
                    <w:t>Department of Environmental Quality</w:t>
                  </w:r>
                </w:p>
                <w:p w:rsidR="00663137" w:rsidRDefault="00663137">
                  <w:pPr>
                    <w:pStyle w:val="Header"/>
                    <w:tabs>
                      <w:tab w:val="left" w:pos="5760"/>
                    </w:tabs>
                    <w:jc w:val="right"/>
                    <w:rPr>
                      <w:b/>
                      <w:color w:val="333399"/>
                      <w:sz w:val="18"/>
                    </w:rPr>
                  </w:pPr>
                  <w:bookmarkStart w:id="0" w:name="OLE_LINK1"/>
                  <w:r w:rsidRPr="00780ED8">
                    <w:rPr>
                      <w:b/>
                      <w:color w:val="333399"/>
                      <w:sz w:val="18"/>
                    </w:rPr>
                    <w:t>Northwest Region-Eastside Office</w:t>
                  </w:r>
                </w:p>
                <w:p w:rsidR="00663137" w:rsidRPr="00780ED8" w:rsidRDefault="00663137">
                  <w:pPr>
                    <w:pStyle w:val="Header"/>
                    <w:tabs>
                      <w:tab w:val="left" w:pos="5760"/>
                    </w:tabs>
                    <w:jc w:val="right"/>
                    <w:rPr>
                      <w:color w:val="333399"/>
                      <w:sz w:val="18"/>
                    </w:rPr>
                  </w:pPr>
                  <w:smartTag w:uri="urn:schemas-microsoft-com:office:smarttags" w:element="Street">
                    <w:smartTag w:uri="urn:schemas-microsoft-com:office:smarttags" w:element="address">
                      <w:r w:rsidRPr="00780ED8">
                        <w:rPr>
                          <w:color w:val="333399"/>
                          <w:sz w:val="18"/>
                        </w:rPr>
                        <w:t>1550 NW Eastman Parkway, Suite 290</w:t>
                      </w:r>
                    </w:smartTag>
                  </w:smartTag>
                </w:p>
                <w:p w:rsidR="00663137" w:rsidRPr="003871F6" w:rsidRDefault="00663137">
                  <w:pPr>
                    <w:pStyle w:val="Header"/>
                    <w:tabs>
                      <w:tab w:val="left" w:pos="5760"/>
                    </w:tabs>
                    <w:jc w:val="right"/>
                    <w:rPr>
                      <w:color w:val="333399"/>
                      <w:sz w:val="18"/>
                    </w:rPr>
                  </w:pPr>
                  <w:smartTag w:uri="urn:schemas-microsoft-com:office:smarttags" w:element="place">
                    <w:smartTag w:uri="urn:schemas-microsoft-com:office:smarttags" w:element="City">
                      <w:r>
                        <w:rPr>
                          <w:color w:val="333399"/>
                          <w:sz w:val="18"/>
                        </w:rPr>
                        <w:t>Gresham</w:t>
                      </w:r>
                    </w:smartTag>
                    <w:r w:rsidRPr="003871F6">
                      <w:rPr>
                        <w:color w:val="333399"/>
                        <w:sz w:val="18"/>
                      </w:rPr>
                      <w:t xml:space="preserve">, </w:t>
                    </w:r>
                    <w:smartTag w:uri="urn:schemas-microsoft-com:office:smarttags" w:element="State">
                      <w:r w:rsidRPr="003871F6">
                        <w:rPr>
                          <w:color w:val="333399"/>
                          <w:sz w:val="18"/>
                        </w:rPr>
                        <w:t>OR</w:t>
                      </w:r>
                    </w:smartTag>
                    <w:r w:rsidRPr="003871F6">
                      <w:rPr>
                        <w:color w:val="333399"/>
                        <w:sz w:val="18"/>
                      </w:rPr>
                      <w:t xml:space="preserve">  </w:t>
                    </w:r>
                    <w:smartTag w:uri="urn:schemas-microsoft-com:office:smarttags" w:element="PostalCode">
                      <w:r w:rsidRPr="003871F6">
                        <w:rPr>
                          <w:color w:val="333399"/>
                          <w:sz w:val="18"/>
                        </w:rPr>
                        <w:t>970</w:t>
                      </w:r>
                      <w:r>
                        <w:rPr>
                          <w:color w:val="333399"/>
                          <w:sz w:val="18"/>
                        </w:rPr>
                        <w:t>30-3832</w:t>
                      </w:r>
                    </w:smartTag>
                  </w:smartTag>
                </w:p>
                <w:p w:rsidR="00663137" w:rsidRPr="003871F6" w:rsidRDefault="00663137">
                  <w:pPr>
                    <w:pStyle w:val="Header"/>
                    <w:tabs>
                      <w:tab w:val="left" w:pos="5760"/>
                    </w:tabs>
                    <w:jc w:val="right"/>
                    <w:rPr>
                      <w:color w:val="333399"/>
                    </w:rPr>
                  </w:pPr>
                  <w:r w:rsidRPr="003871F6">
                    <w:rPr>
                      <w:color w:val="333399"/>
                    </w:rPr>
                    <w:t xml:space="preserve">(503) </w:t>
                  </w:r>
                  <w:r>
                    <w:rPr>
                      <w:color w:val="333399"/>
                    </w:rPr>
                    <w:t>667</w:t>
                  </w:r>
                  <w:r w:rsidRPr="003871F6">
                    <w:rPr>
                      <w:color w:val="333399"/>
                    </w:rPr>
                    <w:t>-</w:t>
                  </w:r>
                  <w:r>
                    <w:rPr>
                      <w:color w:val="333399"/>
                    </w:rPr>
                    <w:t>8414</w:t>
                  </w:r>
                </w:p>
                <w:p w:rsidR="00663137" w:rsidRPr="003871F6" w:rsidRDefault="00663137">
                  <w:pPr>
                    <w:pStyle w:val="Header"/>
                    <w:tabs>
                      <w:tab w:val="left" w:pos="5760"/>
                    </w:tabs>
                    <w:jc w:val="right"/>
                    <w:rPr>
                      <w:color w:val="333399"/>
                      <w:sz w:val="18"/>
                    </w:rPr>
                  </w:pPr>
                  <w:r w:rsidRPr="003871F6">
                    <w:rPr>
                      <w:color w:val="333399"/>
                      <w:sz w:val="18"/>
                    </w:rPr>
                    <w:t>FAX (503)</w:t>
                  </w:r>
                  <w:r>
                    <w:rPr>
                      <w:color w:val="333399"/>
                      <w:sz w:val="18"/>
                    </w:rPr>
                    <w:t>674</w:t>
                  </w:r>
                  <w:r w:rsidRPr="003871F6">
                    <w:rPr>
                      <w:color w:val="333399"/>
                      <w:sz w:val="18"/>
                    </w:rPr>
                    <w:t>-</w:t>
                  </w:r>
                  <w:r>
                    <w:rPr>
                      <w:color w:val="333399"/>
                      <w:sz w:val="18"/>
                    </w:rPr>
                    <w:t>5</w:t>
                  </w:r>
                  <w:r w:rsidRPr="003871F6">
                    <w:rPr>
                      <w:color w:val="333399"/>
                      <w:sz w:val="18"/>
                    </w:rPr>
                    <w:t>14</w:t>
                  </w:r>
                  <w:r>
                    <w:rPr>
                      <w:color w:val="333399"/>
                      <w:sz w:val="18"/>
                    </w:rPr>
                    <w:t>8</w:t>
                  </w:r>
                </w:p>
                <w:bookmarkEnd w:id="0"/>
                <w:p w:rsidR="00663137" w:rsidRPr="003871F6" w:rsidRDefault="00663137">
                  <w:pPr>
                    <w:jc w:val="right"/>
                    <w:rPr>
                      <w:color w:val="333399"/>
                    </w:rPr>
                  </w:pPr>
                </w:p>
              </w:txbxContent>
            </v:textbox>
          </v:shape>
        </w:pict>
      </w:r>
      <w:r>
        <w:rPr>
          <w:noProof/>
          <w:sz w:val="22"/>
          <w:szCs w:val="22"/>
        </w:rPr>
        <w:pict>
          <v:line id="_x0000_s1028" style="position:absolute;z-index:251657728" from="-15.95pt,-63pt" to="8.7pt,-63pt" o:allowincell="f" strokecolor="#339" strokeweight="1pt"/>
        </w:pict>
      </w:r>
      <w:r>
        <w:rPr>
          <w:noProof/>
          <w:sz w:val="22"/>
          <w:szCs w:val="22"/>
        </w:rPr>
        <w:pict>
          <v:line id="_x0000_s1029" style="position:absolute;z-index:251658752" from="32.25pt,-63pt" to="457.05pt,-63pt" o:allowincell="f" strokecolor="#339" strokeweight="1pt"/>
        </w:pict>
      </w:r>
      <w:r>
        <w:rPr>
          <w:noProof/>
          <w:sz w:val="22"/>
          <w:szCs w:val="22"/>
        </w:rPr>
        <w:pict>
          <v:shape id="_x0000_s1027" type="#_x0000_t202" style="position:absolute;margin-left:-5.25pt;margin-top:-84.6pt;width:148pt;height:1in;z-index:251656704" o:allowincell="f" filled="f" stroked="f">
            <v:textbox style="mso-next-textbox:#_x0000_s1027">
              <w:txbxContent>
                <w:p w:rsidR="00663137" w:rsidRPr="003871F6" w:rsidRDefault="00663137">
                  <w:pPr>
                    <w:tabs>
                      <w:tab w:val="left" w:pos="360"/>
                    </w:tabs>
                    <w:rPr>
                      <w:color w:val="333399"/>
                      <w:sz w:val="72"/>
                    </w:rPr>
                  </w:pPr>
                  <w:smartTag w:uri="urn:schemas-microsoft-com:office:smarttags" w:element="State">
                    <w:smartTag w:uri="urn:schemas-microsoft-com:office:smarttags" w:element="place">
                      <w:r w:rsidRPr="003871F6">
                        <w:rPr>
                          <w:color w:val="333399"/>
                          <w:sz w:val="96"/>
                        </w:rPr>
                        <w:t>O</w:t>
                      </w:r>
                      <w:r w:rsidRPr="003871F6">
                        <w:rPr>
                          <w:color w:val="333399"/>
                          <w:sz w:val="72"/>
                        </w:rPr>
                        <w:t>regon</w:t>
                      </w:r>
                    </w:smartTag>
                  </w:smartTag>
                </w:p>
                <w:p w:rsidR="00663137" w:rsidRPr="003871F6" w:rsidRDefault="00663137">
                  <w:pPr>
                    <w:pStyle w:val="Header"/>
                    <w:tabs>
                      <w:tab w:val="clear" w:pos="4320"/>
                      <w:tab w:val="clear" w:pos="8640"/>
                    </w:tabs>
                    <w:rPr>
                      <w:color w:val="333399"/>
                      <w:sz w:val="14"/>
                    </w:rPr>
                  </w:pPr>
                  <w:r w:rsidRPr="003871F6">
                    <w:rPr>
                      <w:color w:val="333399"/>
                    </w:rPr>
                    <w:t xml:space="preserve">    </w:t>
                  </w:r>
                  <w:smartTag w:uri="urn:schemas-microsoft-com:office:smarttags" w:element="PersonName">
                    <w:smartTag w:uri="urn:schemas:contacts" w:element="GivenName">
                      <w:r w:rsidRPr="003871F6">
                        <w:rPr>
                          <w:bCs/>
                          <w:color w:val="333399"/>
                          <w:sz w:val="14"/>
                          <w:szCs w:val="14"/>
                        </w:rPr>
                        <w:t>Theodore</w:t>
                      </w:r>
                    </w:smartTag>
                    <w:r w:rsidRPr="003871F6">
                      <w:rPr>
                        <w:bCs/>
                        <w:color w:val="333399"/>
                        <w:sz w:val="14"/>
                        <w:szCs w:val="14"/>
                      </w:rPr>
                      <w:t xml:space="preserve"> </w:t>
                    </w:r>
                    <w:smartTag w:uri="urn:schemas:contacts" w:element="Sn">
                      <w:r w:rsidRPr="003871F6">
                        <w:rPr>
                          <w:bCs/>
                          <w:color w:val="333399"/>
                          <w:sz w:val="14"/>
                          <w:szCs w:val="14"/>
                        </w:rPr>
                        <w:t>Kulongoski</w:t>
                      </w:r>
                    </w:smartTag>
                  </w:smartTag>
                  <w:r w:rsidRPr="003871F6">
                    <w:rPr>
                      <w:bCs/>
                      <w:color w:val="333399"/>
                      <w:sz w:val="14"/>
                      <w:szCs w:val="14"/>
                    </w:rPr>
                    <w:t>, Governor</w:t>
                  </w:r>
                </w:p>
              </w:txbxContent>
            </v:textbox>
          </v:shape>
        </w:pict>
      </w:r>
      <w:r>
        <w:rPr>
          <w:noProof/>
          <w:sz w:val="22"/>
          <w:szCs w:val="22"/>
        </w:rPr>
        <w:pict>
          <v:shape id="_x0000_s1026" type="#_x0000_t202" style="position:absolute;margin-left:-50.4pt;margin-top:-77.4pt;width:93.35pt;height:84.5pt;z-index:251655680" o:allowincell="f" filled="f" stroked="f">
            <v:textbox style="mso-next-textbox:#_x0000_s1026">
              <w:txbxContent>
                <w:p w:rsidR="00663137" w:rsidRDefault="00663137">
                  <w:r>
                    <w:rPr>
                      <w:noProof/>
                    </w:rPr>
                    <w:drawing>
                      <wp:inline distT="0" distB="0" distL="0" distR="0">
                        <wp:extent cx="1000125" cy="971550"/>
                        <wp:effectExtent l="19050" t="0" r="9525" b="0"/>
                        <wp:docPr id="2" name="Picture 2" descr="ORSEAL_Blu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SEAL_Blue2"/>
                                <pic:cNvPicPr>
                                  <a:picLocks noChangeAspect="1" noChangeArrowheads="1"/>
                                </pic:cNvPicPr>
                              </pic:nvPicPr>
                              <pic:blipFill>
                                <a:blip r:embed="rId7"/>
                                <a:srcRect/>
                                <a:stretch>
                                  <a:fillRect/>
                                </a:stretch>
                              </pic:blipFill>
                              <pic:spPr bwMode="auto">
                                <a:xfrm>
                                  <a:off x="0" y="0"/>
                                  <a:ext cx="1000125" cy="971550"/>
                                </a:xfrm>
                                <a:prstGeom prst="rect">
                                  <a:avLst/>
                                </a:prstGeom>
                                <a:noFill/>
                                <a:ln w="9525">
                                  <a:noFill/>
                                  <a:miter lim="800000"/>
                                  <a:headEnd/>
                                  <a:tailEnd/>
                                </a:ln>
                              </pic:spPr>
                            </pic:pic>
                          </a:graphicData>
                        </a:graphic>
                      </wp:inline>
                    </w:drawing>
                  </w:r>
                </w:p>
              </w:txbxContent>
            </v:textbox>
            <w10:wrap type="square"/>
          </v:shape>
        </w:pict>
      </w:r>
    </w:p>
    <w:p w:rsidR="00011255" w:rsidRDefault="000419FE" w:rsidP="000E5F29">
      <w:pPr>
        <w:tabs>
          <w:tab w:val="left" w:pos="-1440"/>
          <w:tab w:val="left" w:pos="-720"/>
          <w:tab w:val="left" w:pos="0"/>
          <w:tab w:val="left" w:pos="720"/>
          <w:tab w:val="left" w:pos="1440"/>
          <w:tab w:val="left" w:pos="2160"/>
          <w:tab w:val="left" w:pos="2880"/>
          <w:tab w:val="left" w:pos="3600"/>
        </w:tabs>
        <w:suppressAutoHyphens/>
        <w:spacing w:before="120"/>
        <w:ind w:left="4320" w:hanging="4320"/>
        <w:rPr>
          <w:sz w:val="22"/>
          <w:szCs w:val="22"/>
        </w:rPr>
      </w:pPr>
      <w:r>
        <w:rPr>
          <w:sz w:val="22"/>
          <w:szCs w:val="22"/>
        </w:rPr>
        <w:t xml:space="preserve">June </w:t>
      </w:r>
      <w:r w:rsidR="00663137">
        <w:rPr>
          <w:sz w:val="22"/>
          <w:szCs w:val="22"/>
        </w:rPr>
        <w:t>22</w:t>
      </w:r>
      <w:r>
        <w:rPr>
          <w:sz w:val="22"/>
          <w:szCs w:val="22"/>
        </w:rPr>
        <w:t>, 2010</w:t>
      </w:r>
    </w:p>
    <w:p w:rsidR="000E5F29" w:rsidRDefault="000419FE" w:rsidP="000E5F29">
      <w:pPr>
        <w:tabs>
          <w:tab w:val="left" w:pos="-1440"/>
          <w:tab w:val="left" w:pos="-720"/>
        </w:tabs>
        <w:suppressAutoHyphens/>
        <w:spacing w:before="240"/>
        <w:rPr>
          <w:sz w:val="22"/>
          <w:szCs w:val="22"/>
        </w:rPr>
      </w:pPr>
      <w:r>
        <w:rPr>
          <w:sz w:val="22"/>
          <w:szCs w:val="22"/>
        </w:rPr>
        <w:t>Mr. John Cushing</w:t>
      </w:r>
    </w:p>
    <w:p w:rsidR="000419FE" w:rsidRDefault="000419FE" w:rsidP="000419FE">
      <w:pPr>
        <w:tabs>
          <w:tab w:val="left" w:pos="-1440"/>
          <w:tab w:val="left" w:pos="-720"/>
        </w:tabs>
        <w:suppressAutoHyphens/>
        <w:rPr>
          <w:sz w:val="22"/>
          <w:szCs w:val="22"/>
        </w:rPr>
      </w:pPr>
      <w:r>
        <w:rPr>
          <w:sz w:val="22"/>
          <w:szCs w:val="22"/>
        </w:rPr>
        <w:t>Cascade Corporation</w:t>
      </w:r>
    </w:p>
    <w:p w:rsidR="000419FE" w:rsidRDefault="000419FE" w:rsidP="000419FE">
      <w:pPr>
        <w:tabs>
          <w:tab w:val="left" w:pos="-1440"/>
          <w:tab w:val="left" w:pos="-720"/>
        </w:tabs>
        <w:suppressAutoHyphens/>
        <w:rPr>
          <w:sz w:val="22"/>
          <w:szCs w:val="22"/>
        </w:rPr>
      </w:pPr>
      <w:r>
        <w:rPr>
          <w:sz w:val="22"/>
          <w:szCs w:val="22"/>
        </w:rPr>
        <w:t>2201 NE 201</w:t>
      </w:r>
      <w:r w:rsidRPr="000419FE">
        <w:rPr>
          <w:sz w:val="22"/>
          <w:szCs w:val="22"/>
          <w:vertAlign w:val="superscript"/>
        </w:rPr>
        <w:t>st</w:t>
      </w:r>
      <w:r>
        <w:rPr>
          <w:sz w:val="22"/>
          <w:szCs w:val="22"/>
        </w:rPr>
        <w:t xml:space="preserve"> Avenue</w:t>
      </w:r>
    </w:p>
    <w:p w:rsidR="000419FE" w:rsidRPr="00AA598C" w:rsidRDefault="000419FE" w:rsidP="000419FE">
      <w:pPr>
        <w:tabs>
          <w:tab w:val="left" w:pos="-1440"/>
          <w:tab w:val="left" w:pos="-720"/>
        </w:tabs>
        <w:suppressAutoHyphens/>
        <w:rPr>
          <w:sz w:val="22"/>
          <w:szCs w:val="22"/>
        </w:rPr>
      </w:pPr>
      <w:r>
        <w:rPr>
          <w:sz w:val="22"/>
          <w:szCs w:val="22"/>
        </w:rPr>
        <w:t>Fairview OR 97024</w:t>
      </w:r>
    </w:p>
    <w:p w:rsidR="00011255" w:rsidRPr="00AA598C" w:rsidRDefault="000419FE" w:rsidP="000419FE">
      <w:pPr>
        <w:tabs>
          <w:tab w:val="left" w:pos="-1440"/>
          <w:tab w:val="left" w:pos="-720"/>
        </w:tabs>
        <w:suppressAutoHyphens/>
        <w:spacing w:before="240"/>
        <w:ind w:left="4320" w:hanging="4320"/>
        <w:rPr>
          <w:sz w:val="22"/>
          <w:szCs w:val="22"/>
        </w:rPr>
      </w:pPr>
      <w:r>
        <w:rPr>
          <w:sz w:val="22"/>
          <w:szCs w:val="22"/>
        </w:rPr>
        <w:tab/>
      </w:r>
      <w:r w:rsidR="000E5F29">
        <w:rPr>
          <w:sz w:val="22"/>
          <w:szCs w:val="22"/>
        </w:rPr>
        <w:t>RE:</w:t>
      </w:r>
      <w:r w:rsidR="00011255" w:rsidRPr="00AA598C">
        <w:rPr>
          <w:sz w:val="22"/>
          <w:szCs w:val="22"/>
        </w:rPr>
        <w:t xml:space="preserve"> </w:t>
      </w:r>
      <w:r>
        <w:rPr>
          <w:sz w:val="22"/>
          <w:szCs w:val="22"/>
        </w:rPr>
        <w:t>Resumption of Discharge of Retaining Wall</w:t>
      </w:r>
      <w:r>
        <w:rPr>
          <w:sz w:val="22"/>
          <w:szCs w:val="22"/>
        </w:rPr>
        <w:tab/>
        <w:t xml:space="preserve"> Manhole Drainage Water to Surface Swale, Cascade Site, Portland, ECSI #635</w:t>
      </w:r>
    </w:p>
    <w:p w:rsidR="00011255" w:rsidRPr="00AA598C" w:rsidRDefault="000E5F29" w:rsidP="000E5F29">
      <w:pPr>
        <w:tabs>
          <w:tab w:val="left" w:pos="-1440"/>
          <w:tab w:val="left" w:pos="-720"/>
        </w:tabs>
        <w:suppressAutoHyphens/>
        <w:spacing w:before="240"/>
        <w:rPr>
          <w:sz w:val="22"/>
          <w:szCs w:val="22"/>
        </w:rPr>
      </w:pPr>
      <w:r>
        <w:rPr>
          <w:sz w:val="22"/>
          <w:szCs w:val="22"/>
        </w:rPr>
        <w:t>Dear</w:t>
      </w:r>
      <w:r w:rsidR="000419FE">
        <w:rPr>
          <w:sz w:val="22"/>
          <w:szCs w:val="22"/>
        </w:rPr>
        <w:t xml:space="preserve"> Mr. Cushing:</w:t>
      </w:r>
    </w:p>
    <w:p w:rsidR="000356CD" w:rsidRDefault="000E5F29" w:rsidP="000E5F29">
      <w:pPr>
        <w:tabs>
          <w:tab w:val="left" w:pos="-1440"/>
          <w:tab w:val="left" w:pos="-720"/>
        </w:tabs>
        <w:suppressAutoHyphens/>
        <w:spacing w:before="120"/>
        <w:rPr>
          <w:sz w:val="22"/>
          <w:szCs w:val="22"/>
        </w:rPr>
      </w:pPr>
      <w:r>
        <w:rPr>
          <w:sz w:val="22"/>
          <w:szCs w:val="22"/>
        </w:rPr>
        <w:t>The</w:t>
      </w:r>
      <w:r w:rsidR="000419FE">
        <w:rPr>
          <w:sz w:val="22"/>
          <w:szCs w:val="22"/>
        </w:rPr>
        <w:t xml:space="preserve"> Department of Environmental Quality has reviewed </w:t>
      </w:r>
      <w:r w:rsidR="00561590">
        <w:rPr>
          <w:sz w:val="22"/>
          <w:szCs w:val="22"/>
        </w:rPr>
        <w:t>Cascade Corporation’s</w:t>
      </w:r>
      <w:r w:rsidR="000419FE">
        <w:rPr>
          <w:sz w:val="22"/>
          <w:szCs w:val="22"/>
        </w:rPr>
        <w:t xml:space="preserve"> </w:t>
      </w:r>
      <w:r w:rsidR="00663137">
        <w:rPr>
          <w:sz w:val="22"/>
          <w:szCs w:val="22"/>
        </w:rPr>
        <w:t>efforts to mitigate</w:t>
      </w:r>
      <w:r w:rsidR="000419FE">
        <w:rPr>
          <w:sz w:val="22"/>
          <w:szCs w:val="22"/>
        </w:rPr>
        <w:t xml:space="preserve"> </w:t>
      </w:r>
      <w:r w:rsidR="000356CD">
        <w:rPr>
          <w:sz w:val="22"/>
          <w:szCs w:val="22"/>
        </w:rPr>
        <w:t>a</w:t>
      </w:r>
      <w:r w:rsidR="000419FE">
        <w:rPr>
          <w:sz w:val="22"/>
          <w:szCs w:val="22"/>
        </w:rPr>
        <w:t xml:space="preserve"> soy bean oil spill </w:t>
      </w:r>
      <w:r w:rsidR="00561590">
        <w:rPr>
          <w:sz w:val="22"/>
          <w:szCs w:val="22"/>
        </w:rPr>
        <w:t xml:space="preserve">that </w:t>
      </w:r>
      <w:r w:rsidR="00663137">
        <w:rPr>
          <w:sz w:val="22"/>
          <w:szCs w:val="22"/>
        </w:rPr>
        <w:t xml:space="preserve">was discovered on April 5 or 6, 2010 in the form of soil bean oil seeping </w:t>
      </w:r>
      <w:r w:rsidR="00561590">
        <w:rPr>
          <w:sz w:val="22"/>
          <w:szCs w:val="22"/>
        </w:rPr>
        <w:t>via groundwater seepage behind a retaining wall at the Cascade northern property boundary</w:t>
      </w:r>
      <w:r w:rsidR="000356CD">
        <w:rPr>
          <w:sz w:val="22"/>
          <w:szCs w:val="22"/>
        </w:rPr>
        <w:t xml:space="preserve">. Since discovery of the spill, Cascade has </w:t>
      </w:r>
      <w:r w:rsidR="000B7FAF">
        <w:rPr>
          <w:sz w:val="22"/>
          <w:szCs w:val="22"/>
        </w:rPr>
        <w:t xml:space="preserve">conducted cleanup and monitoring and submitted </w:t>
      </w:r>
      <w:r w:rsidR="00663137">
        <w:rPr>
          <w:sz w:val="22"/>
          <w:szCs w:val="22"/>
        </w:rPr>
        <w:t xml:space="preserve">progress </w:t>
      </w:r>
      <w:r w:rsidR="000356CD">
        <w:rPr>
          <w:sz w:val="22"/>
          <w:szCs w:val="22"/>
        </w:rPr>
        <w:t>report</w:t>
      </w:r>
      <w:r w:rsidR="000B7FAF">
        <w:rPr>
          <w:sz w:val="22"/>
          <w:szCs w:val="22"/>
        </w:rPr>
        <w:t>s</w:t>
      </w:r>
      <w:r w:rsidR="000356CD">
        <w:rPr>
          <w:sz w:val="22"/>
          <w:szCs w:val="22"/>
        </w:rPr>
        <w:t xml:space="preserve"> to DEQ on a weekly basis</w:t>
      </w:r>
      <w:r w:rsidR="00561590">
        <w:rPr>
          <w:sz w:val="22"/>
          <w:szCs w:val="22"/>
        </w:rPr>
        <w:t xml:space="preserve">. In its June 2, 2010 weekly report, Cascade </w:t>
      </w:r>
      <w:r w:rsidR="000356CD">
        <w:rPr>
          <w:sz w:val="22"/>
          <w:szCs w:val="22"/>
        </w:rPr>
        <w:t xml:space="preserve">requested that DEQ approve resumption of discharge </w:t>
      </w:r>
      <w:r w:rsidR="00561590">
        <w:rPr>
          <w:sz w:val="22"/>
          <w:szCs w:val="22"/>
        </w:rPr>
        <w:t xml:space="preserve">of the retaining wall drainage water into the nearby </w:t>
      </w:r>
      <w:proofErr w:type="spellStart"/>
      <w:r w:rsidR="00561590">
        <w:rPr>
          <w:sz w:val="22"/>
          <w:szCs w:val="22"/>
        </w:rPr>
        <w:t>stormwater</w:t>
      </w:r>
      <w:proofErr w:type="spellEnd"/>
      <w:r w:rsidR="00561590">
        <w:rPr>
          <w:sz w:val="22"/>
          <w:szCs w:val="22"/>
        </w:rPr>
        <w:t xml:space="preserve"> swale.</w:t>
      </w:r>
      <w:r w:rsidR="000356CD">
        <w:rPr>
          <w:sz w:val="22"/>
          <w:szCs w:val="22"/>
        </w:rPr>
        <w:t xml:space="preserve"> </w:t>
      </w:r>
    </w:p>
    <w:p w:rsidR="00011255" w:rsidRDefault="000356CD" w:rsidP="000E5F29">
      <w:pPr>
        <w:tabs>
          <w:tab w:val="left" w:pos="-1440"/>
          <w:tab w:val="left" w:pos="-720"/>
        </w:tabs>
        <w:suppressAutoHyphens/>
        <w:spacing w:before="120"/>
        <w:rPr>
          <w:sz w:val="22"/>
          <w:szCs w:val="22"/>
        </w:rPr>
      </w:pPr>
      <w:r>
        <w:rPr>
          <w:sz w:val="22"/>
          <w:szCs w:val="22"/>
        </w:rPr>
        <w:t xml:space="preserve">The spill occurred </w:t>
      </w:r>
      <w:r w:rsidR="00663137">
        <w:rPr>
          <w:sz w:val="22"/>
          <w:szCs w:val="22"/>
        </w:rPr>
        <w:t>because</w:t>
      </w:r>
      <w:r>
        <w:rPr>
          <w:sz w:val="22"/>
          <w:szCs w:val="22"/>
        </w:rPr>
        <w:t xml:space="preserve"> </w:t>
      </w:r>
      <w:r w:rsidR="000B7FAF">
        <w:rPr>
          <w:sz w:val="22"/>
          <w:szCs w:val="22"/>
        </w:rPr>
        <w:t xml:space="preserve">non-toxic </w:t>
      </w:r>
      <w:r>
        <w:rPr>
          <w:sz w:val="22"/>
          <w:szCs w:val="22"/>
        </w:rPr>
        <w:t xml:space="preserve">soy bean oil mixture </w:t>
      </w:r>
      <w:r w:rsidR="00663137">
        <w:rPr>
          <w:sz w:val="22"/>
          <w:szCs w:val="22"/>
        </w:rPr>
        <w:t xml:space="preserve">that was </w:t>
      </w:r>
      <w:r w:rsidR="000B7FAF">
        <w:rPr>
          <w:sz w:val="22"/>
          <w:szCs w:val="22"/>
        </w:rPr>
        <w:t xml:space="preserve">injected </w:t>
      </w:r>
      <w:r w:rsidR="00663137">
        <w:rPr>
          <w:sz w:val="22"/>
          <w:szCs w:val="22"/>
        </w:rPr>
        <w:t xml:space="preserve">by Cascade </w:t>
      </w:r>
      <w:r w:rsidR="000B7FAF">
        <w:rPr>
          <w:sz w:val="22"/>
          <w:szCs w:val="22"/>
        </w:rPr>
        <w:t>into the Troutdale Gravel Aquifer</w:t>
      </w:r>
      <w:r w:rsidR="00663137">
        <w:rPr>
          <w:sz w:val="22"/>
          <w:szCs w:val="22"/>
        </w:rPr>
        <w:t xml:space="preserve"> migrated unexpectedly </w:t>
      </w:r>
      <w:r w:rsidR="000B7FAF">
        <w:rPr>
          <w:sz w:val="22"/>
          <w:szCs w:val="22"/>
        </w:rPr>
        <w:t xml:space="preserve">after heavy rains, </w:t>
      </w:r>
      <w:r w:rsidR="00663137">
        <w:rPr>
          <w:sz w:val="22"/>
          <w:szCs w:val="22"/>
        </w:rPr>
        <w:t xml:space="preserve">with the </w:t>
      </w:r>
      <w:r w:rsidR="000B7FAF">
        <w:rPr>
          <w:sz w:val="22"/>
          <w:szCs w:val="22"/>
        </w:rPr>
        <w:t>soy bean oil-bearing groundwater</w:t>
      </w:r>
      <w:r w:rsidR="00663137">
        <w:rPr>
          <w:sz w:val="22"/>
          <w:szCs w:val="22"/>
        </w:rPr>
        <w:t xml:space="preserve"> discharging as</w:t>
      </w:r>
      <w:r>
        <w:rPr>
          <w:sz w:val="22"/>
          <w:szCs w:val="22"/>
        </w:rPr>
        <w:t xml:space="preserve"> drainage </w:t>
      </w:r>
      <w:r w:rsidR="00561590">
        <w:rPr>
          <w:sz w:val="22"/>
          <w:szCs w:val="22"/>
        </w:rPr>
        <w:t xml:space="preserve">water collected </w:t>
      </w:r>
      <w:r>
        <w:rPr>
          <w:sz w:val="22"/>
          <w:szCs w:val="22"/>
        </w:rPr>
        <w:t>behind the retaining wall along the north Cascade property boundary with the adjacent Cascade Distribution property at 2901 NE 201</w:t>
      </w:r>
      <w:r w:rsidRPr="000356CD">
        <w:rPr>
          <w:sz w:val="22"/>
          <w:szCs w:val="22"/>
          <w:vertAlign w:val="superscript"/>
        </w:rPr>
        <w:t>st</w:t>
      </w:r>
      <w:r>
        <w:rPr>
          <w:sz w:val="22"/>
          <w:szCs w:val="22"/>
        </w:rPr>
        <w:t xml:space="preserve"> Avenue, Gresham, Oregon. </w:t>
      </w:r>
      <w:r w:rsidR="000B7FAF">
        <w:rPr>
          <w:sz w:val="22"/>
          <w:szCs w:val="22"/>
        </w:rPr>
        <w:t>Injection</w:t>
      </w:r>
      <w:r w:rsidR="00561590">
        <w:rPr>
          <w:sz w:val="22"/>
          <w:szCs w:val="22"/>
        </w:rPr>
        <w:t xml:space="preserve"> of the soy bean oil </w:t>
      </w:r>
      <w:r w:rsidR="000B7FAF">
        <w:rPr>
          <w:sz w:val="22"/>
          <w:szCs w:val="22"/>
        </w:rPr>
        <w:t xml:space="preserve">mixture </w:t>
      </w:r>
      <w:r w:rsidR="00561590">
        <w:rPr>
          <w:sz w:val="22"/>
          <w:szCs w:val="22"/>
        </w:rPr>
        <w:t xml:space="preserve">into the TGA is part of ongoing groundwater cleanup </w:t>
      </w:r>
      <w:r w:rsidR="000B7FAF">
        <w:rPr>
          <w:sz w:val="22"/>
          <w:szCs w:val="22"/>
        </w:rPr>
        <w:t xml:space="preserve">efforts </w:t>
      </w:r>
      <w:r w:rsidR="00561590">
        <w:rPr>
          <w:sz w:val="22"/>
          <w:szCs w:val="22"/>
        </w:rPr>
        <w:t xml:space="preserve">at the Cascade property. </w:t>
      </w:r>
      <w:r w:rsidR="00137676">
        <w:rPr>
          <w:sz w:val="22"/>
          <w:szCs w:val="22"/>
        </w:rPr>
        <w:t>Retaining wall drainage water is discharged into the</w:t>
      </w:r>
      <w:r>
        <w:rPr>
          <w:sz w:val="22"/>
          <w:szCs w:val="22"/>
        </w:rPr>
        <w:t xml:space="preserve"> </w:t>
      </w:r>
      <w:proofErr w:type="spellStart"/>
      <w:r>
        <w:rPr>
          <w:sz w:val="22"/>
          <w:szCs w:val="22"/>
        </w:rPr>
        <w:t>stormwater</w:t>
      </w:r>
      <w:proofErr w:type="spellEnd"/>
      <w:r>
        <w:rPr>
          <w:sz w:val="22"/>
          <w:szCs w:val="22"/>
        </w:rPr>
        <w:t xml:space="preserve"> swale located at the western margin of the Cascade Distribution property</w:t>
      </w:r>
      <w:r w:rsidR="00137676">
        <w:rPr>
          <w:sz w:val="22"/>
          <w:szCs w:val="22"/>
        </w:rPr>
        <w:t xml:space="preserve">. After discovery of the spill, </w:t>
      </w:r>
      <w:r>
        <w:rPr>
          <w:sz w:val="22"/>
          <w:szCs w:val="22"/>
        </w:rPr>
        <w:t xml:space="preserve">Cascade </w:t>
      </w:r>
      <w:r w:rsidR="00137676">
        <w:rPr>
          <w:sz w:val="22"/>
          <w:szCs w:val="22"/>
        </w:rPr>
        <w:t>removed</w:t>
      </w:r>
      <w:r>
        <w:rPr>
          <w:sz w:val="22"/>
          <w:szCs w:val="22"/>
        </w:rPr>
        <w:t xml:space="preserve"> the soy bean oi</w:t>
      </w:r>
      <w:r w:rsidR="00561590">
        <w:rPr>
          <w:sz w:val="22"/>
          <w:szCs w:val="22"/>
        </w:rPr>
        <w:t>l-</w:t>
      </w:r>
      <w:r>
        <w:rPr>
          <w:sz w:val="22"/>
          <w:szCs w:val="22"/>
        </w:rPr>
        <w:t xml:space="preserve">containing </w:t>
      </w:r>
      <w:proofErr w:type="spellStart"/>
      <w:r>
        <w:rPr>
          <w:sz w:val="22"/>
          <w:szCs w:val="22"/>
        </w:rPr>
        <w:t>stormwater</w:t>
      </w:r>
      <w:proofErr w:type="spellEnd"/>
      <w:r>
        <w:rPr>
          <w:sz w:val="22"/>
          <w:szCs w:val="22"/>
        </w:rPr>
        <w:t xml:space="preserve"> from the swale and divert</w:t>
      </w:r>
      <w:r w:rsidR="00137676">
        <w:rPr>
          <w:sz w:val="22"/>
          <w:szCs w:val="22"/>
        </w:rPr>
        <w:t>ed</w:t>
      </w:r>
      <w:r>
        <w:rPr>
          <w:sz w:val="22"/>
          <w:szCs w:val="22"/>
        </w:rPr>
        <w:t xml:space="preserve"> the drainage water onto the Cascade Property. In addition, Cascade began frequent monitoring of </w:t>
      </w:r>
      <w:proofErr w:type="spellStart"/>
      <w:r>
        <w:rPr>
          <w:sz w:val="22"/>
          <w:szCs w:val="22"/>
        </w:rPr>
        <w:t>stormwater</w:t>
      </w:r>
      <w:proofErr w:type="spellEnd"/>
      <w:r>
        <w:rPr>
          <w:sz w:val="22"/>
          <w:szCs w:val="22"/>
        </w:rPr>
        <w:t xml:space="preserve"> quality to assess presence of soy bean oil constituents in </w:t>
      </w:r>
      <w:proofErr w:type="spellStart"/>
      <w:r>
        <w:rPr>
          <w:sz w:val="22"/>
          <w:szCs w:val="22"/>
        </w:rPr>
        <w:t>stormwater</w:t>
      </w:r>
      <w:proofErr w:type="spellEnd"/>
      <w:r>
        <w:rPr>
          <w:sz w:val="22"/>
          <w:szCs w:val="22"/>
        </w:rPr>
        <w:t xml:space="preserve"> and provided results of cleanup and monitoring to DEQ on a weekly basis.</w:t>
      </w:r>
    </w:p>
    <w:p w:rsidR="004A541A" w:rsidRDefault="000B7FAF" w:rsidP="000E5F29">
      <w:pPr>
        <w:tabs>
          <w:tab w:val="left" w:pos="-1440"/>
          <w:tab w:val="left" w:pos="-720"/>
        </w:tabs>
        <w:suppressAutoHyphens/>
        <w:spacing w:before="120"/>
        <w:rPr>
          <w:sz w:val="22"/>
          <w:szCs w:val="22"/>
        </w:rPr>
      </w:pPr>
      <w:r>
        <w:rPr>
          <w:sz w:val="22"/>
          <w:szCs w:val="22"/>
        </w:rPr>
        <w:t xml:space="preserve">DEQ </w:t>
      </w:r>
      <w:r w:rsidR="00137676">
        <w:rPr>
          <w:sz w:val="22"/>
          <w:szCs w:val="22"/>
        </w:rPr>
        <w:t xml:space="preserve">initially approved </w:t>
      </w:r>
      <w:r>
        <w:rPr>
          <w:sz w:val="22"/>
          <w:szCs w:val="22"/>
        </w:rPr>
        <w:t xml:space="preserve">discharge </w:t>
      </w:r>
      <w:r w:rsidR="00137676">
        <w:rPr>
          <w:sz w:val="22"/>
          <w:szCs w:val="22"/>
        </w:rPr>
        <w:t xml:space="preserve">of the retaining wall drainage </w:t>
      </w:r>
      <w:r>
        <w:rPr>
          <w:sz w:val="22"/>
          <w:szCs w:val="22"/>
        </w:rPr>
        <w:t xml:space="preserve">to the </w:t>
      </w:r>
      <w:proofErr w:type="spellStart"/>
      <w:r>
        <w:rPr>
          <w:sz w:val="22"/>
          <w:szCs w:val="22"/>
        </w:rPr>
        <w:t>stormwater</w:t>
      </w:r>
      <w:proofErr w:type="spellEnd"/>
      <w:r>
        <w:rPr>
          <w:sz w:val="22"/>
          <w:szCs w:val="22"/>
        </w:rPr>
        <w:t xml:space="preserve"> swale along the western boundary of the Cascade Distribution property</w:t>
      </w:r>
      <w:r w:rsidR="00137676">
        <w:rPr>
          <w:sz w:val="22"/>
          <w:szCs w:val="22"/>
        </w:rPr>
        <w:t xml:space="preserve"> based on data collected during the construction of the retaining wall when the Cascade Distribution property was purchased from Cascade and developed to its current </w:t>
      </w:r>
      <w:r w:rsidR="004A541A">
        <w:rPr>
          <w:sz w:val="22"/>
          <w:szCs w:val="22"/>
        </w:rPr>
        <w:t>land use</w:t>
      </w:r>
      <w:r w:rsidR="00137676">
        <w:rPr>
          <w:sz w:val="22"/>
          <w:szCs w:val="22"/>
        </w:rPr>
        <w:t xml:space="preserve">. Criteria for discharge to the </w:t>
      </w:r>
      <w:proofErr w:type="spellStart"/>
      <w:r w:rsidR="00137676">
        <w:rPr>
          <w:sz w:val="22"/>
          <w:szCs w:val="22"/>
        </w:rPr>
        <w:t>stormwater</w:t>
      </w:r>
      <w:proofErr w:type="spellEnd"/>
      <w:r w:rsidR="00137676">
        <w:rPr>
          <w:sz w:val="22"/>
          <w:szCs w:val="22"/>
        </w:rPr>
        <w:t xml:space="preserve"> swale included freshwater acute and chronic ambient criteria, and DEQ surface water screening level values for aquatic receptors because the </w:t>
      </w:r>
      <w:proofErr w:type="spellStart"/>
      <w:r w:rsidR="00137676">
        <w:rPr>
          <w:sz w:val="22"/>
          <w:szCs w:val="22"/>
        </w:rPr>
        <w:t>stormwater</w:t>
      </w:r>
      <w:proofErr w:type="spellEnd"/>
      <w:r w:rsidR="00137676">
        <w:rPr>
          <w:sz w:val="22"/>
          <w:szCs w:val="22"/>
        </w:rPr>
        <w:t xml:space="preserve"> is eventually discharged to the Columbia Slough. Data collected </w:t>
      </w:r>
      <w:r w:rsidR="004A541A">
        <w:rPr>
          <w:sz w:val="22"/>
          <w:szCs w:val="22"/>
        </w:rPr>
        <w:t xml:space="preserve">since the soy bean release </w:t>
      </w:r>
      <w:r w:rsidR="00137676">
        <w:rPr>
          <w:sz w:val="22"/>
          <w:szCs w:val="22"/>
        </w:rPr>
        <w:t xml:space="preserve">from the retaining wall manhole prior to discharge to the </w:t>
      </w:r>
      <w:proofErr w:type="spellStart"/>
      <w:r w:rsidR="00137676">
        <w:rPr>
          <w:sz w:val="22"/>
          <w:szCs w:val="22"/>
        </w:rPr>
        <w:t>stormwater</w:t>
      </w:r>
      <w:proofErr w:type="spellEnd"/>
      <w:r w:rsidR="00137676">
        <w:rPr>
          <w:sz w:val="22"/>
          <w:szCs w:val="22"/>
        </w:rPr>
        <w:t xml:space="preserve"> swale indicates that Cascade </w:t>
      </w:r>
      <w:r w:rsidR="004A541A">
        <w:rPr>
          <w:sz w:val="22"/>
          <w:szCs w:val="22"/>
        </w:rPr>
        <w:t xml:space="preserve">chlorinated solvent </w:t>
      </w:r>
      <w:r w:rsidR="00137676">
        <w:rPr>
          <w:sz w:val="22"/>
          <w:szCs w:val="22"/>
        </w:rPr>
        <w:t xml:space="preserve">contaminants remain well below identified aquatic criteria. The data also show </w:t>
      </w:r>
      <w:r w:rsidR="004A541A">
        <w:rPr>
          <w:sz w:val="22"/>
          <w:szCs w:val="22"/>
        </w:rPr>
        <w:t>that</w:t>
      </w:r>
      <w:r w:rsidR="00137676">
        <w:rPr>
          <w:sz w:val="22"/>
          <w:szCs w:val="22"/>
        </w:rPr>
        <w:t xml:space="preserve"> </w:t>
      </w:r>
      <w:r w:rsidR="004A541A">
        <w:rPr>
          <w:sz w:val="22"/>
          <w:szCs w:val="22"/>
        </w:rPr>
        <w:t xml:space="preserve">concentrations have stabilized to </w:t>
      </w:r>
      <w:r w:rsidR="00137676">
        <w:rPr>
          <w:sz w:val="22"/>
          <w:szCs w:val="22"/>
        </w:rPr>
        <w:t xml:space="preserve">below method detection limits </w:t>
      </w:r>
      <w:r w:rsidR="004A541A">
        <w:rPr>
          <w:sz w:val="22"/>
          <w:szCs w:val="22"/>
        </w:rPr>
        <w:t xml:space="preserve">of about 0.2 and 0.5 mg/l for total petroleum hydrocarbon diesel range and residual, respectively, and 5 and 4.7 mg/l for oil and grease </w:t>
      </w:r>
      <w:r w:rsidR="00137676">
        <w:rPr>
          <w:sz w:val="22"/>
          <w:szCs w:val="22"/>
        </w:rPr>
        <w:t xml:space="preserve">since May 6, 2010. </w:t>
      </w:r>
    </w:p>
    <w:p w:rsidR="00663137" w:rsidRDefault="004A541A" w:rsidP="000E5F29">
      <w:pPr>
        <w:tabs>
          <w:tab w:val="left" w:pos="-1440"/>
          <w:tab w:val="left" w:pos="-720"/>
        </w:tabs>
        <w:suppressAutoHyphens/>
        <w:spacing w:before="120"/>
        <w:rPr>
          <w:sz w:val="22"/>
          <w:szCs w:val="22"/>
        </w:rPr>
      </w:pPr>
      <w:r>
        <w:rPr>
          <w:sz w:val="22"/>
          <w:szCs w:val="22"/>
        </w:rPr>
        <w:t>While the plant-based soy bean oil is non-toxic for humans, a</w:t>
      </w:r>
      <w:r w:rsidR="00137676">
        <w:rPr>
          <w:sz w:val="22"/>
          <w:szCs w:val="22"/>
        </w:rPr>
        <w:t xml:space="preserve">mbient freshwater criteria have </w:t>
      </w:r>
      <w:r>
        <w:rPr>
          <w:sz w:val="22"/>
          <w:szCs w:val="22"/>
        </w:rPr>
        <w:t xml:space="preserve">not </w:t>
      </w:r>
      <w:r w:rsidR="00137676">
        <w:rPr>
          <w:sz w:val="22"/>
          <w:szCs w:val="22"/>
        </w:rPr>
        <w:t>been developed</w:t>
      </w:r>
      <w:r>
        <w:rPr>
          <w:sz w:val="22"/>
          <w:szCs w:val="22"/>
        </w:rPr>
        <w:t xml:space="preserve"> for aquatic receptors. The most applicable criteria for evaluating this discharge would be TPH limits under National Pollution Discharge Elimination System permits. TPH limits include 1 mg/l for individual permits, 15 mg/l maximum or 10 mg/l monthly average discharge for </w:t>
      </w:r>
      <w:proofErr w:type="spellStart"/>
      <w:r>
        <w:rPr>
          <w:sz w:val="22"/>
          <w:szCs w:val="22"/>
        </w:rPr>
        <w:t>stormwater</w:t>
      </w:r>
      <w:proofErr w:type="spellEnd"/>
      <w:r>
        <w:rPr>
          <w:sz w:val="22"/>
          <w:szCs w:val="22"/>
        </w:rPr>
        <w:t xml:space="preserve"> 1200COLS permits, and 10 mg/l discharge for irrigation waters for 1500B general permits.  The concentrations </w:t>
      </w:r>
      <w:r>
        <w:rPr>
          <w:sz w:val="22"/>
          <w:szCs w:val="22"/>
        </w:rPr>
        <w:lastRenderedPageBreak/>
        <w:t>detected in both the NWTPH-</w:t>
      </w:r>
      <w:proofErr w:type="spellStart"/>
      <w:r>
        <w:rPr>
          <w:sz w:val="22"/>
          <w:szCs w:val="22"/>
        </w:rPr>
        <w:t>Dx</w:t>
      </w:r>
      <w:proofErr w:type="spellEnd"/>
      <w:r>
        <w:rPr>
          <w:sz w:val="22"/>
          <w:szCs w:val="22"/>
        </w:rPr>
        <w:t xml:space="preserve"> and Oil and Grease analyses are well below these typical NPDES permit values except for the 1 mg/l individual NPDES permit limit. The monitoring data was collected essentially at the source, from the retaining wall drainage collection manhole. From that point the discharge enters a </w:t>
      </w:r>
      <w:proofErr w:type="spellStart"/>
      <w:r>
        <w:rPr>
          <w:sz w:val="22"/>
          <w:szCs w:val="22"/>
        </w:rPr>
        <w:t>stormwater</w:t>
      </w:r>
      <w:proofErr w:type="spellEnd"/>
      <w:r>
        <w:rPr>
          <w:sz w:val="22"/>
          <w:szCs w:val="22"/>
        </w:rPr>
        <w:t xml:space="preserve"> swale</w:t>
      </w:r>
      <w:r w:rsidR="00D336A9">
        <w:rPr>
          <w:sz w:val="22"/>
          <w:szCs w:val="22"/>
        </w:rPr>
        <w:t xml:space="preserve"> several hundred feet in length where it is joined with </w:t>
      </w:r>
      <w:proofErr w:type="spellStart"/>
      <w:r w:rsidR="00D336A9">
        <w:rPr>
          <w:sz w:val="22"/>
          <w:szCs w:val="22"/>
        </w:rPr>
        <w:t>stormwater</w:t>
      </w:r>
      <w:proofErr w:type="spellEnd"/>
      <w:r w:rsidR="00D336A9">
        <w:rPr>
          <w:sz w:val="22"/>
          <w:szCs w:val="22"/>
        </w:rPr>
        <w:t xml:space="preserve"> runoff from the Cascade Distribution facility roof and paved parking, thence into the Sandy Boulevard drainage ditch and Storm Drain Creek where it is again joined with </w:t>
      </w:r>
      <w:proofErr w:type="spellStart"/>
      <w:r w:rsidR="00D336A9">
        <w:rPr>
          <w:sz w:val="22"/>
          <w:szCs w:val="22"/>
        </w:rPr>
        <w:t>stormwater</w:t>
      </w:r>
      <w:proofErr w:type="spellEnd"/>
      <w:r w:rsidR="00D336A9">
        <w:rPr>
          <w:sz w:val="22"/>
          <w:szCs w:val="22"/>
        </w:rPr>
        <w:t xml:space="preserve"> runoff from Sandy Boulevard and other facilities before eventually discharging into the Columbia Slough. Thus the retaining wall drainage water that is non-detect for TPH at well below typical </w:t>
      </w:r>
      <w:proofErr w:type="spellStart"/>
      <w:r w:rsidR="00D336A9">
        <w:rPr>
          <w:sz w:val="22"/>
          <w:szCs w:val="22"/>
        </w:rPr>
        <w:t>stormwater</w:t>
      </w:r>
      <w:proofErr w:type="spellEnd"/>
      <w:r w:rsidR="00D336A9">
        <w:rPr>
          <w:sz w:val="22"/>
          <w:szCs w:val="22"/>
        </w:rPr>
        <w:t xml:space="preserve"> limits and non-detect for oil and grease at 5x the TPH NPDES limit of 1 mg/l</w:t>
      </w:r>
      <w:r w:rsidR="00FE0F15">
        <w:rPr>
          <w:sz w:val="22"/>
          <w:szCs w:val="22"/>
        </w:rPr>
        <w:t xml:space="preserve"> </w:t>
      </w:r>
      <w:r w:rsidR="00D336A9">
        <w:rPr>
          <w:sz w:val="22"/>
          <w:szCs w:val="22"/>
        </w:rPr>
        <w:t xml:space="preserve">at the source, is diluted with increasing volumes of </w:t>
      </w:r>
      <w:proofErr w:type="spellStart"/>
      <w:r w:rsidR="00D336A9">
        <w:rPr>
          <w:sz w:val="22"/>
          <w:szCs w:val="22"/>
        </w:rPr>
        <w:t>stormwater</w:t>
      </w:r>
      <w:proofErr w:type="spellEnd"/>
      <w:r w:rsidR="00D336A9">
        <w:rPr>
          <w:sz w:val="22"/>
          <w:szCs w:val="22"/>
        </w:rPr>
        <w:t xml:space="preserve"> from other sources prior to entering into the Columbia Slough and would not be expected to exceed any of the typical NPDES concentration limits for TPH. </w:t>
      </w:r>
    </w:p>
    <w:p w:rsidR="00663137" w:rsidRDefault="00663137" w:rsidP="000E5F29">
      <w:pPr>
        <w:tabs>
          <w:tab w:val="left" w:pos="-1440"/>
          <w:tab w:val="left" w:pos="-720"/>
        </w:tabs>
        <w:suppressAutoHyphens/>
        <w:spacing w:before="120"/>
        <w:rPr>
          <w:sz w:val="22"/>
          <w:szCs w:val="22"/>
        </w:rPr>
      </w:pPr>
      <w:r>
        <w:rPr>
          <w:sz w:val="22"/>
          <w:szCs w:val="22"/>
        </w:rPr>
        <w:t>The City of Gresham requeste</w:t>
      </w:r>
      <w:r w:rsidR="00CF1B26">
        <w:rPr>
          <w:sz w:val="22"/>
          <w:szCs w:val="22"/>
        </w:rPr>
        <w:t>d that generation of phosphorus</w:t>
      </w:r>
      <w:r>
        <w:rPr>
          <w:sz w:val="22"/>
          <w:szCs w:val="22"/>
        </w:rPr>
        <w:t xml:space="preserve"> as a result of the breakdown of the soy bean oil be evaluated</w:t>
      </w:r>
      <w:r w:rsidR="00CF1B26">
        <w:rPr>
          <w:sz w:val="22"/>
          <w:szCs w:val="22"/>
        </w:rPr>
        <w:t xml:space="preserve"> with respect to the current Total Maximum Daily Load of 0.15 mg/l for phosphorus for the Columbia Slough. Cascade sampled retaining wall drainage water at the manhole on Thursday June 10, 2010. Analytical results indicate that total phosphorus is not detected at concentrations above 0.1 mg/l which is below the TMDL of 0.15 mg/l.</w:t>
      </w:r>
    </w:p>
    <w:p w:rsidR="00561590" w:rsidRDefault="00D336A9" w:rsidP="000E5F29">
      <w:pPr>
        <w:tabs>
          <w:tab w:val="left" w:pos="-1440"/>
          <w:tab w:val="left" w:pos="-720"/>
        </w:tabs>
        <w:suppressAutoHyphens/>
        <w:spacing w:before="120"/>
        <w:rPr>
          <w:sz w:val="22"/>
          <w:szCs w:val="22"/>
        </w:rPr>
      </w:pPr>
      <w:r>
        <w:rPr>
          <w:sz w:val="22"/>
          <w:szCs w:val="22"/>
        </w:rPr>
        <w:t xml:space="preserve">DEQ concludes that this discharge can be allowed to resume to the </w:t>
      </w:r>
      <w:proofErr w:type="spellStart"/>
      <w:r>
        <w:rPr>
          <w:sz w:val="22"/>
          <w:szCs w:val="22"/>
        </w:rPr>
        <w:t>stormwater</w:t>
      </w:r>
      <w:proofErr w:type="spellEnd"/>
      <w:r>
        <w:rPr>
          <w:sz w:val="22"/>
          <w:szCs w:val="22"/>
        </w:rPr>
        <w:t xml:space="preserve"> swale and any soy bean oil present in the water would not likely exceed NPDES TPH limits and would not be expected to pose a threat to aquatic receptors.</w:t>
      </w:r>
      <w:r w:rsidR="00CF1B26">
        <w:rPr>
          <w:sz w:val="22"/>
          <w:szCs w:val="22"/>
        </w:rPr>
        <w:t xml:space="preserve"> DEQ also concludes that continued degradation of diminishing concentrations of soy bean oil will not generate total phosphorus at concentrations that exceed the current phosphorus TMDL of 0.15 mg/l.</w:t>
      </w:r>
    </w:p>
    <w:p w:rsidR="00D336A9" w:rsidRPr="00AA598C" w:rsidRDefault="00D336A9" w:rsidP="000E5F29">
      <w:pPr>
        <w:tabs>
          <w:tab w:val="left" w:pos="-1440"/>
          <w:tab w:val="left" w:pos="-720"/>
        </w:tabs>
        <w:suppressAutoHyphens/>
        <w:spacing w:before="120"/>
        <w:rPr>
          <w:sz w:val="22"/>
          <w:szCs w:val="22"/>
        </w:rPr>
      </w:pPr>
      <w:r>
        <w:rPr>
          <w:sz w:val="22"/>
          <w:szCs w:val="22"/>
        </w:rPr>
        <w:t xml:space="preserve">Therefore, DEQ approves resumption of discharge of the retaining wall water to the </w:t>
      </w:r>
      <w:proofErr w:type="spellStart"/>
      <w:r>
        <w:rPr>
          <w:sz w:val="22"/>
          <w:szCs w:val="22"/>
        </w:rPr>
        <w:t>stormwater</w:t>
      </w:r>
      <w:proofErr w:type="spellEnd"/>
      <w:r>
        <w:rPr>
          <w:sz w:val="22"/>
          <w:szCs w:val="22"/>
        </w:rPr>
        <w:t xml:space="preserve"> swale on the western boundary of the Cascade Distribution property and ultimately to the City of Gresham </w:t>
      </w:r>
      <w:proofErr w:type="spellStart"/>
      <w:r>
        <w:rPr>
          <w:sz w:val="22"/>
          <w:szCs w:val="22"/>
        </w:rPr>
        <w:t>stormwater</w:t>
      </w:r>
      <w:proofErr w:type="spellEnd"/>
      <w:r>
        <w:rPr>
          <w:sz w:val="22"/>
          <w:szCs w:val="22"/>
        </w:rPr>
        <w:t xml:space="preserve"> system discharging into the Columbia Slough. Please let me know if you have any questions regarding this determination.</w:t>
      </w:r>
    </w:p>
    <w:p w:rsidR="00011255" w:rsidRPr="00AA598C" w:rsidRDefault="00011255" w:rsidP="000E5F29">
      <w:pPr>
        <w:tabs>
          <w:tab w:val="left" w:pos="-1440"/>
          <w:tab w:val="left" w:pos="-720"/>
          <w:tab w:val="left" w:pos="0"/>
          <w:tab w:val="left" w:pos="720"/>
          <w:tab w:val="left" w:pos="1440"/>
          <w:tab w:val="left" w:pos="2160"/>
          <w:tab w:val="left" w:pos="2880"/>
        </w:tabs>
        <w:suppressAutoHyphens/>
        <w:spacing w:before="240"/>
        <w:ind w:left="3600" w:hanging="3600"/>
        <w:rPr>
          <w:sz w:val="22"/>
          <w:szCs w:val="22"/>
        </w:rPr>
      </w:pPr>
      <w:r w:rsidRPr="00AA598C">
        <w:rPr>
          <w:sz w:val="22"/>
          <w:szCs w:val="22"/>
        </w:rPr>
        <w:t>Sincerely,</w:t>
      </w:r>
    </w:p>
    <w:p w:rsidR="00011255" w:rsidRPr="00AA598C" w:rsidRDefault="001E7DB5" w:rsidP="000E5F29">
      <w:pPr>
        <w:tabs>
          <w:tab w:val="left" w:pos="-1440"/>
          <w:tab w:val="left" w:pos="-720"/>
        </w:tabs>
        <w:suppressAutoHyphens/>
        <w:spacing w:before="720"/>
        <w:rPr>
          <w:sz w:val="22"/>
          <w:szCs w:val="22"/>
        </w:rPr>
      </w:pPr>
      <w:r>
        <w:rPr>
          <w:sz w:val="22"/>
          <w:szCs w:val="22"/>
        </w:rPr>
        <w:t>Mavis D. Kent</w:t>
      </w:r>
    </w:p>
    <w:p w:rsidR="00011255" w:rsidRPr="00AA598C" w:rsidRDefault="001E7DB5" w:rsidP="00011255">
      <w:pPr>
        <w:tabs>
          <w:tab w:val="left" w:pos="-1440"/>
          <w:tab w:val="left" w:pos="-720"/>
          <w:tab w:val="left" w:pos="0"/>
          <w:tab w:val="left" w:pos="720"/>
          <w:tab w:val="left" w:pos="1440"/>
          <w:tab w:val="left" w:pos="2160"/>
          <w:tab w:val="left" w:pos="2880"/>
        </w:tabs>
        <w:suppressAutoHyphens/>
        <w:ind w:left="3600" w:hanging="3600"/>
        <w:rPr>
          <w:sz w:val="22"/>
          <w:szCs w:val="22"/>
        </w:rPr>
      </w:pPr>
      <w:r>
        <w:rPr>
          <w:sz w:val="22"/>
          <w:szCs w:val="22"/>
        </w:rPr>
        <w:t>Project Manager, NWR Cleanup &amp; Emergency Response</w:t>
      </w:r>
    </w:p>
    <w:p w:rsidR="00011255" w:rsidRPr="00AA598C" w:rsidRDefault="00D336A9" w:rsidP="000E5F29">
      <w:pPr>
        <w:tabs>
          <w:tab w:val="left" w:pos="-1440"/>
          <w:tab w:val="left" w:pos="-720"/>
        </w:tabs>
        <w:suppressAutoHyphens/>
        <w:spacing w:before="240"/>
        <w:rPr>
          <w:sz w:val="22"/>
          <w:szCs w:val="22"/>
        </w:rPr>
      </w:pPr>
      <w:proofErr w:type="gramStart"/>
      <w:r>
        <w:rPr>
          <w:sz w:val="22"/>
          <w:szCs w:val="22"/>
        </w:rPr>
        <w:t>attachment</w:t>
      </w:r>
      <w:r w:rsidR="00CF1B26">
        <w:rPr>
          <w:sz w:val="22"/>
          <w:szCs w:val="22"/>
        </w:rPr>
        <w:t>s</w:t>
      </w:r>
      <w:proofErr w:type="gramEnd"/>
      <w:r w:rsidR="000E5F29">
        <w:rPr>
          <w:sz w:val="22"/>
          <w:szCs w:val="22"/>
        </w:rPr>
        <w:t>:</w:t>
      </w:r>
      <w:r>
        <w:rPr>
          <w:sz w:val="22"/>
          <w:szCs w:val="22"/>
        </w:rPr>
        <w:t xml:space="preserve"> Cascade Corporation Table 1RT Manhole Drainage Water Samples results</w:t>
      </w:r>
      <w:r w:rsidR="00CF1B26">
        <w:rPr>
          <w:sz w:val="22"/>
          <w:szCs w:val="22"/>
        </w:rPr>
        <w:t>, Apex Labs total phosphorus analytical results dated June 11, 2010</w:t>
      </w:r>
    </w:p>
    <w:p w:rsidR="00011255" w:rsidRPr="001E7DB5" w:rsidRDefault="006C467F" w:rsidP="000E5F29">
      <w:pPr>
        <w:spacing w:before="240"/>
        <w:rPr>
          <w:sz w:val="18"/>
          <w:szCs w:val="18"/>
        </w:rPr>
      </w:pPr>
      <w:proofErr w:type="gramStart"/>
      <w:r w:rsidRPr="001E7DB5">
        <w:rPr>
          <w:sz w:val="18"/>
          <w:szCs w:val="18"/>
        </w:rPr>
        <w:t>pc</w:t>
      </w:r>
      <w:proofErr w:type="gramEnd"/>
      <w:r w:rsidR="00011255" w:rsidRPr="001E7DB5">
        <w:rPr>
          <w:sz w:val="18"/>
          <w:szCs w:val="18"/>
        </w:rPr>
        <w:t>:</w:t>
      </w:r>
      <w:r w:rsidR="00D336A9">
        <w:rPr>
          <w:sz w:val="18"/>
          <w:szCs w:val="18"/>
        </w:rPr>
        <w:t xml:space="preserve"> Lynne Kennedy, City of Gresham; Sarah Prowell, Prowell Environmental; Bruce Gilles, DEQ-NWR</w:t>
      </w:r>
      <w:r w:rsidR="00011255" w:rsidRPr="001E7DB5">
        <w:rPr>
          <w:sz w:val="18"/>
          <w:szCs w:val="18"/>
        </w:rPr>
        <w:tab/>
      </w:r>
    </w:p>
    <w:sectPr w:rsidR="00011255" w:rsidRPr="001E7DB5" w:rsidSect="00441CE9">
      <w:headerReference w:type="default" r:id="rId8"/>
      <w:footerReference w:type="default" r:id="rId9"/>
      <w:pgSz w:w="12240" w:h="15840"/>
      <w:pgMar w:top="1980" w:right="1440" w:bottom="1440" w:left="1440" w:header="90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137" w:rsidRDefault="00663137">
      <w:r>
        <w:separator/>
      </w:r>
    </w:p>
  </w:endnote>
  <w:endnote w:type="continuationSeparator" w:id="0">
    <w:p w:rsidR="00663137" w:rsidRDefault="006631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137" w:rsidRDefault="00663137" w:rsidP="00127002">
    <w:pPr>
      <w:pStyle w:val="Footer"/>
      <w:rPr>
        <w:sz w:val="18"/>
        <w:szCs w:val="18"/>
      </w:rPr>
    </w:pPr>
    <w:r w:rsidRPr="0083723E">
      <w:rPr>
        <w:noProof/>
      </w:rPr>
      <w:pict>
        <v:shapetype id="_x0000_t202" coordsize="21600,21600" o:spt="202" path="m,l,21600r21600,l21600,xe">
          <v:stroke joinstyle="miter"/>
          <v:path gradientshapeok="t" o:connecttype="rect"/>
        </v:shapetype>
        <v:shape id="_x0000_s2049" type="#_x0000_t202" style="position:absolute;margin-left:462.9pt;margin-top:-8.1pt;width:36pt;height:36pt;z-index:251657728" filled="f" stroked="f">
          <v:textbox>
            <w:txbxContent>
              <w:p w:rsidR="00663137" w:rsidRDefault="00663137">
                <w:pPr>
                  <w:pStyle w:val="Header"/>
                  <w:tabs>
                    <w:tab w:val="clear" w:pos="4320"/>
                    <w:tab w:val="clear" w:pos="8640"/>
                  </w:tabs>
                  <w:rPr>
                    <w:sz w:val="13"/>
                  </w:rPr>
                </w:pPr>
                <w:r>
                  <w:rPr>
                    <w:noProof/>
                    <w:sz w:val="13"/>
                  </w:rPr>
                  <w:drawing>
                    <wp:inline distT="0" distB="0" distL="0" distR="0">
                      <wp:extent cx="266700" cy="266700"/>
                      <wp:effectExtent l="19050" t="0" r="0" b="0"/>
                      <wp:docPr id="1" name="Picture 1" descr="Recycle12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12299"/>
                              <pic:cNvPicPr>
                                <a:picLocks noChangeAspect="1" noChangeArrowheads="1"/>
                              </pic:cNvPicPr>
                            </pic:nvPicPr>
                            <pic:blipFill>
                              <a:blip r:embed="rId1">
                                <a:lum bright="60000" contrast="-80000"/>
                              </a:blip>
                              <a:srcRect/>
                              <a:stretch>
                                <a:fillRect/>
                              </a:stretch>
                            </pic:blipFill>
                            <pic:spPr bwMode="auto">
                              <a:xfrm>
                                <a:off x="0" y="0"/>
                                <a:ext cx="266700" cy="266700"/>
                              </a:xfrm>
                              <a:prstGeom prst="rect">
                                <a:avLst/>
                              </a:prstGeom>
                              <a:noFill/>
                              <a:ln w="9525">
                                <a:noFill/>
                                <a:miter lim="800000"/>
                                <a:headEnd/>
                                <a:tailEnd/>
                              </a:ln>
                            </pic:spPr>
                          </pic:pic>
                        </a:graphicData>
                      </a:graphic>
                    </wp:inline>
                  </w:drawing>
                </w:r>
              </w:p>
              <w:p w:rsidR="00663137" w:rsidRDefault="00663137">
                <w:pPr>
                  <w:pStyle w:val="Header"/>
                  <w:tabs>
                    <w:tab w:val="clear" w:pos="4320"/>
                    <w:tab w:val="clear" w:pos="8640"/>
                  </w:tabs>
                  <w:rPr>
                    <w:color w:val="008000"/>
                    <w:sz w:val="10"/>
                  </w:rPr>
                </w:pPr>
                <w:r>
                  <w:rPr>
                    <w:color w:val="008000"/>
                    <w:sz w:val="10"/>
                  </w:rPr>
                  <w:t>DEQ-DC1</w:t>
                </w:r>
              </w:p>
            </w:txbxContent>
          </v:textbox>
        </v:shape>
      </w:pict>
    </w:r>
    <w:r w:rsidR="00CF1B26">
      <w:rPr>
        <w:noProof/>
      </w:rPr>
      <w:t>Resumption of Cascade Discharge to Stormwater</w:t>
    </w:r>
  </w:p>
  <w:p w:rsidR="00663137" w:rsidRDefault="00663137" w:rsidP="00127002">
    <w:pPr>
      <w:pStyle w:val="Footer"/>
    </w:pPr>
    <w:r w:rsidRPr="00127002">
      <w:rPr>
        <w:sz w:val="18"/>
        <w:szCs w:val="18"/>
      </w:rPr>
      <w:t xml:space="preserve">Page </w:t>
    </w:r>
    <w:r w:rsidRPr="00127002">
      <w:rPr>
        <w:sz w:val="18"/>
        <w:szCs w:val="18"/>
      </w:rPr>
      <w:fldChar w:fldCharType="begin"/>
    </w:r>
    <w:r w:rsidRPr="00127002">
      <w:rPr>
        <w:sz w:val="18"/>
        <w:szCs w:val="18"/>
      </w:rPr>
      <w:instrText xml:space="preserve"> PAGE </w:instrText>
    </w:r>
    <w:r w:rsidRPr="00127002">
      <w:rPr>
        <w:sz w:val="18"/>
        <w:szCs w:val="18"/>
      </w:rPr>
      <w:fldChar w:fldCharType="separate"/>
    </w:r>
    <w:r w:rsidR="003B6F4B">
      <w:rPr>
        <w:noProof/>
        <w:sz w:val="18"/>
        <w:szCs w:val="18"/>
      </w:rPr>
      <w:t>1</w:t>
    </w:r>
    <w:r w:rsidRPr="00127002">
      <w:rPr>
        <w:sz w:val="18"/>
        <w:szCs w:val="18"/>
      </w:rPr>
      <w:fldChar w:fldCharType="end"/>
    </w:r>
    <w:r w:rsidRPr="00127002">
      <w:rPr>
        <w:sz w:val="18"/>
        <w:szCs w:val="18"/>
      </w:rPr>
      <w:t xml:space="preserve"> of </w:t>
    </w:r>
    <w:r w:rsidRPr="00127002">
      <w:rPr>
        <w:sz w:val="18"/>
        <w:szCs w:val="18"/>
      </w:rPr>
      <w:fldChar w:fldCharType="begin"/>
    </w:r>
    <w:r w:rsidRPr="00127002">
      <w:rPr>
        <w:sz w:val="18"/>
        <w:szCs w:val="18"/>
      </w:rPr>
      <w:instrText xml:space="preserve"> NUMPAGES </w:instrText>
    </w:r>
    <w:r w:rsidRPr="00127002">
      <w:rPr>
        <w:sz w:val="18"/>
        <w:szCs w:val="18"/>
      </w:rPr>
      <w:fldChar w:fldCharType="separate"/>
    </w:r>
    <w:r w:rsidR="003B6F4B">
      <w:rPr>
        <w:noProof/>
        <w:sz w:val="18"/>
        <w:szCs w:val="18"/>
      </w:rPr>
      <w:t>2</w:t>
    </w:r>
    <w:r w:rsidRPr="00127002">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137" w:rsidRDefault="00663137">
      <w:r>
        <w:separator/>
      </w:r>
    </w:p>
  </w:footnote>
  <w:footnote w:type="continuationSeparator" w:id="0">
    <w:p w:rsidR="00663137" w:rsidRDefault="006631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137" w:rsidRDefault="00663137">
    <w:pPr>
      <w:pStyle w:val="Header"/>
      <w:tabs>
        <w:tab w:val="left" w:pos="5760"/>
      </w:tabs>
      <w:jc w:val="right"/>
    </w:pPr>
  </w:p>
  <w:p w:rsidR="00663137" w:rsidRDefault="00663137">
    <w:pPr>
      <w:pStyle w:val="Header"/>
      <w:tabs>
        <w:tab w:val="left" w:pos="5760"/>
      </w:tabs>
      <w:rPr>
        <w:sz w:val="24"/>
      </w:rPr>
    </w:pPr>
    <w:r>
      <w:rPr>
        <w:sz w:val="52"/>
      </w:rPr>
      <w:tab/>
    </w:r>
    <w:r>
      <w:rPr>
        <w:sz w:val="5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B1F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94A61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DC6D7C"/>
    <w:rsid w:val="00011255"/>
    <w:rsid w:val="00011782"/>
    <w:rsid w:val="000356CD"/>
    <w:rsid w:val="000419FE"/>
    <w:rsid w:val="00050DB0"/>
    <w:rsid w:val="000635E0"/>
    <w:rsid w:val="00094508"/>
    <w:rsid w:val="000B7FAF"/>
    <w:rsid w:val="000E5F29"/>
    <w:rsid w:val="00127002"/>
    <w:rsid w:val="00137676"/>
    <w:rsid w:val="00143EFA"/>
    <w:rsid w:val="001C4A0C"/>
    <w:rsid w:val="001D3082"/>
    <w:rsid w:val="001E7DB5"/>
    <w:rsid w:val="00271A7E"/>
    <w:rsid w:val="002A3C8A"/>
    <w:rsid w:val="002F2F3F"/>
    <w:rsid w:val="00343C46"/>
    <w:rsid w:val="00351F31"/>
    <w:rsid w:val="00354BD7"/>
    <w:rsid w:val="003647F7"/>
    <w:rsid w:val="003871F6"/>
    <w:rsid w:val="00392C83"/>
    <w:rsid w:val="003B6F4B"/>
    <w:rsid w:val="00441CE9"/>
    <w:rsid w:val="00460813"/>
    <w:rsid w:val="004A541A"/>
    <w:rsid w:val="00561590"/>
    <w:rsid w:val="005755CC"/>
    <w:rsid w:val="005B0E9D"/>
    <w:rsid w:val="00603286"/>
    <w:rsid w:val="00652D09"/>
    <w:rsid w:val="00663137"/>
    <w:rsid w:val="006C467F"/>
    <w:rsid w:val="00780ED8"/>
    <w:rsid w:val="00797E8E"/>
    <w:rsid w:val="007E6113"/>
    <w:rsid w:val="0083723E"/>
    <w:rsid w:val="00844F9C"/>
    <w:rsid w:val="00897718"/>
    <w:rsid w:val="0095419E"/>
    <w:rsid w:val="009E4A2A"/>
    <w:rsid w:val="00A335D9"/>
    <w:rsid w:val="00A479A3"/>
    <w:rsid w:val="00AD7D53"/>
    <w:rsid w:val="00AF1150"/>
    <w:rsid w:val="00B23F57"/>
    <w:rsid w:val="00CE5FEE"/>
    <w:rsid w:val="00CF1B26"/>
    <w:rsid w:val="00D179F1"/>
    <w:rsid w:val="00D336A9"/>
    <w:rsid w:val="00DC6D7C"/>
    <w:rsid w:val="00DD0094"/>
    <w:rsid w:val="00E67B3A"/>
    <w:rsid w:val="00E73973"/>
    <w:rsid w:val="00E7510A"/>
    <w:rsid w:val="00EC52E7"/>
    <w:rsid w:val="00F03156"/>
    <w:rsid w:val="00FE0F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PersonNam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C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1CE9"/>
    <w:pPr>
      <w:tabs>
        <w:tab w:val="center" w:pos="4320"/>
        <w:tab w:val="right" w:pos="8640"/>
      </w:tabs>
    </w:pPr>
  </w:style>
  <w:style w:type="paragraph" w:styleId="Footer">
    <w:name w:val="footer"/>
    <w:basedOn w:val="Normal"/>
    <w:rsid w:val="00441CE9"/>
    <w:pPr>
      <w:tabs>
        <w:tab w:val="center" w:pos="4320"/>
        <w:tab w:val="right" w:pos="8640"/>
      </w:tabs>
    </w:pPr>
  </w:style>
  <w:style w:type="character" w:styleId="Hyperlink">
    <w:name w:val="Hyperlink"/>
    <w:basedOn w:val="DefaultParagraphFont"/>
    <w:rsid w:val="00CE5FEE"/>
    <w:rPr>
      <w:color w:val="0000FF"/>
      <w:u w:val="single"/>
    </w:rPr>
  </w:style>
  <w:style w:type="paragraph" w:styleId="BalloonText">
    <w:name w:val="Balloon Text"/>
    <w:basedOn w:val="Normal"/>
    <w:semiHidden/>
    <w:rsid w:val="002F2F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927</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Department of Environmental Quality</vt:lpstr>
    </vt:vector>
  </TitlesOfParts>
  <Company>State of Oregon</Company>
  <LinksUpToDate>false</LinksUpToDate>
  <CharactersWithSpaces>5983</CharactersWithSpaces>
  <SharedDoc>false</SharedDoc>
  <HLinks>
    <vt:vector size="6" baseType="variant">
      <vt:variant>
        <vt:i4>5046388</vt:i4>
      </vt:variant>
      <vt:variant>
        <vt:i4>0</vt:i4>
      </vt:variant>
      <vt:variant>
        <vt:i4>0</vt:i4>
      </vt:variant>
      <vt:variant>
        <vt:i4>5</vt:i4>
      </vt:variant>
      <vt:variant>
        <vt:lpwstr>mailto:kent.mavis.d@deq.state.or.us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Quality</dc:title>
  <dc:subject/>
  <dc:creator>mkent</dc:creator>
  <cp:keywords/>
  <cp:lastModifiedBy>mkent</cp:lastModifiedBy>
  <cp:revision>4</cp:revision>
  <cp:lastPrinted>2010-06-21T19:12:00Z</cp:lastPrinted>
  <dcterms:created xsi:type="dcterms:W3CDTF">2010-06-03T18:34:00Z</dcterms:created>
  <dcterms:modified xsi:type="dcterms:W3CDTF">2010-06-21T19:12:00Z</dcterms:modified>
</cp:coreProperties>
</file>