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F7" w:rsidRDefault="003647F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43.25pt;margin-top:-63pt;width:3in;height:86.4pt;z-index:251659776" o:allowincell="f" filled="f" stroked="f">
            <v:textbox>
              <w:txbxContent>
                <w:p w:rsidR="00F31C01" w:rsidRPr="003871F6" w:rsidRDefault="00F31C01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b/>
                      <w:color w:val="333399"/>
                      <w:sz w:val="24"/>
                    </w:rPr>
                  </w:pPr>
                  <w:r w:rsidRPr="003871F6">
                    <w:rPr>
                      <w:b/>
                      <w:color w:val="333399"/>
                      <w:sz w:val="24"/>
                    </w:rPr>
                    <w:t>Department of Environmental Quality</w:t>
                  </w:r>
                </w:p>
                <w:p w:rsidR="00F31C01" w:rsidRDefault="00F31C01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b/>
                      <w:color w:val="333399"/>
                      <w:sz w:val="18"/>
                    </w:rPr>
                  </w:pPr>
                  <w:bookmarkStart w:id="0" w:name="OLE_LINK1"/>
                  <w:r w:rsidRPr="00780ED8">
                    <w:rPr>
                      <w:b/>
                      <w:color w:val="333399"/>
                      <w:sz w:val="18"/>
                    </w:rPr>
                    <w:t>Northwest Region-Eastside Office</w:t>
                  </w:r>
                </w:p>
                <w:p w:rsidR="00F31C01" w:rsidRPr="00780ED8" w:rsidRDefault="00F31C01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color w:val="333399"/>
                      <w:sz w:val="18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780ED8">
                        <w:rPr>
                          <w:color w:val="333399"/>
                          <w:sz w:val="18"/>
                        </w:rPr>
                        <w:t>1550 NW Eastman Parkway, Suite 290</w:t>
                      </w:r>
                    </w:smartTag>
                  </w:smartTag>
                </w:p>
                <w:p w:rsidR="00F31C01" w:rsidRPr="003871F6" w:rsidRDefault="00F31C01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color w:val="333399"/>
                      <w:sz w:val="18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color w:val="333399"/>
                          <w:sz w:val="18"/>
                        </w:rPr>
                        <w:t>Gresham</w:t>
                      </w:r>
                    </w:smartTag>
                    <w:r w:rsidRPr="003871F6">
                      <w:rPr>
                        <w:color w:val="333399"/>
                        <w:sz w:val="18"/>
                      </w:rPr>
                      <w:t xml:space="preserve">, </w:t>
                    </w:r>
                    <w:smartTag w:uri="urn:schemas-microsoft-com:office:smarttags" w:element="State">
                      <w:r w:rsidRPr="003871F6">
                        <w:rPr>
                          <w:color w:val="333399"/>
                          <w:sz w:val="18"/>
                        </w:rPr>
                        <w:t>OR</w:t>
                      </w:r>
                    </w:smartTag>
                    <w:r w:rsidRPr="003871F6">
                      <w:rPr>
                        <w:color w:val="333399"/>
                        <w:sz w:val="18"/>
                      </w:rPr>
                      <w:t xml:space="preserve">  </w:t>
                    </w:r>
                    <w:smartTag w:uri="urn:schemas-microsoft-com:office:smarttags" w:element="PostalCode">
                      <w:r w:rsidRPr="003871F6">
                        <w:rPr>
                          <w:color w:val="333399"/>
                          <w:sz w:val="18"/>
                        </w:rPr>
                        <w:t>970</w:t>
                      </w:r>
                      <w:r>
                        <w:rPr>
                          <w:color w:val="333399"/>
                          <w:sz w:val="18"/>
                        </w:rPr>
                        <w:t>30-3832</w:t>
                      </w:r>
                    </w:smartTag>
                  </w:smartTag>
                </w:p>
                <w:p w:rsidR="00F31C01" w:rsidRPr="003871F6" w:rsidRDefault="00F31C01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color w:val="333399"/>
                    </w:rPr>
                  </w:pPr>
                  <w:r w:rsidRPr="003871F6">
                    <w:rPr>
                      <w:color w:val="333399"/>
                    </w:rPr>
                    <w:t xml:space="preserve">(503) </w:t>
                  </w:r>
                  <w:r>
                    <w:rPr>
                      <w:color w:val="333399"/>
                    </w:rPr>
                    <w:t>667</w:t>
                  </w:r>
                  <w:r w:rsidRPr="003871F6">
                    <w:rPr>
                      <w:color w:val="333399"/>
                    </w:rPr>
                    <w:t>-</w:t>
                  </w:r>
                  <w:r>
                    <w:rPr>
                      <w:color w:val="333399"/>
                    </w:rPr>
                    <w:t>8414</w:t>
                  </w:r>
                </w:p>
                <w:p w:rsidR="00F31C01" w:rsidRPr="003871F6" w:rsidRDefault="00F31C01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color w:val="333399"/>
                      <w:sz w:val="18"/>
                    </w:rPr>
                  </w:pPr>
                  <w:r w:rsidRPr="003871F6">
                    <w:rPr>
                      <w:color w:val="333399"/>
                      <w:sz w:val="18"/>
                    </w:rPr>
                    <w:t>FAX (503)</w:t>
                  </w:r>
                  <w:r>
                    <w:rPr>
                      <w:color w:val="333399"/>
                      <w:sz w:val="18"/>
                    </w:rPr>
                    <w:t>674</w:t>
                  </w:r>
                  <w:r w:rsidRPr="003871F6">
                    <w:rPr>
                      <w:color w:val="333399"/>
                      <w:sz w:val="18"/>
                    </w:rPr>
                    <w:t>-</w:t>
                  </w:r>
                  <w:r>
                    <w:rPr>
                      <w:color w:val="333399"/>
                      <w:sz w:val="18"/>
                    </w:rPr>
                    <w:t>5</w:t>
                  </w:r>
                  <w:r w:rsidRPr="003871F6">
                    <w:rPr>
                      <w:color w:val="333399"/>
                      <w:sz w:val="18"/>
                    </w:rPr>
                    <w:t>14</w:t>
                  </w:r>
                  <w:r>
                    <w:rPr>
                      <w:color w:val="333399"/>
                      <w:sz w:val="18"/>
                    </w:rPr>
                    <w:t>8</w:t>
                  </w:r>
                </w:p>
                <w:bookmarkEnd w:id="0"/>
                <w:p w:rsidR="00F31C01" w:rsidRPr="003871F6" w:rsidRDefault="00F31C01">
                  <w:pPr>
                    <w:jc w:val="right"/>
                    <w:rPr>
                      <w:color w:val="33339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_x0000_s1028" style="position:absolute;z-index:251657728" from="-15.95pt,-63pt" to="8.7pt,-63pt" o:allowincell="f" strokecolor="#339" strokeweight="1pt"/>
        </w:pict>
      </w:r>
      <w:r>
        <w:rPr>
          <w:noProof/>
        </w:rPr>
        <w:pict>
          <v:line id="_x0000_s1029" style="position:absolute;z-index:251658752" from="32.25pt,-63pt" to="457.05pt,-63pt" o:allowincell="f" strokecolor="#339" strokeweight="1pt"/>
        </w:pict>
      </w:r>
      <w:r>
        <w:rPr>
          <w:noProof/>
        </w:rPr>
        <w:pict>
          <v:shape id="_x0000_s1027" type="#_x0000_t202" style="position:absolute;margin-left:-5.25pt;margin-top:-84.6pt;width:148pt;height:1in;z-index:251656704" o:allowincell="f" filled="f" stroked="f">
            <v:textbox style="mso-next-textbox:#_x0000_s1027">
              <w:txbxContent>
                <w:p w:rsidR="00F31C01" w:rsidRPr="003871F6" w:rsidRDefault="00F31C01">
                  <w:pPr>
                    <w:tabs>
                      <w:tab w:val="left" w:pos="360"/>
                    </w:tabs>
                    <w:rPr>
                      <w:color w:val="333399"/>
                      <w:sz w:val="72"/>
                    </w:rPr>
                  </w:pPr>
                  <w:smartTag w:uri="urn:schemas-microsoft-com:office:smarttags" w:element="State">
                    <w:smartTag w:uri="urn:schemas-microsoft-com:office:smarttags" w:element="place">
                      <w:r w:rsidRPr="003871F6">
                        <w:rPr>
                          <w:color w:val="333399"/>
                          <w:sz w:val="96"/>
                        </w:rPr>
                        <w:t>O</w:t>
                      </w:r>
                      <w:r w:rsidRPr="003871F6">
                        <w:rPr>
                          <w:color w:val="333399"/>
                          <w:sz w:val="72"/>
                        </w:rPr>
                        <w:t>regon</w:t>
                      </w:r>
                    </w:smartTag>
                  </w:smartTag>
                </w:p>
                <w:p w:rsidR="00F31C01" w:rsidRPr="003871F6" w:rsidRDefault="00F31C01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color w:val="333399"/>
                      <w:sz w:val="14"/>
                    </w:rPr>
                  </w:pPr>
                  <w:r w:rsidRPr="003871F6">
                    <w:rPr>
                      <w:color w:val="333399"/>
                    </w:rPr>
                    <w:t xml:space="preserve">    </w:t>
                  </w:r>
                  <w:smartTag w:uri="urn:schemas-microsoft-com:office:smarttags" w:element="PersonName">
                    <w:smartTag w:uri="urn:schemas:contacts" w:element="GivenName">
                      <w:r w:rsidRPr="003871F6">
                        <w:rPr>
                          <w:bCs/>
                          <w:color w:val="333399"/>
                          <w:sz w:val="14"/>
                          <w:szCs w:val="14"/>
                        </w:rPr>
                        <w:t>Theodore</w:t>
                      </w:r>
                    </w:smartTag>
                    <w:r w:rsidRPr="003871F6">
                      <w:rPr>
                        <w:bCs/>
                        <w:color w:val="333399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smartTag w:uri="urn:schemas:contacts" w:element="Sn">
                      <w:r w:rsidRPr="003871F6">
                        <w:rPr>
                          <w:bCs/>
                          <w:color w:val="333399"/>
                          <w:sz w:val="14"/>
                          <w:szCs w:val="14"/>
                        </w:rPr>
                        <w:t>Kulongoski</w:t>
                      </w:r>
                    </w:smartTag>
                  </w:smartTag>
                  <w:proofErr w:type="spellEnd"/>
                  <w:r w:rsidRPr="003871F6">
                    <w:rPr>
                      <w:bCs/>
                      <w:color w:val="333399"/>
                      <w:sz w:val="14"/>
                      <w:szCs w:val="14"/>
                    </w:rPr>
                    <w:t>, Governor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50.4pt;margin-top:-77.4pt;width:93.35pt;height:84.5pt;z-index:251655680" o:allowincell="f" filled="f" stroked="f">
            <v:textbox style="mso-next-textbox:#_x0000_s1026">
              <w:txbxContent>
                <w:p w:rsidR="00F31C01" w:rsidRDefault="00F31C01">
                  <w:r>
                    <w:rPr>
                      <w:noProof/>
                    </w:rPr>
                    <w:drawing>
                      <wp:inline distT="0" distB="0" distL="0" distR="0">
                        <wp:extent cx="1003300" cy="970280"/>
                        <wp:effectExtent l="19050" t="0" r="6350" b="0"/>
                        <wp:docPr id="2" name="Picture 2" descr="ORSEAL_Blue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ORSEAL_Blu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3300" cy="970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3647F7" w:rsidRDefault="00F31C01" w:rsidP="00F31C01">
      <w:pPr>
        <w:spacing w:before="360" w:after="240"/>
        <w:rPr>
          <w:sz w:val="22"/>
          <w:szCs w:val="22"/>
        </w:rPr>
      </w:pPr>
      <w:r>
        <w:rPr>
          <w:sz w:val="22"/>
          <w:szCs w:val="22"/>
        </w:rPr>
        <w:t>October 6, 2009</w:t>
      </w:r>
    </w:p>
    <w:p w:rsidR="00F31C01" w:rsidRDefault="00F31C01" w:rsidP="00F31C01">
      <w:pPr>
        <w:spacing w:before="120"/>
        <w:rPr>
          <w:sz w:val="22"/>
          <w:szCs w:val="22"/>
        </w:rPr>
      </w:pPr>
      <w:r>
        <w:rPr>
          <w:sz w:val="22"/>
          <w:szCs w:val="22"/>
        </w:rPr>
        <w:t>Mr. John Cushing</w:t>
      </w:r>
    </w:p>
    <w:p w:rsidR="00F31C01" w:rsidRDefault="00F31C01">
      <w:pPr>
        <w:rPr>
          <w:sz w:val="22"/>
          <w:szCs w:val="22"/>
        </w:rPr>
      </w:pPr>
      <w:r>
        <w:rPr>
          <w:sz w:val="22"/>
          <w:szCs w:val="22"/>
        </w:rPr>
        <w:t>Cascade Corporation</w:t>
      </w:r>
    </w:p>
    <w:p w:rsidR="00F31C01" w:rsidRDefault="00F31C01">
      <w:pPr>
        <w:rPr>
          <w:sz w:val="22"/>
          <w:szCs w:val="22"/>
        </w:rPr>
      </w:pPr>
      <w:r>
        <w:rPr>
          <w:sz w:val="22"/>
          <w:szCs w:val="22"/>
        </w:rPr>
        <w:t>2201 NE 201</w:t>
      </w:r>
      <w:r w:rsidRPr="00F31C0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Avenue</w:t>
      </w:r>
    </w:p>
    <w:p w:rsidR="00F31C01" w:rsidRDefault="00F31C01" w:rsidP="00F31C01">
      <w:pPr>
        <w:spacing w:after="120"/>
        <w:rPr>
          <w:sz w:val="22"/>
          <w:szCs w:val="22"/>
        </w:rPr>
      </w:pPr>
      <w:r>
        <w:rPr>
          <w:sz w:val="22"/>
          <w:szCs w:val="22"/>
        </w:rPr>
        <w:t>Fairview OR 97024</w:t>
      </w:r>
    </w:p>
    <w:p w:rsidR="00F31C01" w:rsidRDefault="00F31C01" w:rsidP="00F31C01">
      <w:pPr>
        <w:spacing w:before="240" w:after="240"/>
        <w:ind w:left="4320"/>
        <w:rPr>
          <w:sz w:val="22"/>
          <w:szCs w:val="22"/>
        </w:rPr>
      </w:pPr>
      <w:r>
        <w:rPr>
          <w:sz w:val="22"/>
          <w:szCs w:val="22"/>
        </w:rPr>
        <w:t>RE: Approval for Well Decommissioning, Cascade Corporation Site, DEQ File ECSI #635</w:t>
      </w:r>
    </w:p>
    <w:p w:rsidR="00F31C01" w:rsidRDefault="00F31C01" w:rsidP="00F31C01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Dear Mr. Cushing:</w:t>
      </w:r>
    </w:p>
    <w:p w:rsidR="00F31C01" w:rsidRDefault="00F31C01" w:rsidP="00F31C01">
      <w:pPr>
        <w:rPr>
          <w:sz w:val="22"/>
          <w:szCs w:val="22"/>
        </w:rPr>
      </w:pPr>
      <w:r>
        <w:rPr>
          <w:sz w:val="22"/>
          <w:szCs w:val="22"/>
        </w:rPr>
        <w:t xml:space="preserve">The Department of Environmental Quality (DEQ) has reviewed the </w:t>
      </w:r>
      <w:r w:rsidR="007E6436">
        <w:rPr>
          <w:sz w:val="22"/>
          <w:szCs w:val="22"/>
        </w:rPr>
        <w:t xml:space="preserve">email submittal of </w:t>
      </w:r>
      <w:r>
        <w:rPr>
          <w:sz w:val="22"/>
          <w:szCs w:val="22"/>
        </w:rPr>
        <w:t xml:space="preserve">wells proposed for decommissioning presented </w:t>
      </w:r>
      <w:r w:rsidR="007E6436">
        <w:rPr>
          <w:sz w:val="22"/>
          <w:szCs w:val="22"/>
        </w:rPr>
        <w:t>submitted by</w:t>
      </w:r>
      <w:r>
        <w:rPr>
          <w:sz w:val="22"/>
          <w:szCs w:val="22"/>
        </w:rPr>
        <w:t xml:space="preserve"> your consultant</w:t>
      </w:r>
      <w:r w:rsidR="007E6436">
        <w:rPr>
          <w:sz w:val="22"/>
          <w:szCs w:val="22"/>
        </w:rPr>
        <w:t>,</w:t>
      </w:r>
      <w:r>
        <w:rPr>
          <w:sz w:val="22"/>
          <w:szCs w:val="22"/>
        </w:rPr>
        <w:t xml:space="preserve"> Prowell Environmental, </w:t>
      </w:r>
      <w:r w:rsidR="007E6436">
        <w:rPr>
          <w:sz w:val="22"/>
          <w:szCs w:val="22"/>
        </w:rPr>
        <w:t>on</w:t>
      </w:r>
      <w:r>
        <w:rPr>
          <w:sz w:val="22"/>
          <w:szCs w:val="22"/>
        </w:rPr>
        <w:t xml:space="preserve"> October 5, 2009. The email included a list of 50 wells that have either previously been approved for decommissioning by DEQ or clearly meet the well decommissioning criteria that have been </w:t>
      </w:r>
      <w:r w:rsidR="007E6436">
        <w:rPr>
          <w:sz w:val="22"/>
          <w:szCs w:val="22"/>
        </w:rPr>
        <w:t>developed</w:t>
      </w:r>
      <w:r>
        <w:rPr>
          <w:sz w:val="22"/>
          <w:szCs w:val="22"/>
        </w:rPr>
        <w:t xml:space="preserve"> for this site. The email also included maps showing locations of the wells and tables with well construction details.</w:t>
      </w:r>
    </w:p>
    <w:p w:rsidR="00F31C01" w:rsidRDefault="00F31C01" w:rsidP="00F31C01">
      <w:pPr>
        <w:rPr>
          <w:sz w:val="22"/>
          <w:szCs w:val="22"/>
        </w:rPr>
      </w:pPr>
    </w:p>
    <w:p w:rsidR="00F31C01" w:rsidRDefault="00F31C01" w:rsidP="00F31C01">
      <w:pPr>
        <w:rPr>
          <w:sz w:val="22"/>
          <w:szCs w:val="22"/>
        </w:rPr>
      </w:pPr>
      <w:r>
        <w:rPr>
          <w:sz w:val="22"/>
          <w:szCs w:val="22"/>
        </w:rPr>
        <w:t xml:space="preserve">DEQ agrees with the documentation for </w:t>
      </w:r>
      <w:r w:rsidR="007E6436">
        <w:rPr>
          <w:sz w:val="22"/>
          <w:szCs w:val="22"/>
        </w:rPr>
        <w:t xml:space="preserve">decommissioning </w:t>
      </w:r>
      <w:r>
        <w:rPr>
          <w:sz w:val="22"/>
          <w:szCs w:val="22"/>
        </w:rPr>
        <w:t xml:space="preserve">the 50 wells and your identified </w:t>
      </w:r>
      <w:r w:rsidR="007E6436">
        <w:rPr>
          <w:sz w:val="22"/>
          <w:szCs w:val="22"/>
        </w:rPr>
        <w:t xml:space="preserve">next </w:t>
      </w:r>
      <w:r>
        <w:rPr>
          <w:sz w:val="22"/>
          <w:szCs w:val="22"/>
        </w:rPr>
        <w:t>step to contact the Oregon Water Resource Department to determine other requirements they may have for well decommissioning. I understand that once you have sufficient information you will prepare bid specifications and proceed to select a contractor</w:t>
      </w:r>
      <w:r w:rsidR="007E6436">
        <w:rPr>
          <w:sz w:val="22"/>
          <w:szCs w:val="22"/>
        </w:rPr>
        <w:t xml:space="preserve"> for the decommissioning. Based on discussion today during our project meeting, you anticipate beginning the decommissioning work before the end of 2009.</w:t>
      </w:r>
    </w:p>
    <w:p w:rsidR="007E6436" w:rsidRDefault="007E6436" w:rsidP="00F31C01">
      <w:pPr>
        <w:rPr>
          <w:sz w:val="22"/>
          <w:szCs w:val="22"/>
        </w:rPr>
      </w:pPr>
    </w:p>
    <w:p w:rsidR="007E6436" w:rsidRDefault="007E6436" w:rsidP="00F31C01">
      <w:pPr>
        <w:rPr>
          <w:sz w:val="22"/>
          <w:szCs w:val="22"/>
        </w:rPr>
      </w:pPr>
      <w:r>
        <w:rPr>
          <w:sz w:val="22"/>
          <w:szCs w:val="22"/>
        </w:rPr>
        <w:t xml:space="preserve">Once the decommissioning work is completed, please provide DEQ with a summary of the work for the site file. If you need any further information you can contact me at 503-667-8414 x55008 or by email at </w:t>
      </w:r>
      <w:hyperlink r:id="rId7" w:history="1">
        <w:r w:rsidRPr="006B3CC0">
          <w:rPr>
            <w:rStyle w:val="Hyperlink"/>
            <w:sz w:val="22"/>
            <w:szCs w:val="22"/>
          </w:rPr>
          <w:t>kent.mavis.d@deq.state.or.us</w:t>
        </w:r>
      </w:hyperlink>
      <w:r>
        <w:rPr>
          <w:sz w:val="22"/>
          <w:szCs w:val="22"/>
        </w:rPr>
        <w:t xml:space="preserve"> . </w:t>
      </w:r>
    </w:p>
    <w:p w:rsidR="007E6436" w:rsidRDefault="007E6436" w:rsidP="00F31C01">
      <w:pPr>
        <w:rPr>
          <w:sz w:val="22"/>
          <w:szCs w:val="22"/>
        </w:rPr>
      </w:pPr>
    </w:p>
    <w:p w:rsidR="007E6436" w:rsidRDefault="007E6436" w:rsidP="00F31C01">
      <w:pPr>
        <w:rPr>
          <w:sz w:val="22"/>
          <w:szCs w:val="22"/>
        </w:rPr>
      </w:pPr>
      <w:r>
        <w:rPr>
          <w:sz w:val="22"/>
          <w:szCs w:val="22"/>
        </w:rPr>
        <w:t>Sincerely,</w:t>
      </w:r>
    </w:p>
    <w:p w:rsidR="007E6436" w:rsidRDefault="007E6436" w:rsidP="00F31C01">
      <w:pPr>
        <w:rPr>
          <w:sz w:val="22"/>
          <w:szCs w:val="22"/>
        </w:rPr>
      </w:pPr>
    </w:p>
    <w:p w:rsidR="007E6436" w:rsidRDefault="007E6436" w:rsidP="00F31C01">
      <w:pPr>
        <w:rPr>
          <w:sz w:val="22"/>
          <w:szCs w:val="22"/>
        </w:rPr>
      </w:pPr>
    </w:p>
    <w:p w:rsidR="007E6436" w:rsidRDefault="007E6436" w:rsidP="00F31C01">
      <w:pPr>
        <w:rPr>
          <w:sz w:val="22"/>
          <w:szCs w:val="22"/>
        </w:rPr>
      </w:pPr>
    </w:p>
    <w:p w:rsidR="007E6436" w:rsidRDefault="007E6436" w:rsidP="00F31C01">
      <w:pPr>
        <w:rPr>
          <w:sz w:val="22"/>
          <w:szCs w:val="22"/>
        </w:rPr>
      </w:pPr>
    </w:p>
    <w:p w:rsidR="007E6436" w:rsidRDefault="007E6436" w:rsidP="00F31C01">
      <w:pPr>
        <w:rPr>
          <w:sz w:val="22"/>
          <w:szCs w:val="22"/>
        </w:rPr>
      </w:pPr>
      <w:r>
        <w:rPr>
          <w:sz w:val="22"/>
          <w:szCs w:val="22"/>
        </w:rPr>
        <w:t>Mavis D. Kent</w:t>
      </w:r>
    </w:p>
    <w:p w:rsidR="007E6436" w:rsidRDefault="007E6436" w:rsidP="00F31C01">
      <w:pPr>
        <w:rPr>
          <w:sz w:val="22"/>
          <w:szCs w:val="22"/>
        </w:rPr>
      </w:pPr>
      <w:r>
        <w:rPr>
          <w:sz w:val="22"/>
          <w:szCs w:val="22"/>
        </w:rPr>
        <w:t>DEQ Project Manager</w:t>
      </w:r>
    </w:p>
    <w:p w:rsidR="007E6436" w:rsidRDefault="007E6436" w:rsidP="00F31C01">
      <w:pPr>
        <w:rPr>
          <w:sz w:val="22"/>
          <w:szCs w:val="22"/>
        </w:rPr>
      </w:pPr>
    </w:p>
    <w:p w:rsidR="007E6436" w:rsidRDefault="007E6436" w:rsidP="00F31C01">
      <w:pPr>
        <w:rPr>
          <w:sz w:val="22"/>
          <w:szCs w:val="22"/>
        </w:rPr>
      </w:pPr>
    </w:p>
    <w:p w:rsidR="007E6436" w:rsidRPr="007E6436" w:rsidRDefault="007E6436" w:rsidP="00F31C01">
      <w:pPr>
        <w:rPr>
          <w:sz w:val="18"/>
          <w:szCs w:val="18"/>
        </w:rPr>
      </w:pPr>
      <w:proofErr w:type="gramStart"/>
      <w:r w:rsidRPr="007E6436">
        <w:rPr>
          <w:sz w:val="18"/>
          <w:szCs w:val="18"/>
        </w:rPr>
        <w:t>pc</w:t>
      </w:r>
      <w:proofErr w:type="gramEnd"/>
      <w:r w:rsidRPr="007E6436">
        <w:rPr>
          <w:sz w:val="18"/>
          <w:szCs w:val="18"/>
        </w:rPr>
        <w:t>: Sarah Prowell; Bruce Gilles, DEQ-NWR</w:t>
      </w:r>
    </w:p>
    <w:sectPr w:rsidR="007E6436" w:rsidRPr="007E6436">
      <w:headerReference w:type="default" r:id="rId8"/>
      <w:footerReference w:type="default" r:id="rId9"/>
      <w:pgSz w:w="12240" w:h="15840"/>
      <w:pgMar w:top="1980" w:right="1440" w:bottom="1440" w:left="1440" w:header="90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C01" w:rsidRDefault="00F31C01">
      <w:r>
        <w:separator/>
      </w:r>
    </w:p>
  </w:endnote>
  <w:endnote w:type="continuationSeparator" w:id="1">
    <w:p w:rsidR="00F31C01" w:rsidRDefault="00F31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C01" w:rsidRDefault="00F31C01">
    <w:pPr>
      <w:pStyle w:val="Footer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62.9pt;margin-top:-8.1pt;width:36pt;height:36pt;z-index:251657728" filled="f" stroked="f">
          <v:textbox>
            <w:txbxContent>
              <w:p w:rsidR="00F31C01" w:rsidRDefault="00F31C01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sz w:val="13"/>
                  </w:rPr>
                </w:pPr>
                <w:r>
                  <w:rPr>
                    <w:noProof/>
                    <w:sz w:val="13"/>
                  </w:rPr>
                  <w:drawing>
                    <wp:inline distT="0" distB="0" distL="0" distR="0">
                      <wp:extent cx="267335" cy="267335"/>
                      <wp:effectExtent l="19050" t="0" r="0" b="0"/>
                      <wp:docPr id="1" name="Picture 1" descr="Recycle1229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Recycle1229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lum bright="60000" contrast="-80000"/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7335" cy="2673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31C01" w:rsidRDefault="00F31C01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color w:val="008000"/>
                    <w:sz w:val="10"/>
                  </w:rPr>
                </w:pPr>
                <w:r>
                  <w:rPr>
                    <w:color w:val="008000"/>
                    <w:sz w:val="10"/>
                  </w:rPr>
                  <w:t>DEQ-DC1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C01" w:rsidRDefault="00F31C01">
      <w:r>
        <w:separator/>
      </w:r>
    </w:p>
  </w:footnote>
  <w:footnote w:type="continuationSeparator" w:id="1">
    <w:p w:rsidR="00F31C01" w:rsidRDefault="00F31C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C01" w:rsidRDefault="00F31C01">
    <w:pPr>
      <w:pStyle w:val="Header"/>
      <w:tabs>
        <w:tab w:val="left" w:pos="5760"/>
      </w:tabs>
      <w:jc w:val="right"/>
    </w:pPr>
  </w:p>
  <w:p w:rsidR="00F31C01" w:rsidRDefault="00F31C01">
    <w:pPr>
      <w:pStyle w:val="Header"/>
      <w:tabs>
        <w:tab w:val="left" w:pos="5760"/>
      </w:tabs>
      <w:rPr>
        <w:sz w:val="24"/>
      </w:rPr>
    </w:pPr>
    <w:r>
      <w:rPr>
        <w:sz w:val="52"/>
      </w:rPr>
      <w:tab/>
    </w:r>
    <w:r>
      <w:rPr>
        <w:sz w:val="52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6D7C"/>
    <w:rsid w:val="00050DB0"/>
    <w:rsid w:val="000635E0"/>
    <w:rsid w:val="00086694"/>
    <w:rsid w:val="00094508"/>
    <w:rsid w:val="00271A7E"/>
    <w:rsid w:val="003647F7"/>
    <w:rsid w:val="003871F6"/>
    <w:rsid w:val="005755CC"/>
    <w:rsid w:val="00603286"/>
    <w:rsid w:val="00780ED8"/>
    <w:rsid w:val="00797E8E"/>
    <w:rsid w:val="007E6436"/>
    <w:rsid w:val="00897718"/>
    <w:rsid w:val="008C2756"/>
    <w:rsid w:val="009E4A2A"/>
    <w:rsid w:val="00A335D9"/>
    <w:rsid w:val="00B23F57"/>
    <w:rsid w:val="00DC6D7C"/>
    <w:rsid w:val="00F31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:contacts" w:name="S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C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64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ent.mavis.d@deq.state.or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nwr1\templates\DEQ%20-%20Letterheads\NWR-Gresham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NWR-Gresham_Letterhead.dot</Template>
  <TotalTime>21</TotalTime>
  <Pages>1</Pages>
  <Words>229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Environmental Quality</vt:lpstr>
    </vt:vector>
  </TitlesOfParts>
  <Company>State of Oregon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Environmental Quality</dc:title>
  <dc:subject/>
  <dc:creator>mkent</dc:creator>
  <cp:keywords/>
  <cp:lastModifiedBy>mkent</cp:lastModifiedBy>
  <cp:revision>3</cp:revision>
  <cp:lastPrinted>2002-12-02T16:18:00Z</cp:lastPrinted>
  <dcterms:created xsi:type="dcterms:W3CDTF">2009-10-06T21:19:00Z</dcterms:created>
  <dcterms:modified xsi:type="dcterms:W3CDTF">2009-10-06T21:39:00Z</dcterms:modified>
</cp:coreProperties>
</file>