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6548" w14:textId="7389A447" w:rsidR="00B45A68" w:rsidRPr="008025EF" w:rsidRDefault="00EE6EF5" w:rsidP="00B45A68">
      <w:pPr>
        <w:pStyle w:val="Heading1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October 4, 2025</w:t>
      </w:r>
    </w:p>
    <w:p w14:paraId="5046591E" w14:textId="77777777" w:rsidR="00B45A68" w:rsidRPr="008025EF" w:rsidRDefault="00B45A68" w:rsidP="00B45A68">
      <w:pPr>
        <w:spacing w:line="264" w:lineRule="auto"/>
        <w:rPr>
          <w:sz w:val="22"/>
          <w:szCs w:val="22"/>
        </w:rPr>
      </w:pPr>
    </w:p>
    <w:p w14:paraId="35D5A532" w14:textId="29271E11" w:rsidR="00B45A68" w:rsidRPr="008025EF" w:rsidRDefault="00D013FF" w:rsidP="00B45A68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Banks School District</w:t>
      </w:r>
    </w:p>
    <w:p w14:paraId="69E0912D" w14:textId="3072251A" w:rsidR="00B45A68" w:rsidRDefault="00D013FF" w:rsidP="00B45A68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13050 NW Main Street</w:t>
      </w:r>
    </w:p>
    <w:p w14:paraId="532FD7F4" w14:textId="2D657ADC" w:rsidR="00D013FF" w:rsidRPr="008025EF" w:rsidRDefault="00D013FF" w:rsidP="00B45A68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Banks, Oregon, 97103</w:t>
      </w:r>
    </w:p>
    <w:p w14:paraId="672E48EE" w14:textId="77777777" w:rsidR="00B45A68" w:rsidRPr="008025EF" w:rsidRDefault="00B45A68" w:rsidP="00B45A68">
      <w:pPr>
        <w:rPr>
          <w:sz w:val="22"/>
          <w:szCs w:val="22"/>
        </w:rPr>
      </w:pPr>
    </w:p>
    <w:p w14:paraId="75B0CDA4" w14:textId="2B86D564" w:rsidR="00B45A68" w:rsidRDefault="00B45A68" w:rsidP="00B45A68">
      <w:pPr>
        <w:ind w:left="720" w:hanging="720"/>
        <w:rPr>
          <w:sz w:val="22"/>
          <w:szCs w:val="22"/>
        </w:rPr>
      </w:pPr>
      <w:r w:rsidRPr="008025EF">
        <w:rPr>
          <w:sz w:val="22"/>
          <w:szCs w:val="22"/>
        </w:rPr>
        <w:t>RE:</w:t>
      </w:r>
      <w:r w:rsidRPr="008025EF">
        <w:rPr>
          <w:sz w:val="22"/>
          <w:szCs w:val="22"/>
        </w:rPr>
        <w:tab/>
        <w:t>No Further Action Determination</w:t>
      </w:r>
      <w:r w:rsidRPr="008025EF">
        <w:rPr>
          <w:sz w:val="22"/>
          <w:szCs w:val="22"/>
        </w:rPr>
        <w:br/>
        <w:t>for</w:t>
      </w:r>
      <w:r w:rsidR="00FB40E8">
        <w:rPr>
          <w:sz w:val="22"/>
          <w:szCs w:val="22"/>
        </w:rPr>
        <w:t xml:space="preserve"> Banks High School</w:t>
      </w:r>
    </w:p>
    <w:p w14:paraId="36353F46" w14:textId="6137150E" w:rsidR="00FB40E8" w:rsidRPr="008025EF" w:rsidRDefault="00FB40E8" w:rsidP="00B45A6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Banks, Oregon</w:t>
      </w:r>
    </w:p>
    <w:p w14:paraId="1ACDFE19" w14:textId="0B7A0879" w:rsidR="00B45A68" w:rsidRPr="008025EF" w:rsidRDefault="00FB40E8" w:rsidP="00B45A68">
      <w:pPr>
        <w:ind w:firstLine="720"/>
        <w:rPr>
          <w:sz w:val="22"/>
          <w:szCs w:val="22"/>
        </w:rPr>
      </w:pPr>
      <w:r>
        <w:rPr>
          <w:sz w:val="22"/>
          <w:szCs w:val="22"/>
        </w:rPr>
        <w:t>Leading Underground Storage Tank (LUST) Program No. 34-14-0891</w:t>
      </w:r>
    </w:p>
    <w:p w14:paraId="6B99BFC0" w14:textId="77777777" w:rsidR="00B45A68" w:rsidRPr="008025EF" w:rsidRDefault="00B45A68" w:rsidP="00B45A68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14:paraId="045E0B36" w14:textId="562291AD" w:rsidR="00B45A68" w:rsidRPr="008025EF" w:rsidRDefault="00EE6EF5" w:rsidP="00B45A68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To Whom it May Concer</w:t>
      </w:r>
      <w:r w:rsidR="00DC1885">
        <w:rPr>
          <w:sz w:val="22"/>
          <w:szCs w:val="22"/>
        </w:rPr>
        <w:t>n:</w:t>
      </w:r>
    </w:p>
    <w:p w14:paraId="26E0BDCE" w14:textId="77777777" w:rsidR="00B45A68" w:rsidRPr="008025EF" w:rsidRDefault="00B45A68" w:rsidP="00B45A68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14:paraId="16DE619A" w14:textId="03CFCFD9" w:rsidR="00B45A68" w:rsidRPr="008025EF" w:rsidRDefault="00B45A68" w:rsidP="00B45A6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025EF">
        <w:rPr>
          <w:sz w:val="22"/>
          <w:szCs w:val="22"/>
        </w:rPr>
        <w:t xml:space="preserve">The Oregon Department of Environmental Quality (DEQ) has completed a review of the available information </w:t>
      </w:r>
      <w:r w:rsidR="00081834">
        <w:rPr>
          <w:sz w:val="22"/>
          <w:szCs w:val="22"/>
        </w:rPr>
        <w:t>for the</w:t>
      </w:r>
      <w:r w:rsidR="00C47932">
        <w:rPr>
          <w:sz w:val="22"/>
          <w:szCs w:val="22"/>
        </w:rPr>
        <w:t xml:space="preserve"> Banks High School</w:t>
      </w:r>
      <w:r w:rsidR="00081834">
        <w:rPr>
          <w:sz w:val="22"/>
          <w:szCs w:val="22"/>
        </w:rPr>
        <w:t xml:space="preserve"> site/property, including the</w:t>
      </w:r>
      <w:r w:rsidR="00944D12">
        <w:rPr>
          <w:sz w:val="22"/>
          <w:szCs w:val="22"/>
        </w:rPr>
        <w:t xml:space="preserve"> </w:t>
      </w:r>
      <w:r w:rsidRPr="008025EF">
        <w:rPr>
          <w:sz w:val="22"/>
          <w:szCs w:val="22"/>
        </w:rPr>
        <w:t xml:space="preserve">closure report entitled </w:t>
      </w:r>
      <w:r w:rsidR="00C47932">
        <w:rPr>
          <w:i/>
          <w:iCs/>
          <w:sz w:val="22"/>
          <w:szCs w:val="22"/>
        </w:rPr>
        <w:t xml:space="preserve">Unregulated Gasoline Tank Decommissioning and Risk-Based Closure Report </w:t>
      </w:r>
      <w:r w:rsidR="00C47932" w:rsidRPr="00C47932">
        <w:rPr>
          <w:sz w:val="22"/>
          <w:szCs w:val="22"/>
        </w:rPr>
        <w:t>da</w:t>
      </w:r>
      <w:r w:rsidRPr="008025EF">
        <w:rPr>
          <w:sz w:val="22"/>
          <w:szCs w:val="22"/>
        </w:rPr>
        <w:t xml:space="preserve">ted </w:t>
      </w:r>
      <w:r w:rsidR="00C47932">
        <w:rPr>
          <w:sz w:val="22"/>
          <w:szCs w:val="22"/>
        </w:rPr>
        <w:t>August 25, 2014</w:t>
      </w:r>
      <w:r w:rsidR="00546021">
        <w:rPr>
          <w:sz w:val="22"/>
          <w:szCs w:val="22"/>
        </w:rPr>
        <w:t>,</w:t>
      </w:r>
      <w:r w:rsidRPr="008025EF">
        <w:rPr>
          <w:sz w:val="22"/>
          <w:szCs w:val="22"/>
        </w:rPr>
        <w:t xml:space="preserve"> </w:t>
      </w:r>
      <w:r w:rsidR="0099214E">
        <w:rPr>
          <w:sz w:val="22"/>
          <w:szCs w:val="22"/>
        </w:rPr>
        <w:t>which was</w:t>
      </w:r>
      <w:r w:rsidR="0099214E" w:rsidRPr="008025EF">
        <w:rPr>
          <w:sz w:val="22"/>
          <w:szCs w:val="22"/>
        </w:rPr>
        <w:t xml:space="preserve"> </w:t>
      </w:r>
      <w:r w:rsidRPr="008025EF">
        <w:rPr>
          <w:sz w:val="22"/>
          <w:szCs w:val="22"/>
        </w:rPr>
        <w:t>submitted to DEQ</w:t>
      </w:r>
      <w:r w:rsidR="0099214E">
        <w:rPr>
          <w:sz w:val="22"/>
          <w:szCs w:val="22"/>
        </w:rPr>
        <w:t xml:space="preserve"> by </w:t>
      </w:r>
      <w:r w:rsidR="00C47932">
        <w:rPr>
          <w:sz w:val="22"/>
          <w:szCs w:val="22"/>
        </w:rPr>
        <w:t>EVREN Northwest Inc.</w:t>
      </w:r>
      <w:r w:rsidR="00B1226B">
        <w:rPr>
          <w:sz w:val="22"/>
          <w:szCs w:val="22"/>
        </w:rPr>
        <w:t xml:space="preserve"> (ENW)</w:t>
      </w:r>
      <w:r w:rsidRPr="008025EF">
        <w:rPr>
          <w:sz w:val="22"/>
          <w:szCs w:val="22"/>
        </w:rPr>
        <w:t xml:space="preserve"> on your behalf. The </w:t>
      </w:r>
      <w:r w:rsidR="00C47932">
        <w:rPr>
          <w:sz w:val="22"/>
          <w:szCs w:val="22"/>
        </w:rPr>
        <w:t xml:space="preserve">Banks High School </w:t>
      </w:r>
      <w:r w:rsidRPr="008025EF">
        <w:rPr>
          <w:sz w:val="22"/>
          <w:szCs w:val="22"/>
        </w:rPr>
        <w:t xml:space="preserve">address is </w:t>
      </w:r>
      <w:r w:rsidR="00C47932">
        <w:rPr>
          <w:sz w:val="22"/>
          <w:szCs w:val="22"/>
        </w:rPr>
        <w:t xml:space="preserve">13050 Northwest Main Street, Banks, Oregon, 97103, </w:t>
      </w:r>
      <w:r w:rsidRPr="008025EF">
        <w:rPr>
          <w:sz w:val="22"/>
          <w:szCs w:val="22"/>
        </w:rPr>
        <w:t xml:space="preserve">Tax Lot </w:t>
      </w:r>
      <w:r w:rsidR="001E32B1">
        <w:rPr>
          <w:sz w:val="22"/>
          <w:szCs w:val="22"/>
        </w:rPr>
        <w:t xml:space="preserve">6900 of </w:t>
      </w:r>
      <w:r w:rsidR="00511704">
        <w:rPr>
          <w:sz w:val="22"/>
          <w:szCs w:val="22"/>
        </w:rPr>
        <w:t xml:space="preserve">Washington County Map No. </w:t>
      </w:r>
      <w:r w:rsidR="001E32B1">
        <w:rPr>
          <w:sz w:val="22"/>
          <w:szCs w:val="22"/>
        </w:rPr>
        <w:t>2N331BC.</w:t>
      </w:r>
      <w:r w:rsidRPr="008025EF">
        <w:rPr>
          <w:sz w:val="22"/>
          <w:szCs w:val="22"/>
        </w:rPr>
        <w:t xml:space="preserve"> </w:t>
      </w:r>
    </w:p>
    <w:p w14:paraId="6C531BA5" w14:textId="77777777" w:rsidR="00B45A68" w:rsidRPr="008025EF" w:rsidRDefault="00B45A68" w:rsidP="00B45A68">
      <w:pPr>
        <w:tabs>
          <w:tab w:val="left" w:pos="-720"/>
        </w:tabs>
        <w:suppressAutoHyphens/>
        <w:ind w:right="432"/>
        <w:rPr>
          <w:sz w:val="22"/>
          <w:szCs w:val="22"/>
        </w:rPr>
      </w:pPr>
    </w:p>
    <w:p w14:paraId="4B588CD1" w14:textId="7F01F126" w:rsidR="00B45A68" w:rsidRPr="008025EF" w:rsidRDefault="00B45A68" w:rsidP="00B45A68">
      <w:pPr>
        <w:tabs>
          <w:tab w:val="left" w:pos="-720"/>
          <w:tab w:val="left" w:pos="9360"/>
        </w:tabs>
        <w:suppressAutoHyphens/>
        <w:rPr>
          <w:sz w:val="22"/>
          <w:szCs w:val="22"/>
        </w:rPr>
      </w:pPr>
      <w:r w:rsidRPr="008025EF">
        <w:rPr>
          <w:sz w:val="22"/>
          <w:szCs w:val="22"/>
        </w:rPr>
        <w:t>DEQ has determined that remedial action to address environmental contamination at</w:t>
      </w:r>
      <w:r w:rsidR="000659EF">
        <w:rPr>
          <w:sz w:val="22"/>
          <w:szCs w:val="22"/>
        </w:rPr>
        <w:t xml:space="preserve"> Banks High School</w:t>
      </w:r>
      <w:r w:rsidRPr="008025EF">
        <w:rPr>
          <w:sz w:val="22"/>
          <w:szCs w:val="22"/>
        </w:rPr>
        <w:t xml:space="preserve"> is complete, and no further action is required. This determination is </w:t>
      </w:r>
      <w:r w:rsidR="0099214E" w:rsidRPr="0099214E">
        <w:rPr>
          <w:sz w:val="22"/>
          <w:szCs w:val="22"/>
        </w:rPr>
        <w:t xml:space="preserve">a result of our evaluation and judgment </w:t>
      </w:r>
      <w:r w:rsidRPr="008025EF">
        <w:rPr>
          <w:sz w:val="22"/>
          <w:szCs w:val="22"/>
        </w:rPr>
        <w:t>based on the DEQ regulations and the facts as we now understand them including the</w:t>
      </w:r>
      <w:r w:rsidR="009233E6">
        <w:rPr>
          <w:sz w:val="22"/>
          <w:szCs w:val="22"/>
        </w:rPr>
        <w:t xml:space="preserve"> following:</w:t>
      </w:r>
    </w:p>
    <w:p w14:paraId="1F1EFBC7" w14:textId="77777777" w:rsidR="00B45A68" w:rsidRPr="008025EF" w:rsidRDefault="00B45A68" w:rsidP="00B45A68">
      <w:pPr>
        <w:tabs>
          <w:tab w:val="left" w:pos="-720"/>
        </w:tabs>
        <w:suppressAutoHyphens/>
        <w:ind w:right="432"/>
        <w:rPr>
          <w:sz w:val="22"/>
          <w:szCs w:val="22"/>
        </w:rPr>
      </w:pPr>
    </w:p>
    <w:p w14:paraId="02ADD092" w14:textId="09FDFC74" w:rsidR="00B45A68" w:rsidRDefault="001E32B1" w:rsidP="00B45A68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>15.32 acre</w:t>
      </w:r>
      <w:proofErr w:type="gramEnd"/>
      <w:r>
        <w:rPr>
          <w:sz w:val="22"/>
          <w:szCs w:val="22"/>
        </w:rPr>
        <w:t xml:space="preserve"> Site is developed with the Banks High School, including several school buildings and athletic facilities. </w:t>
      </w:r>
      <w:r w:rsidR="005E545B">
        <w:rPr>
          <w:sz w:val="22"/>
          <w:szCs w:val="22"/>
        </w:rPr>
        <w:t>The Site is bordered to the north</w:t>
      </w:r>
      <w:r w:rsidR="00155A21">
        <w:rPr>
          <w:sz w:val="22"/>
          <w:szCs w:val="22"/>
        </w:rPr>
        <w:t xml:space="preserve"> by residential and commercial properties; </w:t>
      </w:r>
      <w:r w:rsidR="007F6320">
        <w:rPr>
          <w:sz w:val="22"/>
          <w:szCs w:val="22"/>
        </w:rPr>
        <w:t xml:space="preserve">to the </w:t>
      </w:r>
      <w:r w:rsidR="005E545B">
        <w:rPr>
          <w:sz w:val="22"/>
          <w:szCs w:val="22"/>
        </w:rPr>
        <w:t>west</w:t>
      </w:r>
      <w:r w:rsidR="007F6320">
        <w:rPr>
          <w:sz w:val="22"/>
          <w:szCs w:val="22"/>
        </w:rPr>
        <w:t xml:space="preserve"> by NW Main Street with residential properties and agricultural land beyond; to the</w:t>
      </w:r>
      <w:r w:rsidR="005E545B">
        <w:rPr>
          <w:sz w:val="22"/>
          <w:szCs w:val="22"/>
        </w:rPr>
        <w:t xml:space="preserve"> south by </w:t>
      </w:r>
      <w:r w:rsidR="00A06419">
        <w:rPr>
          <w:sz w:val="22"/>
          <w:szCs w:val="22"/>
        </w:rPr>
        <w:t xml:space="preserve">athletic fields with </w:t>
      </w:r>
      <w:r w:rsidR="007F6320">
        <w:rPr>
          <w:sz w:val="22"/>
          <w:szCs w:val="22"/>
        </w:rPr>
        <w:t>resident</w:t>
      </w:r>
      <w:r w:rsidR="00A06419">
        <w:rPr>
          <w:sz w:val="22"/>
          <w:szCs w:val="22"/>
        </w:rPr>
        <w:t>ial</w:t>
      </w:r>
      <w:r w:rsidR="007F6320">
        <w:rPr>
          <w:sz w:val="22"/>
          <w:szCs w:val="22"/>
        </w:rPr>
        <w:t xml:space="preserve"> and commercial properties</w:t>
      </w:r>
      <w:r w:rsidR="00A06419">
        <w:rPr>
          <w:sz w:val="22"/>
          <w:szCs w:val="22"/>
        </w:rPr>
        <w:t xml:space="preserve"> beyond</w:t>
      </w:r>
      <w:proofErr w:type="gramStart"/>
      <w:r w:rsidR="007F6320">
        <w:rPr>
          <w:sz w:val="22"/>
          <w:szCs w:val="22"/>
        </w:rPr>
        <w:t xml:space="preserve">; </w:t>
      </w:r>
      <w:r w:rsidR="005E545B">
        <w:rPr>
          <w:sz w:val="22"/>
          <w:szCs w:val="22"/>
        </w:rPr>
        <w:t>,</w:t>
      </w:r>
      <w:proofErr w:type="gramEnd"/>
      <w:r w:rsidR="005E545B">
        <w:rPr>
          <w:sz w:val="22"/>
          <w:szCs w:val="22"/>
        </w:rPr>
        <w:t xml:space="preserve"> and to the east </w:t>
      </w:r>
      <w:r w:rsidR="00A06419">
        <w:rPr>
          <w:sz w:val="22"/>
          <w:szCs w:val="22"/>
        </w:rPr>
        <w:t>by residential properties with agricultural land beyond.</w:t>
      </w:r>
      <w:r w:rsidR="005E545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Site is likely to continue to be used as a high school in the foreseeable future. </w:t>
      </w:r>
    </w:p>
    <w:p w14:paraId="4E0A43D2" w14:textId="6FCAB4B8" w:rsidR="00E428AE" w:rsidRDefault="005E545B" w:rsidP="00B45A68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A 1,050</w:t>
      </w:r>
      <w:r w:rsidR="00515AE4">
        <w:rPr>
          <w:sz w:val="22"/>
          <w:szCs w:val="22"/>
        </w:rPr>
        <w:t>-</w:t>
      </w:r>
      <w:r>
        <w:rPr>
          <w:sz w:val="22"/>
          <w:szCs w:val="22"/>
        </w:rPr>
        <w:t xml:space="preserve">gallon underground storage tank was discovered </w:t>
      </w:r>
      <w:r w:rsidR="00CA52C1">
        <w:rPr>
          <w:sz w:val="22"/>
          <w:szCs w:val="22"/>
        </w:rPr>
        <w:t>on July 3, 2014,</w:t>
      </w:r>
      <w:r>
        <w:rPr>
          <w:sz w:val="22"/>
          <w:szCs w:val="22"/>
        </w:rPr>
        <w:t xml:space="preserve"> during demolition of an existing grounds keeping building, which was located 80 feet west of the track and field facility and 18 feet south of the track and field grandstands. </w:t>
      </w:r>
      <w:r w:rsidR="00CA52C1">
        <w:rPr>
          <w:sz w:val="22"/>
          <w:szCs w:val="22"/>
        </w:rPr>
        <w:t>The tank was located approximately 2.5 feet below ground surface.</w:t>
      </w:r>
      <w:r>
        <w:rPr>
          <w:sz w:val="22"/>
          <w:szCs w:val="22"/>
        </w:rPr>
        <w:t xml:space="preserve"> </w:t>
      </w:r>
    </w:p>
    <w:p w14:paraId="61EFE8C2" w14:textId="4705C3AD" w:rsidR="005E545B" w:rsidRDefault="00CA52C1" w:rsidP="00B45A68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Laboratory analytical results determined that soils </w:t>
      </w:r>
      <w:r w:rsidR="00641C88">
        <w:rPr>
          <w:sz w:val="22"/>
          <w:szCs w:val="22"/>
        </w:rPr>
        <w:t xml:space="preserve">adjacent </w:t>
      </w:r>
      <w:r>
        <w:rPr>
          <w:sz w:val="22"/>
          <w:szCs w:val="22"/>
        </w:rPr>
        <w:t>to the tank were impact</w:t>
      </w:r>
      <w:r w:rsidR="00641C88">
        <w:rPr>
          <w:sz w:val="22"/>
          <w:szCs w:val="22"/>
        </w:rPr>
        <w:t>ed</w:t>
      </w:r>
      <w:r>
        <w:rPr>
          <w:sz w:val="22"/>
          <w:szCs w:val="22"/>
        </w:rPr>
        <w:t xml:space="preserve"> at up to 3,400-milligrams per kilogram gasoline-range organics</w:t>
      </w:r>
      <w:r w:rsidR="00A06419">
        <w:rPr>
          <w:sz w:val="22"/>
          <w:szCs w:val="22"/>
        </w:rPr>
        <w:t xml:space="preserve"> (GRO)</w:t>
      </w:r>
      <w:r>
        <w:rPr>
          <w:sz w:val="22"/>
          <w:szCs w:val="22"/>
        </w:rPr>
        <w:t xml:space="preserve">, exceeding </w:t>
      </w:r>
      <w:r w:rsidR="00090660">
        <w:rPr>
          <w:sz w:val="22"/>
          <w:szCs w:val="22"/>
        </w:rPr>
        <w:t xml:space="preserve">DEQ’s </w:t>
      </w:r>
      <w:r>
        <w:rPr>
          <w:sz w:val="22"/>
          <w:szCs w:val="22"/>
        </w:rPr>
        <w:t xml:space="preserve">Soil Matrix Level 2 cleanup </w:t>
      </w:r>
      <w:r w:rsidR="00090660">
        <w:rPr>
          <w:sz w:val="22"/>
          <w:szCs w:val="22"/>
        </w:rPr>
        <w:t>level</w:t>
      </w:r>
      <w:r>
        <w:rPr>
          <w:sz w:val="22"/>
          <w:szCs w:val="22"/>
        </w:rPr>
        <w:t>. Approximately 596 tons of impacted soil were excavated and disposed of at Hillsboro Landfill</w:t>
      </w:r>
      <w:r w:rsidR="00E428AE">
        <w:rPr>
          <w:sz w:val="22"/>
          <w:szCs w:val="22"/>
        </w:rPr>
        <w:t xml:space="preserve">. The excavation was completed </w:t>
      </w:r>
      <w:r w:rsidR="00090660">
        <w:rPr>
          <w:sz w:val="22"/>
          <w:szCs w:val="22"/>
        </w:rPr>
        <w:t xml:space="preserve">to </w:t>
      </w:r>
      <w:r w:rsidR="00E428AE">
        <w:rPr>
          <w:sz w:val="22"/>
          <w:szCs w:val="22"/>
        </w:rPr>
        <w:t xml:space="preserve">a depth of 10.5 feet. </w:t>
      </w:r>
    </w:p>
    <w:p w14:paraId="0A2FE3B7" w14:textId="46635F64" w:rsidR="00E428AE" w:rsidRDefault="00E428AE" w:rsidP="00E428AE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Groundwater was observed seeping into the tank excavation at an approximate depth of 10.5 feet. A groundwater (pit water) sample was collected</w:t>
      </w:r>
      <w:r w:rsidR="004556E9">
        <w:rPr>
          <w:sz w:val="22"/>
          <w:szCs w:val="22"/>
        </w:rPr>
        <w:t xml:space="preserve"> after evacuating the pit of water and allowing it to recover. N</w:t>
      </w:r>
      <w:r>
        <w:rPr>
          <w:sz w:val="22"/>
          <w:szCs w:val="22"/>
        </w:rPr>
        <w:t xml:space="preserve">o </w:t>
      </w:r>
      <w:r w:rsidR="00A06419">
        <w:rPr>
          <w:sz w:val="22"/>
          <w:szCs w:val="22"/>
        </w:rPr>
        <w:t xml:space="preserve">GRO or </w:t>
      </w:r>
      <w:r>
        <w:rPr>
          <w:sz w:val="22"/>
          <w:szCs w:val="22"/>
        </w:rPr>
        <w:t xml:space="preserve">related </w:t>
      </w:r>
      <w:r w:rsidR="00090660">
        <w:rPr>
          <w:sz w:val="22"/>
          <w:szCs w:val="22"/>
        </w:rPr>
        <w:t xml:space="preserve">volatile organic compound (VOC) </w:t>
      </w:r>
      <w:r>
        <w:rPr>
          <w:sz w:val="22"/>
          <w:szCs w:val="22"/>
        </w:rPr>
        <w:t xml:space="preserve">constituents were detected. </w:t>
      </w:r>
      <w:r w:rsidR="003719FF">
        <w:rPr>
          <w:sz w:val="22"/>
          <w:szCs w:val="22"/>
        </w:rPr>
        <w:lastRenderedPageBreak/>
        <w:t xml:space="preserve">Confirmation </w:t>
      </w:r>
      <w:r w:rsidR="00090660">
        <w:rPr>
          <w:sz w:val="22"/>
          <w:szCs w:val="22"/>
        </w:rPr>
        <w:t xml:space="preserve">soil </w:t>
      </w:r>
      <w:r w:rsidR="003719FF">
        <w:rPr>
          <w:sz w:val="22"/>
          <w:szCs w:val="22"/>
        </w:rPr>
        <w:t>samples were collected from the excavation floor and sidewalls. All confirmation samples were “</w:t>
      </w:r>
      <w:proofErr w:type="spellStart"/>
      <w:r w:rsidR="003719FF">
        <w:rPr>
          <w:sz w:val="22"/>
          <w:szCs w:val="22"/>
        </w:rPr>
        <w:t>nondetect</w:t>
      </w:r>
      <w:proofErr w:type="spellEnd"/>
      <w:r w:rsidR="003719FF">
        <w:rPr>
          <w:sz w:val="22"/>
          <w:szCs w:val="22"/>
        </w:rPr>
        <w:t xml:space="preserve">” for </w:t>
      </w:r>
      <w:r w:rsidR="00090660">
        <w:rPr>
          <w:sz w:val="22"/>
          <w:szCs w:val="22"/>
        </w:rPr>
        <w:t>GRO</w:t>
      </w:r>
      <w:r w:rsidR="009D16ED">
        <w:rPr>
          <w:sz w:val="22"/>
          <w:szCs w:val="22"/>
        </w:rPr>
        <w:t xml:space="preserve"> VOCs, and total lead</w:t>
      </w:r>
      <w:r w:rsidR="003719F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3CE5476" w14:textId="001495A5" w:rsidR="006E59FD" w:rsidRDefault="006E59FD" w:rsidP="00E428AE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Future groundwater contamination associated with the UST petroleum release is not expected because all impacted soils have been removed and the </w:t>
      </w:r>
      <w:r w:rsidR="001F529A">
        <w:rPr>
          <w:sz w:val="22"/>
          <w:szCs w:val="22"/>
        </w:rPr>
        <w:t xml:space="preserve">concentrations of GRO and VOCs in the source-area reconnaissance groundwater sample </w:t>
      </w:r>
      <w:r w:rsidR="00672E6F">
        <w:rPr>
          <w:sz w:val="22"/>
          <w:szCs w:val="22"/>
        </w:rPr>
        <w:t>did not exceed laboratory reporting limits.</w:t>
      </w:r>
      <w:r>
        <w:rPr>
          <w:sz w:val="22"/>
          <w:szCs w:val="22"/>
        </w:rPr>
        <w:t xml:space="preserve"> </w:t>
      </w:r>
    </w:p>
    <w:p w14:paraId="76CF4AA6" w14:textId="106A35F9" w:rsidR="001F529A" w:rsidRPr="00E428AE" w:rsidRDefault="001F529A" w:rsidP="00E428AE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>
        <w:rPr>
          <w:rFonts w:eastAsiaTheme="minorHAnsi" w:cstheme="minorBidi"/>
          <w:sz w:val="22"/>
          <w:szCs w:val="22"/>
        </w:rPr>
        <w:t>T</w:t>
      </w:r>
      <w:r w:rsidRPr="00C726F3">
        <w:rPr>
          <w:rFonts w:eastAsiaTheme="minorHAnsi" w:cstheme="minorBidi"/>
          <w:sz w:val="22"/>
          <w:szCs w:val="22"/>
        </w:rPr>
        <w:t xml:space="preserve">here is no risk of exposure to </w:t>
      </w:r>
      <w:r>
        <w:rPr>
          <w:rFonts w:eastAsiaTheme="minorHAnsi" w:cstheme="minorBidi"/>
          <w:sz w:val="22"/>
          <w:szCs w:val="22"/>
        </w:rPr>
        <w:t>Site</w:t>
      </w:r>
      <w:r w:rsidRPr="00C726F3">
        <w:rPr>
          <w:rFonts w:eastAsiaTheme="minorHAnsi" w:cstheme="minorBidi"/>
          <w:sz w:val="22"/>
          <w:szCs w:val="22"/>
        </w:rPr>
        <w:t xml:space="preserve"> contamination by </w:t>
      </w:r>
      <w:r w:rsidR="00981C41">
        <w:rPr>
          <w:rFonts w:eastAsiaTheme="minorHAnsi" w:cstheme="minorBidi"/>
          <w:sz w:val="22"/>
          <w:szCs w:val="22"/>
        </w:rPr>
        <w:t xml:space="preserve">human or </w:t>
      </w:r>
      <w:r w:rsidRPr="00C726F3">
        <w:rPr>
          <w:rFonts w:eastAsiaTheme="minorHAnsi" w:cstheme="minorBidi"/>
          <w:sz w:val="22"/>
          <w:szCs w:val="22"/>
        </w:rPr>
        <w:t>ecological receptors</w:t>
      </w:r>
      <w:r>
        <w:rPr>
          <w:rFonts w:eastAsiaTheme="minorHAnsi" w:cstheme="minorBidi"/>
          <w:sz w:val="22"/>
          <w:szCs w:val="22"/>
        </w:rPr>
        <w:t xml:space="preserve"> because all contaminated soils have been removed.</w:t>
      </w:r>
    </w:p>
    <w:p w14:paraId="552DBE8D" w14:textId="77777777" w:rsidR="00B45A68" w:rsidRPr="008025EF" w:rsidRDefault="00B45A68" w:rsidP="00B45A68">
      <w:pPr>
        <w:tabs>
          <w:tab w:val="left" w:pos="-720"/>
        </w:tabs>
        <w:suppressAutoHyphens/>
        <w:ind w:left="360"/>
        <w:rPr>
          <w:sz w:val="22"/>
          <w:szCs w:val="22"/>
        </w:rPr>
      </w:pPr>
    </w:p>
    <w:p w14:paraId="56F41B83" w14:textId="0B1F661A" w:rsidR="00B45A68" w:rsidRPr="008025EF" w:rsidRDefault="00B45A68" w:rsidP="00B45A68">
      <w:pPr>
        <w:tabs>
          <w:tab w:val="left" w:pos="-720"/>
        </w:tabs>
        <w:suppressAutoHyphens/>
        <w:rPr>
          <w:sz w:val="22"/>
          <w:szCs w:val="22"/>
        </w:rPr>
      </w:pPr>
      <w:r w:rsidRPr="008025EF">
        <w:rPr>
          <w:sz w:val="22"/>
          <w:szCs w:val="22"/>
        </w:rPr>
        <w:t xml:space="preserve">Based on the available information, </w:t>
      </w:r>
      <w:r w:rsidR="00981C41">
        <w:rPr>
          <w:sz w:val="22"/>
          <w:szCs w:val="22"/>
        </w:rPr>
        <w:t>soil and groundwater</w:t>
      </w:r>
      <w:r w:rsidR="00925732">
        <w:rPr>
          <w:sz w:val="22"/>
          <w:szCs w:val="22"/>
        </w:rPr>
        <w:t xml:space="preserve"> conditions at </w:t>
      </w:r>
      <w:r w:rsidR="00B1226B">
        <w:rPr>
          <w:sz w:val="22"/>
          <w:szCs w:val="22"/>
        </w:rPr>
        <w:t>Banks High School</w:t>
      </w:r>
      <w:r w:rsidRPr="008025EF">
        <w:rPr>
          <w:sz w:val="22"/>
          <w:szCs w:val="22"/>
        </w:rPr>
        <w:t xml:space="preserve"> </w:t>
      </w:r>
      <w:r w:rsidR="00925732">
        <w:rPr>
          <w:sz w:val="22"/>
          <w:szCs w:val="22"/>
        </w:rPr>
        <w:t>are</w:t>
      </w:r>
      <w:r w:rsidR="00925732" w:rsidRPr="008025EF">
        <w:rPr>
          <w:sz w:val="22"/>
          <w:szCs w:val="22"/>
        </w:rPr>
        <w:t xml:space="preserve"> </w:t>
      </w:r>
      <w:r w:rsidRPr="008025EF">
        <w:rPr>
          <w:sz w:val="22"/>
          <w:szCs w:val="22"/>
        </w:rPr>
        <w:t xml:space="preserve">currently protective of public health and the </w:t>
      </w:r>
      <w:r w:rsidRPr="0027170E">
        <w:rPr>
          <w:sz w:val="22"/>
          <w:szCs w:val="22"/>
        </w:rPr>
        <w:t>environment</w:t>
      </w:r>
      <w:r w:rsidR="00925732">
        <w:rPr>
          <w:sz w:val="22"/>
          <w:szCs w:val="22"/>
        </w:rPr>
        <w:t xml:space="preserve"> in accordance with </w:t>
      </w:r>
      <w:r w:rsidRPr="00B1226B">
        <w:rPr>
          <w:sz w:val="22"/>
          <w:szCs w:val="22"/>
        </w:rPr>
        <w:t xml:space="preserve">Oregon Administrative Rules </w:t>
      </w:r>
      <w:r w:rsidR="00672E6F">
        <w:rPr>
          <w:sz w:val="22"/>
          <w:szCs w:val="22"/>
        </w:rPr>
        <w:t xml:space="preserve">340-122-0205 </w:t>
      </w:r>
      <w:r w:rsidRPr="00B1226B">
        <w:rPr>
          <w:sz w:val="22"/>
          <w:szCs w:val="22"/>
        </w:rPr>
        <w:t>through 340-122-0360</w:t>
      </w:r>
      <w:r w:rsidR="00925732" w:rsidRPr="00B1226B">
        <w:rPr>
          <w:sz w:val="22"/>
          <w:szCs w:val="22"/>
        </w:rPr>
        <w:t>.</w:t>
      </w:r>
      <w:r w:rsidR="00925732">
        <w:rPr>
          <w:sz w:val="22"/>
          <w:szCs w:val="22"/>
        </w:rPr>
        <w:t xml:space="preserve"> </w:t>
      </w:r>
      <w:r w:rsidR="00925732" w:rsidRPr="0027170E">
        <w:rPr>
          <w:sz w:val="22"/>
          <w:szCs w:val="22"/>
        </w:rPr>
        <w:t xml:space="preserve">The site requires no further action </w:t>
      </w:r>
      <w:r w:rsidRPr="0027170E">
        <w:rPr>
          <w:sz w:val="22"/>
          <w:szCs w:val="22"/>
        </w:rPr>
        <w:t xml:space="preserve">unless new or previously undisclosed information becomes available, or there are changes in site development or land and water uses, or more contamination is discovered. DEQ </w:t>
      </w:r>
      <w:r w:rsidRPr="005F1C02">
        <w:rPr>
          <w:sz w:val="22"/>
          <w:szCs w:val="22"/>
        </w:rPr>
        <w:t xml:space="preserve">will update the </w:t>
      </w:r>
      <w:r w:rsidR="00175A2A">
        <w:rPr>
          <w:sz w:val="22"/>
          <w:szCs w:val="22"/>
        </w:rPr>
        <w:t>Your DEQ Online (YDO</w:t>
      </w:r>
      <w:r w:rsidRPr="005F1C02">
        <w:rPr>
          <w:sz w:val="22"/>
          <w:szCs w:val="22"/>
        </w:rPr>
        <w:t>) database to reflect this decision.</w:t>
      </w:r>
      <w:r w:rsidRPr="008025EF">
        <w:rPr>
          <w:sz w:val="22"/>
          <w:szCs w:val="22"/>
        </w:rPr>
        <w:t xml:space="preserve"> </w:t>
      </w:r>
    </w:p>
    <w:p w14:paraId="6DD05DD5" w14:textId="77777777" w:rsidR="00B45A68" w:rsidRPr="008025EF" w:rsidRDefault="00B45A68" w:rsidP="00B45A68">
      <w:pPr>
        <w:tabs>
          <w:tab w:val="left" w:pos="-720"/>
        </w:tabs>
        <w:suppressAutoHyphens/>
        <w:rPr>
          <w:sz w:val="22"/>
          <w:szCs w:val="22"/>
        </w:rPr>
      </w:pPr>
    </w:p>
    <w:p w14:paraId="6DACAE23" w14:textId="3AF55F45" w:rsidR="00B45A68" w:rsidRPr="008025EF" w:rsidRDefault="00796188" w:rsidP="00B45A68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T</w:t>
      </w:r>
      <w:r w:rsidRPr="00796188">
        <w:rPr>
          <w:sz w:val="22"/>
          <w:szCs w:val="22"/>
        </w:rPr>
        <w:t xml:space="preserve">his letter only applies to </w:t>
      </w:r>
      <w:r w:rsidR="003A0C07">
        <w:rPr>
          <w:sz w:val="22"/>
          <w:szCs w:val="22"/>
        </w:rPr>
        <w:t xml:space="preserve">the </w:t>
      </w:r>
      <w:r w:rsidRPr="00796188">
        <w:rPr>
          <w:sz w:val="22"/>
          <w:szCs w:val="22"/>
        </w:rPr>
        <w:t>release</w:t>
      </w:r>
      <w:r w:rsidR="003A0C07">
        <w:rPr>
          <w:sz w:val="22"/>
          <w:szCs w:val="22"/>
        </w:rPr>
        <w:t>(</w:t>
      </w:r>
      <w:r w:rsidR="00925732">
        <w:rPr>
          <w:sz w:val="22"/>
          <w:szCs w:val="22"/>
        </w:rPr>
        <w:t>s</w:t>
      </w:r>
      <w:r w:rsidR="003A0C07">
        <w:rPr>
          <w:sz w:val="22"/>
          <w:szCs w:val="22"/>
        </w:rPr>
        <w:t>)</w:t>
      </w:r>
      <w:r w:rsidRPr="00796188">
        <w:rPr>
          <w:sz w:val="22"/>
          <w:szCs w:val="22"/>
        </w:rPr>
        <w:t xml:space="preserve"> discussed above.</w:t>
      </w:r>
      <w:r>
        <w:rPr>
          <w:sz w:val="22"/>
          <w:szCs w:val="22"/>
        </w:rPr>
        <w:t xml:space="preserve"> </w:t>
      </w:r>
      <w:r w:rsidR="00B45A68" w:rsidRPr="008025EF">
        <w:rPr>
          <w:sz w:val="22"/>
          <w:szCs w:val="22"/>
        </w:rPr>
        <w:t xml:space="preserve">If any contaminated </w:t>
      </w:r>
      <w:r w:rsidR="003A0C07">
        <w:rPr>
          <w:sz w:val="22"/>
          <w:szCs w:val="22"/>
        </w:rPr>
        <w:t>media</w:t>
      </w:r>
      <w:r w:rsidR="00B45A68" w:rsidRPr="008025EF">
        <w:rPr>
          <w:sz w:val="22"/>
          <w:szCs w:val="22"/>
        </w:rPr>
        <w:t xml:space="preserve"> is encountered in the future, it must be handled and disposed of in accordance with local, state and federal regulations.</w:t>
      </w:r>
    </w:p>
    <w:p w14:paraId="14A15500" w14:textId="77777777" w:rsidR="00B45A68" w:rsidRPr="008025EF" w:rsidRDefault="00B45A68" w:rsidP="00B45A68">
      <w:pPr>
        <w:tabs>
          <w:tab w:val="left" w:pos="-720"/>
        </w:tabs>
        <w:suppressAutoHyphens/>
        <w:ind w:right="432"/>
        <w:rPr>
          <w:sz w:val="22"/>
          <w:szCs w:val="22"/>
        </w:rPr>
      </w:pPr>
    </w:p>
    <w:p w14:paraId="0C46A437" w14:textId="718F295C" w:rsidR="00B45A68" w:rsidRPr="008025EF" w:rsidRDefault="00DC5C20" w:rsidP="00B45A68">
      <w:pPr>
        <w:tabs>
          <w:tab w:val="left" w:pos="-1440"/>
          <w:tab w:val="left" w:pos="-720"/>
        </w:tabs>
        <w:rPr>
          <w:sz w:val="22"/>
          <w:szCs w:val="22"/>
        </w:rPr>
      </w:pPr>
      <w:r>
        <w:rPr>
          <w:sz w:val="22"/>
          <w:szCs w:val="22"/>
        </w:rPr>
        <w:t xml:space="preserve">Documents </w:t>
      </w:r>
      <w:r w:rsidRPr="00313246">
        <w:rPr>
          <w:sz w:val="22"/>
          <w:szCs w:val="22"/>
        </w:rPr>
        <w:t>supporting this No Further Action decision</w:t>
      </w:r>
      <w:r>
        <w:rPr>
          <w:sz w:val="22"/>
          <w:szCs w:val="22"/>
        </w:rPr>
        <w:t xml:space="preserve">, including the </w:t>
      </w:r>
      <w:r>
        <w:rPr>
          <w:i/>
          <w:iCs/>
          <w:sz w:val="22"/>
          <w:szCs w:val="22"/>
        </w:rPr>
        <w:t>Unregulated Gasoline Tank Decommissioning and Risk-Based Closure Report</w:t>
      </w:r>
      <w:r>
        <w:rPr>
          <w:sz w:val="22"/>
          <w:szCs w:val="22"/>
        </w:rPr>
        <w:t>,</w:t>
      </w:r>
      <w:r w:rsidRPr="00313246">
        <w:rPr>
          <w:sz w:val="22"/>
          <w:szCs w:val="22"/>
        </w:rPr>
        <w:t xml:space="preserve"> can be viewed </w:t>
      </w:r>
      <w:r>
        <w:rPr>
          <w:sz w:val="22"/>
          <w:szCs w:val="22"/>
        </w:rPr>
        <w:t xml:space="preserve">on the Your DEQ Online (YDO) database </w:t>
      </w:r>
      <w:r w:rsidRPr="003D723A">
        <w:rPr>
          <w:sz w:val="22"/>
          <w:szCs w:val="22"/>
        </w:rPr>
        <w:t>(</w:t>
      </w:r>
      <w:hyperlink r:id="rId10" w:history="1">
        <w:r w:rsidRPr="003D723A">
          <w:rPr>
            <w:rStyle w:val="Hyperlink"/>
            <w:sz w:val="22"/>
            <w:szCs w:val="22"/>
          </w:rPr>
          <w:t>YDO Link</w:t>
        </w:r>
      </w:hyperlink>
      <w:r>
        <w:rPr>
          <w:sz w:val="22"/>
          <w:szCs w:val="22"/>
        </w:rPr>
        <w:t>).</w:t>
      </w:r>
      <w:r w:rsidRPr="00313246">
        <w:rPr>
          <w:sz w:val="22"/>
          <w:szCs w:val="22"/>
        </w:rPr>
        <w:t xml:space="preserve"> </w:t>
      </w:r>
      <w:r w:rsidR="00B45A68" w:rsidRPr="008025EF">
        <w:rPr>
          <w:sz w:val="22"/>
          <w:szCs w:val="22"/>
        </w:rPr>
        <w:t xml:space="preserve">DEQ recommends keeping a copy of all of the documentation associated with this remedial action with the permanent facility records. If you have any questions, please contact </w:t>
      </w:r>
      <w:r>
        <w:rPr>
          <w:sz w:val="22"/>
          <w:szCs w:val="22"/>
        </w:rPr>
        <w:t>Deb Goldberg</w:t>
      </w:r>
      <w:r w:rsidR="00B45A68" w:rsidRPr="008025EF">
        <w:rPr>
          <w:sz w:val="22"/>
          <w:szCs w:val="22"/>
        </w:rPr>
        <w:t xml:space="preserve"> at </w:t>
      </w:r>
      <w:r w:rsidR="002E4C61" w:rsidRPr="002E4C61">
        <w:rPr>
          <w:sz w:val="22"/>
          <w:szCs w:val="22"/>
        </w:rPr>
        <w:t>(971) 985-9391</w:t>
      </w:r>
      <w:r w:rsidR="00B45A68" w:rsidRPr="008025EF">
        <w:rPr>
          <w:sz w:val="22"/>
          <w:szCs w:val="22"/>
        </w:rPr>
        <w:t>, or via email at</w:t>
      </w:r>
      <w:r>
        <w:rPr>
          <w:sz w:val="22"/>
          <w:szCs w:val="22"/>
        </w:rPr>
        <w:t xml:space="preserve"> </w:t>
      </w:r>
      <w:hyperlink r:id="rId11" w:history="1">
        <w:r w:rsidR="00175A2A" w:rsidRPr="00FC4A7A">
          <w:rPr>
            <w:rStyle w:val="Hyperlink"/>
            <w:sz w:val="22"/>
            <w:szCs w:val="22"/>
          </w:rPr>
          <w:t>deb.goldberg@deq.oregon.gov</w:t>
        </w:r>
      </w:hyperlink>
      <w:r w:rsidR="00B45A68" w:rsidRPr="008025EF">
        <w:rPr>
          <w:sz w:val="22"/>
          <w:szCs w:val="22"/>
        </w:rPr>
        <w:t>.</w:t>
      </w:r>
    </w:p>
    <w:p w14:paraId="0D1682D6" w14:textId="77777777" w:rsidR="00B45A68" w:rsidRPr="008025EF" w:rsidRDefault="00B45A68" w:rsidP="00B45A68">
      <w:pPr>
        <w:pStyle w:val="Closing"/>
        <w:ind w:left="0"/>
        <w:rPr>
          <w:sz w:val="22"/>
          <w:szCs w:val="22"/>
        </w:rPr>
      </w:pPr>
    </w:p>
    <w:p w14:paraId="33A60FB4" w14:textId="77777777" w:rsidR="00B45A68" w:rsidRPr="008025EF" w:rsidRDefault="00B45A68" w:rsidP="00B45A68">
      <w:pPr>
        <w:pStyle w:val="Closing"/>
        <w:spacing w:line="264" w:lineRule="auto"/>
        <w:ind w:left="0"/>
        <w:rPr>
          <w:sz w:val="22"/>
          <w:szCs w:val="22"/>
        </w:rPr>
      </w:pPr>
      <w:r w:rsidRPr="008025EF">
        <w:rPr>
          <w:sz w:val="22"/>
          <w:szCs w:val="22"/>
        </w:rPr>
        <w:t xml:space="preserve">Sincerely, </w:t>
      </w:r>
    </w:p>
    <w:p w14:paraId="04B53C91" w14:textId="77777777" w:rsidR="00B45A68" w:rsidRPr="008025EF" w:rsidRDefault="00B45A68" w:rsidP="00B45A68">
      <w:pPr>
        <w:pStyle w:val="Closing"/>
        <w:spacing w:line="264" w:lineRule="auto"/>
        <w:ind w:left="0"/>
        <w:rPr>
          <w:sz w:val="22"/>
          <w:szCs w:val="22"/>
        </w:rPr>
      </w:pPr>
    </w:p>
    <w:p w14:paraId="37E147CA" w14:textId="77777777" w:rsidR="00B45A68" w:rsidRPr="008025EF" w:rsidRDefault="00B45A68" w:rsidP="00B45A68">
      <w:pPr>
        <w:pStyle w:val="Closing"/>
        <w:spacing w:line="264" w:lineRule="auto"/>
        <w:ind w:left="0"/>
        <w:rPr>
          <w:sz w:val="22"/>
          <w:szCs w:val="22"/>
        </w:rPr>
      </w:pPr>
    </w:p>
    <w:p w14:paraId="588BE44D" w14:textId="77777777" w:rsidR="00B45A68" w:rsidRPr="008025EF" w:rsidRDefault="00B45A68" w:rsidP="00B45A68">
      <w:pPr>
        <w:pStyle w:val="Closing"/>
        <w:spacing w:line="264" w:lineRule="auto"/>
        <w:ind w:left="0"/>
        <w:rPr>
          <w:sz w:val="22"/>
          <w:szCs w:val="22"/>
        </w:rPr>
      </w:pPr>
    </w:p>
    <w:p w14:paraId="42E671E5" w14:textId="77777777" w:rsidR="00F523FD" w:rsidRPr="004F391B" w:rsidRDefault="00F523FD" w:rsidP="00F523FD">
      <w:pPr>
        <w:keepNext/>
        <w:tabs>
          <w:tab w:val="left" w:pos="4680"/>
        </w:tabs>
        <w:spacing w:line="264" w:lineRule="auto"/>
        <w:rPr>
          <w:sz w:val="22"/>
          <w:szCs w:val="22"/>
        </w:rPr>
      </w:pPr>
      <w:r w:rsidRPr="004F391B">
        <w:rPr>
          <w:sz w:val="22"/>
          <w:szCs w:val="22"/>
        </w:rPr>
        <w:t xml:space="preserve">Peter </w:t>
      </w:r>
      <w:proofErr w:type="spellStart"/>
      <w:r w:rsidRPr="004F391B">
        <w:rPr>
          <w:sz w:val="22"/>
          <w:szCs w:val="22"/>
        </w:rPr>
        <w:t>Donahower</w:t>
      </w:r>
      <w:proofErr w:type="spellEnd"/>
      <w:r w:rsidRPr="004F391B">
        <w:rPr>
          <w:sz w:val="22"/>
          <w:szCs w:val="22"/>
        </w:rPr>
        <w:t>, Manager</w:t>
      </w:r>
    </w:p>
    <w:p w14:paraId="145396B3" w14:textId="2DC3F75E" w:rsidR="00B45A68" w:rsidRPr="008025EF" w:rsidRDefault="00F523FD" w:rsidP="00F523FD">
      <w:pPr>
        <w:keepNext/>
        <w:tabs>
          <w:tab w:val="left" w:pos="4680"/>
        </w:tabs>
        <w:spacing w:after="240"/>
        <w:rPr>
          <w:sz w:val="22"/>
          <w:szCs w:val="22"/>
        </w:rPr>
      </w:pPr>
      <w:r w:rsidRPr="004F391B">
        <w:rPr>
          <w:sz w:val="22"/>
          <w:szCs w:val="22"/>
        </w:rPr>
        <w:t>Northwest Region Petroleum Cleanup Section</w:t>
      </w:r>
    </w:p>
    <w:p w14:paraId="6B17E209" w14:textId="4E1A44E4" w:rsidR="00B45A68" w:rsidRDefault="00B45A68" w:rsidP="00DC5C20">
      <w:pPr>
        <w:rPr>
          <w:sz w:val="22"/>
          <w:szCs w:val="22"/>
        </w:rPr>
      </w:pPr>
      <w:r w:rsidRPr="00DC1885">
        <w:rPr>
          <w:sz w:val="22"/>
          <w:szCs w:val="22"/>
        </w:rPr>
        <w:t>Attachment(s):</w:t>
      </w:r>
      <w:r w:rsidRPr="008025EF">
        <w:rPr>
          <w:sz w:val="22"/>
          <w:szCs w:val="22"/>
        </w:rPr>
        <w:t xml:space="preserve"> </w:t>
      </w:r>
      <w:r w:rsidRPr="008025EF">
        <w:rPr>
          <w:sz w:val="22"/>
          <w:szCs w:val="22"/>
        </w:rPr>
        <w:tab/>
      </w:r>
      <w:r w:rsidR="00DC1885">
        <w:rPr>
          <w:sz w:val="22"/>
          <w:szCs w:val="22"/>
        </w:rPr>
        <w:t>Figure 4 – Sample Location Diagram</w:t>
      </w:r>
    </w:p>
    <w:p w14:paraId="6921E43B" w14:textId="70C7EF22" w:rsidR="00DC1885" w:rsidRPr="008025EF" w:rsidRDefault="00DC1885" w:rsidP="00DC5C2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Tabel 2 – Summary of Analytical Data, Reconnaissance Ground Water Recharge</w:t>
      </w:r>
    </w:p>
    <w:p w14:paraId="0E475581" w14:textId="77777777" w:rsidR="00B45A68" w:rsidRPr="008025EF" w:rsidRDefault="00B45A68" w:rsidP="00B45A68">
      <w:pPr>
        <w:rPr>
          <w:sz w:val="22"/>
          <w:szCs w:val="22"/>
        </w:rPr>
      </w:pPr>
      <w:r w:rsidRPr="008025EF">
        <w:rPr>
          <w:sz w:val="22"/>
          <w:szCs w:val="22"/>
        </w:rPr>
        <w:tab/>
      </w:r>
      <w:r w:rsidRPr="008025EF">
        <w:rPr>
          <w:sz w:val="22"/>
          <w:szCs w:val="22"/>
        </w:rPr>
        <w:tab/>
      </w:r>
    </w:p>
    <w:p w14:paraId="61A7EE6F" w14:textId="77777777" w:rsidR="00B45A68" w:rsidRPr="008025EF" w:rsidRDefault="00B45A68" w:rsidP="00B45A68">
      <w:pPr>
        <w:rPr>
          <w:sz w:val="22"/>
          <w:szCs w:val="22"/>
        </w:rPr>
      </w:pPr>
    </w:p>
    <w:p w14:paraId="0F8D1DC0" w14:textId="2A0BE21F" w:rsidR="00B45A68" w:rsidRDefault="00B45A68">
      <w:pPr>
        <w:pStyle w:val="Date"/>
        <w:spacing w:before="0"/>
        <w:ind w:left="360" w:hanging="360"/>
        <w:rPr>
          <w:sz w:val="22"/>
          <w:szCs w:val="22"/>
        </w:rPr>
      </w:pPr>
      <w:r w:rsidRPr="008025EF">
        <w:rPr>
          <w:sz w:val="22"/>
          <w:szCs w:val="22"/>
        </w:rPr>
        <w:t>cc:</w:t>
      </w:r>
      <w:r w:rsidRPr="008025EF">
        <w:rPr>
          <w:sz w:val="22"/>
          <w:szCs w:val="22"/>
        </w:rPr>
        <w:tab/>
      </w:r>
      <w:r w:rsidRPr="008025EF">
        <w:rPr>
          <w:sz w:val="22"/>
          <w:szCs w:val="22"/>
        </w:rPr>
        <w:tab/>
      </w:r>
    </w:p>
    <w:p w14:paraId="39B89344" w14:textId="3CD1F7E8" w:rsidR="0065569F" w:rsidRPr="00EE6EF5" w:rsidRDefault="0065569F" w:rsidP="00EE6EF5">
      <w:r>
        <w:tab/>
      </w:r>
      <w:r w:rsidR="00DC1885">
        <w:t xml:space="preserve">EVREN Northwest Inc. </w:t>
      </w:r>
    </w:p>
    <w:p w14:paraId="2A651BD2" w14:textId="4731CAFA" w:rsidR="00B45A68" w:rsidRPr="008025EF" w:rsidRDefault="00B45A68" w:rsidP="00B45A68">
      <w:pPr>
        <w:pStyle w:val="Date"/>
        <w:spacing w:before="0" w:line="264" w:lineRule="auto"/>
        <w:ind w:left="0" w:firstLine="720"/>
        <w:rPr>
          <w:sz w:val="22"/>
          <w:szCs w:val="22"/>
        </w:rPr>
      </w:pPr>
      <w:r w:rsidRPr="008025EF">
        <w:rPr>
          <w:sz w:val="22"/>
          <w:szCs w:val="22"/>
        </w:rPr>
        <w:t xml:space="preserve">LUST </w:t>
      </w:r>
      <w:r w:rsidR="00DC5C20">
        <w:rPr>
          <w:sz w:val="22"/>
          <w:szCs w:val="22"/>
        </w:rPr>
        <w:t>#34-14-0891</w:t>
      </w:r>
      <w:r w:rsidRPr="008025EF">
        <w:rPr>
          <w:sz w:val="22"/>
          <w:szCs w:val="22"/>
        </w:rPr>
        <w:t xml:space="preserve"> File</w:t>
      </w:r>
    </w:p>
    <w:p w14:paraId="03E91C7D" w14:textId="77777777" w:rsidR="00B45A68" w:rsidRPr="00A46C56" w:rsidRDefault="00B45A68" w:rsidP="00B45A68">
      <w:pPr>
        <w:rPr>
          <w:sz w:val="22"/>
          <w:szCs w:val="22"/>
        </w:rPr>
      </w:pPr>
    </w:p>
    <w:p w14:paraId="20F688AE" w14:textId="77777777" w:rsidR="00B45A68" w:rsidRPr="00B730A9" w:rsidRDefault="00B45A68" w:rsidP="00B45A68">
      <w:pPr>
        <w:pStyle w:val="Heading1"/>
        <w:spacing w:line="264" w:lineRule="auto"/>
        <w:rPr>
          <w:szCs w:val="24"/>
        </w:rPr>
      </w:pPr>
    </w:p>
    <w:p w14:paraId="2CE64790" w14:textId="77777777" w:rsidR="005029D0" w:rsidRDefault="005029D0">
      <w:pPr>
        <w:widowControl w:val="0"/>
        <w:spacing w:before="120" w:after="80"/>
      </w:pPr>
    </w:p>
    <w:sectPr w:rsidR="005029D0" w:rsidSect="005029D0">
      <w:headerReference w:type="default" r:id="rId12"/>
      <w:headerReference w:type="first" r:id="rId13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FD76" w14:textId="77777777" w:rsidR="00586DDD" w:rsidRDefault="00586DDD">
      <w:r>
        <w:separator/>
      </w:r>
    </w:p>
  </w:endnote>
  <w:endnote w:type="continuationSeparator" w:id="0">
    <w:p w14:paraId="41956A23" w14:textId="77777777" w:rsidR="00586DDD" w:rsidRDefault="00586DDD">
      <w:r>
        <w:continuationSeparator/>
      </w:r>
    </w:p>
  </w:endnote>
  <w:endnote w:type="continuationNotice" w:id="1">
    <w:p w14:paraId="32D7B793" w14:textId="77777777" w:rsidR="007151F2" w:rsidRDefault="00715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A890" w14:textId="77777777" w:rsidR="00586DDD" w:rsidRDefault="00586DDD">
      <w:r>
        <w:separator/>
      </w:r>
    </w:p>
  </w:footnote>
  <w:footnote w:type="continuationSeparator" w:id="0">
    <w:p w14:paraId="0E9F5F61" w14:textId="77777777" w:rsidR="00586DDD" w:rsidRDefault="00586DDD">
      <w:r>
        <w:continuationSeparator/>
      </w:r>
    </w:p>
  </w:footnote>
  <w:footnote w:type="continuationNotice" w:id="1">
    <w:p w14:paraId="3F9808A6" w14:textId="77777777" w:rsidR="007151F2" w:rsidRDefault="007151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338C" w14:textId="77777777" w:rsidR="00B45A68" w:rsidRDefault="00B45A68" w:rsidP="00B45A68">
    <w:pPr>
      <w:ind w:left="2880" w:hanging="720"/>
      <w:jc w:val="right"/>
    </w:pPr>
    <w:r w:rsidRPr="0002692A">
      <w:t xml:space="preserve">No Further Action </w:t>
    </w:r>
  </w:p>
  <w:p w14:paraId="5F103988" w14:textId="26AAE8CA" w:rsidR="00B45A68" w:rsidRPr="0002692A" w:rsidRDefault="00F523FD" w:rsidP="00B45A68">
    <w:pPr>
      <w:ind w:left="2880" w:hanging="720"/>
      <w:jc w:val="right"/>
    </w:pPr>
    <w:r>
      <w:t>LUST Program No. 34-14-0891</w:t>
    </w:r>
  </w:p>
  <w:p w14:paraId="09801547" w14:textId="39BCE1AD" w:rsidR="00B45A68" w:rsidRPr="0002692A" w:rsidRDefault="00EE6EF5" w:rsidP="00B45A68">
    <w:pPr>
      <w:ind w:left="2160" w:firstLine="720"/>
      <w:jc w:val="right"/>
    </w:pPr>
    <w:r>
      <w:t>October 4, 2025</w:t>
    </w:r>
  </w:p>
  <w:p w14:paraId="11BD01A3" w14:textId="0BE288B8" w:rsidR="00B45A68" w:rsidRPr="0002692A" w:rsidRDefault="00B45A68" w:rsidP="00B45A68">
    <w:pPr>
      <w:tabs>
        <w:tab w:val="right" w:pos="9360"/>
      </w:tabs>
      <w:jc w:val="right"/>
      <w:rPr>
        <w:highlight w:val="yellow"/>
      </w:rPr>
    </w:pPr>
    <w:r w:rsidRPr="0002692A">
      <w:t xml:space="preserve">Page </w:t>
    </w:r>
    <w:r w:rsidR="004A5FF1" w:rsidRPr="0002692A">
      <w:rPr>
        <w:rStyle w:val="PageNumber"/>
      </w:rPr>
      <w:fldChar w:fldCharType="begin"/>
    </w:r>
    <w:r w:rsidRPr="0002692A">
      <w:rPr>
        <w:rStyle w:val="PageNumber"/>
      </w:rPr>
      <w:instrText xml:space="preserve"> PAGE </w:instrText>
    </w:r>
    <w:r w:rsidR="004A5FF1" w:rsidRPr="0002692A">
      <w:rPr>
        <w:rStyle w:val="PageNumber"/>
      </w:rPr>
      <w:fldChar w:fldCharType="separate"/>
    </w:r>
    <w:r w:rsidR="00493C40">
      <w:rPr>
        <w:rStyle w:val="PageNumber"/>
        <w:noProof/>
      </w:rPr>
      <w:t>2</w:t>
    </w:r>
    <w:r w:rsidR="004A5FF1" w:rsidRPr="0002692A">
      <w:rPr>
        <w:rStyle w:val="PageNumber"/>
      </w:rPr>
      <w:fldChar w:fldCharType="end"/>
    </w:r>
  </w:p>
  <w:p w14:paraId="1AF49093" w14:textId="77777777" w:rsidR="00B45A68" w:rsidRDefault="00B45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264B" w14:textId="77777777" w:rsidR="005029D0" w:rsidRPr="00442032" w:rsidRDefault="001630E9">
    <w:pPr>
      <w:pStyle w:val="Header"/>
      <w:tabs>
        <w:tab w:val="clear" w:pos="4680"/>
        <w:tab w:val="clear" w:pos="9360"/>
        <w:tab w:val="right" w:pos="11016"/>
      </w:tabs>
      <w:ind w:right="90" w:hanging="990"/>
      <w:rPr>
        <w:color w:val="4B5B9F"/>
      </w:rPr>
    </w:pPr>
    <w:r w:rsidRPr="001630E9">
      <w:rPr>
        <w:noProof/>
        <w:color w:val="4B5B9F"/>
      </w:rPr>
      <w:drawing>
        <wp:anchor distT="0" distB="0" distL="114300" distR="114300" simplePos="0" relativeHeight="251658241" behindDoc="1" locked="0" layoutInCell="1" allowOverlap="1" wp14:anchorId="5E9D8769" wp14:editId="5C60A8C6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492" w:rsidRPr="00442032">
      <w:rPr>
        <w:noProof/>
        <w:color w:val="4B5B9F"/>
      </w:rPr>
      <w:drawing>
        <wp:anchor distT="0" distB="0" distL="114300" distR="114300" simplePos="0" relativeHeight="251658240" behindDoc="1" locked="0" layoutInCell="1" allowOverlap="1" wp14:anchorId="0337A7C6" wp14:editId="092C035E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27EB29" w14:textId="7FB6B2F4" w:rsidR="005029D0" w:rsidRPr="00442032" w:rsidRDefault="000E2050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Cs w:val="18"/>
      </w:rPr>
    </w:pPr>
    <w:r>
      <w:rPr>
        <w:rFonts w:ascii="Palatino Linotype" w:hAnsi="Palatino Linotype"/>
        <w:b/>
        <w:noProof/>
        <w:color w:val="4B5B9F"/>
        <w:sz w:val="22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89D59C" wp14:editId="125C730F">
              <wp:simplePos x="0" y="0"/>
              <wp:positionH relativeFrom="column">
                <wp:posOffset>3689350</wp:posOffset>
              </wp:positionH>
              <wp:positionV relativeFrom="paragraph">
                <wp:posOffset>78105</wp:posOffset>
              </wp:positionV>
              <wp:extent cx="2774950" cy="231140"/>
              <wp:effectExtent l="3175" t="1905" r="317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4F1A5" id="Rectangle 1" o:spid="_x0000_s1026" style="position:absolute;margin-left:290.5pt;margin-top:6.15pt;width:218.5pt;height:18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" stroked="f"/>
          </w:pict>
        </mc:Fallback>
      </mc:AlternateContent>
    </w:r>
    <w:r w:rsidR="00ED61B6" w:rsidRPr="00442032">
      <w:rPr>
        <w:rFonts w:ascii="Palatino Linotype" w:hAnsi="Palatino Linotype"/>
        <w:b/>
        <w:color w:val="4B5B9F"/>
      </w:rPr>
      <w:t>Department of Environmental Quality</w:t>
    </w:r>
  </w:p>
  <w:p w14:paraId="2D752431" w14:textId="0529556D" w:rsidR="005029D0" w:rsidRPr="00442032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="00B45A68" w:rsidRPr="00FB40E8">
      <w:rPr>
        <w:rFonts w:ascii="Palatino Linotype" w:hAnsi="Palatino Linotype"/>
        <w:b/>
        <w:color w:val="4B5B9F"/>
        <w:sz w:val="18"/>
        <w:szCs w:val="18"/>
      </w:rPr>
      <w:t>Northwest</w:t>
    </w:r>
    <w:r w:rsidR="00FF7ADF">
      <w:rPr>
        <w:rFonts w:ascii="Palatino Linotype" w:hAnsi="Palatino Linotype"/>
        <w:b/>
        <w:color w:val="4B5B9F"/>
        <w:sz w:val="18"/>
        <w:szCs w:val="18"/>
      </w:rPr>
      <w:t xml:space="preserve"> Region</w:t>
    </w:r>
  </w:p>
  <w:p w14:paraId="01FA2A4C" w14:textId="53DFE494" w:rsidR="005029D0" w:rsidRPr="00442032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="00087281"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14:paraId="75355C74" w14:textId="5F237AC9" w:rsidR="005029D0" w:rsidRPr="00442032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right="-634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="007A1C3E">
      <w:rPr>
        <w:rFonts w:ascii="Palatino Linotype" w:hAnsi="Palatino Linotype"/>
        <w:color w:val="4B5B9F"/>
        <w:sz w:val="18"/>
        <w:szCs w:val="18"/>
      </w:rPr>
      <w:t xml:space="preserve"> </w:t>
    </w:r>
    <w:r w:rsidR="00087281">
      <w:rPr>
        <w:rFonts w:ascii="Palatino Linotype" w:hAnsi="Palatino Linotype"/>
        <w:color w:val="4B5B9F"/>
        <w:sz w:val="16"/>
        <w:szCs w:val="18"/>
      </w:rPr>
      <w:t>Tina Kotek</w:t>
    </w:r>
    <w:r w:rsidR="00934745" w:rsidRPr="00442032">
      <w:rPr>
        <w:rFonts w:ascii="Palatino Linotype" w:hAnsi="Palatino Linotype"/>
        <w:color w:val="4B5B9F"/>
        <w:sz w:val="16"/>
        <w:szCs w:val="16"/>
      </w:rPr>
      <w:t xml:space="preserve">, </w:t>
    </w:r>
    <w:r w:rsidRPr="00442032">
      <w:rPr>
        <w:rFonts w:ascii="Palatino Linotype" w:hAnsi="Palatino Linotype"/>
        <w:color w:val="4B5B9F"/>
        <w:sz w:val="16"/>
        <w:szCs w:val="18"/>
      </w:rPr>
      <w:t>Governor</w:t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="00087281" w:rsidRPr="00E06EFC">
      <w:rPr>
        <w:rFonts w:ascii="Palatino Linotype" w:hAnsi="Palatino Linotype"/>
        <w:color w:val="4B5B9F"/>
        <w:sz w:val="18"/>
        <w:szCs w:val="18"/>
      </w:rPr>
      <w:t>Portland, OR  97232</w:t>
    </w:r>
  </w:p>
  <w:p w14:paraId="1478C7B5" w14:textId="77777777" w:rsidR="00087281" w:rsidRPr="00442032" w:rsidRDefault="00ED61B6" w:rsidP="00087281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="00087281" w:rsidRPr="00442032">
      <w:rPr>
        <w:rFonts w:ascii="Palatino Linotype" w:hAnsi="Palatino Linotype"/>
        <w:color w:val="4B5B9F"/>
        <w:sz w:val="18"/>
        <w:szCs w:val="18"/>
      </w:rPr>
      <w:t>(503) 229-5</w:t>
    </w:r>
    <w:r w:rsidR="00087281">
      <w:rPr>
        <w:rFonts w:ascii="Palatino Linotype" w:hAnsi="Palatino Linotype"/>
        <w:color w:val="4B5B9F"/>
        <w:sz w:val="18"/>
        <w:szCs w:val="18"/>
      </w:rPr>
      <w:t>2</w:t>
    </w:r>
    <w:r w:rsidR="00087281" w:rsidRPr="00442032">
      <w:rPr>
        <w:rFonts w:ascii="Palatino Linotype" w:hAnsi="Palatino Linotype"/>
        <w:color w:val="4B5B9F"/>
        <w:sz w:val="18"/>
        <w:szCs w:val="18"/>
      </w:rPr>
      <w:t>6</w:t>
    </w:r>
    <w:r w:rsidR="00087281">
      <w:rPr>
        <w:rFonts w:ascii="Palatino Linotype" w:hAnsi="Palatino Linotype"/>
        <w:color w:val="4B5B9F"/>
        <w:sz w:val="18"/>
        <w:szCs w:val="18"/>
      </w:rPr>
      <w:t>3</w:t>
    </w:r>
  </w:p>
  <w:p w14:paraId="78923827" w14:textId="77777777" w:rsidR="00087281" w:rsidRPr="00442032" w:rsidRDefault="00087281" w:rsidP="00087281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14:paraId="1C81225C" w14:textId="77777777" w:rsidR="00087281" w:rsidRPr="00442032" w:rsidRDefault="00087281" w:rsidP="00087281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  <w:p w14:paraId="0747713C" w14:textId="77777777" w:rsidR="00B45A68" w:rsidRDefault="00ED61B6" w:rsidP="00B45A68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D3C37"/>
    <w:multiLevelType w:val="hybridMultilevel"/>
    <w:tmpl w:val="76D09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01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1"/>
    <w:rsid w:val="000566B8"/>
    <w:rsid w:val="000659EF"/>
    <w:rsid w:val="000710C1"/>
    <w:rsid w:val="00081834"/>
    <w:rsid w:val="00087281"/>
    <w:rsid w:val="00090660"/>
    <w:rsid w:val="000C6492"/>
    <w:rsid w:val="000D0D78"/>
    <w:rsid w:val="000D447C"/>
    <w:rsid w:val="000E2050"/>
    <w:rsid w:val="00155A21"/>
    <w:rsid w:val="001630E9"/>
    <w:rsid w:val="00175A2A"/>
    <w:rsid w:val="00193141"/>
    <w:rsid w:val="001A2041"/>
    <w:rsid w:val="001E32B1"/>
    <w:rsid w:val="001F529A"/>
    <w:rsid w:val="00242B02"/>
    <w:rsid w:val="0026363B"/>
    <w:rsid w:val="00277A14"/>
    <w:rsid w:val="002E4C61"/>
    <w:rsid w:val="00343468"/>
    <w:rsid w:val="003719FF"/>
    <w:rsid w:val="00373A2F"/>
    <w:rsid w:val="003A0C07"/>
    <w:rsid w:val="003D723A"/>
    <w:rsid w:val="00442032"/>
    <w:rsid w:val="004556E9"/>
    <w:rsid w:val="00493C40"/>
    <w:rsid w:val="004A5FF1"/>
    <w:rsid w:val="005029D0"/>
    <w:rsid w:val="00511704"/>
    <w:rsid w:val="00515AE4"/>
    <w:rsid w:val="00546021"/>
    <w:rsid w:val="00586DDD"/>
    <w:rsid w:val="005A5A35"/>
    <w:rsid w:val="005B1920"/>
    <w:rsid w:val="005C3EB5"/>
    <w:rsid w:val="005E22AB"/>
    <w:rsid w:val="005E545B"/>
    <w:rsid w:val="005F1C02"/>
    <w:rsid w:val="00641C88"/>
    <w:rsid w:val="00644961"/>
    <w:rsid w:val="00651959"/>
    <w:rsid w:val="0065569F"/>
    <w:rsid w:val="00672E6F"/>
    <w:rsid w:val="006C2AF4"/>
    <w:rsid w:val="006E2794"/>
    <w:rsid w:val="006E59FD"/>
    <w:rsid w:val="007151F2"/>
    <w:rsid w:val="0074059B"/>
    <w:rsid w:val="007933B8"/>
    <w:rsid w:val="00796188"/>
    <w:rsid w:val="007A1C3E"/>
    <w:rsid w:val="007D28D6"/>
    <w:rsid w:val="007F6320"/>
    <w:rsid w:val="00834F72"/>
    <w:rsid w:val="008674B5"/>
    <w:rsid w:val="00885359"/>
    <w:rsid w:val="008A7A15"/>
    <w:rsid w:val="008F7941"/>
    <w:rsid w:val="00916491"/>
    <w:rsid w:val="009233E6"/>
    <w:rsid w:val="00925732"/>
    <w:rsid w:val="00934745"/>
    <w:rsid w:val="00944D12"/>
    <w:rsid w:val="009458DA"/>
    <w:rsid w:val="00954C88"/>
    <w:rsid w:val="00957402"/>
    <w:rsid w:val="00981C41"/>
    <w:rsid w:val="009917BF"/>
    <w:rsid w:val="0099214E"/>
    <w:rsid w:val="009D16ED"/>
    <w:rsid w:val="00A06419"/>
    <w:rsid w:val="00A276C4"/>
    <w:rsid w:val="00A80497"/>
    <w:rsid w:val="00B1226B"/>
    <w:rsid w:val="00B17081"/>
    <w:rsid w:val="00B45A68"/>
    <w:rsid w:val="00B56B9D"/>
    <w:rsid w:val="00B82635"/>
    <w:rsid w:val="00B8407D"/>
    <w:rsid w:val="00BA2157"/>
    <w:rsid w:val="00BE4C73"/>
    <w:rsid w:val="00C146FE"/>
    <w:rsid w:val="00C47932"/>
    <w:rsid w:val="00C6440B"/>
    <w:rsid w:val="00C66C4C"/>
    <w:rsid w:val="00C90B27"/>
    <w:rsid w:val="00CA52C1"/>
    <w:rsid w:val="00CB0809"/>
    <w:rsid w:val="00CB0BC3"/>
    <w:rsid w:val="00CC7029"/>
    <w:rsid w:val="00CD36FE"/>
    <w:rsid w:val="00D013FF"/>
    <w:rsid w:val="00D35543"/>
    <w:rsid w:val="00D8065B"/>
    <w:rsid w:val="00DC0101"/>
    <w:rsid w:val="00DC1885"/>
    <w:rsid w:val="00DC5C20"/>
    <w:rsid w:val="00DE632D"/>
    <w:rsid w:val="00DF368C"/>
    <w:rsid w:val="00E03526"/>
    <w:rsid w:val="00E428AE"/>
    <w:rsid w:val="00EC303C"/>
    <w:rsid w:val="00ED2960"/>
    <w:rsid w:val="00ED61B6"/>
    <w:rsid w:val="00EE6EF5"/>
    <w:rsid w:val="00F35CB0"/>
    <w:rsid w:val="00F412D4"/>
    <w:rsid w:val="00F523FD"/>
    <w:rsid w:val="00FB40E8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4F5902"/>
  <w15:docId w15:val="{8D1715E5-33E0-4FC0-89A3-25D69B9C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68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5A6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5A6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A68"/>
  </w:style>
  <w:style w:type="character" w:customStyle="1" w:styleId="CommentTextChar">
    <w:name w:val="Comment Text Char"/>
    <w:basedOn w:val="DefaultParagraphFont"/>
    <w:link w:val="CommentText"/>
    <w:uiPriority w:val="99"/>
    <w:rsid w:val="00B45A68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BodyText"/>
    <w:next w:val="Normal"/>
    <w:link w:val="DateChar"/>
    <w:rsid w:val="00B45A68"/>
    <w:pPr>
      <w:spacing w:before="480" w:after="0"/>
      <w:ind w:left="3600"/>
    </w:pPr>
    <w:rPr>
      <w:sz w:val="24"/>
    </w:rPr>
  </w:style>
  <w:style w:type="character" w:customStyle="1" w:styleId="DateChar">
    <w:name w:val="Date Char"/>
    <w:basedOn w:val="DefaultParagraphFont"/>
    <w:link w:val="Date"/>
    <w:rsid w:val="00B45A68"/>
    <w:rPr>
      <w:rFonts w:ascii="Times New Roman" w:eastAsia="Times New Roman" w:hAnsi="Times New Roman" w:cs="Times New Roman"/>
      <w:sz w:val="24"/>
      <w:szCs w:val="20"/>
    </w:rPr>
  </w:style>
  <w:style w:type="paragraph" w:styleId="Closing">
    <w:name w:val="Closing"/>
    <w:basedOn w:val="BodyText"/>
    <w:link w:val="ClosingChar"/>
    <w:rsid w:val="00B45A68"/>
    <w:pPr>
      <w:keepNext/>
      <w:spacing w:after="0"/>
      <w:ind w:left="3600"/>
    </w:pPr>
    <w:rPr>
      <w:sz w:val="24"/>
    </w:rPr>
  </w:style>
  <w:style w:type="character" w:customStyle="1" w:styleId="ClosingChar">
    <w:name w:val="Closing Char"/>
    <w:basedOn w:val="DefaultParagraphFont"/>
    <w:link w:val="Closing"/>
    <w:rsid w:val="00B45A6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A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A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45A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7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101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5C20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4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b.goldberg@deq.orego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rmswd2.synergydcs.com/HPRMWebDrawer/Record?q=webdrawercode%3A%22*089*%22+And+recAnyWord%3A%22LUST34-14-0891%22&amp;sortBy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178CB431FBB44BA390DFB7A67DCC0" ma:contentTypeVersion="20" ma:contentTypeDescription="Create a new document." ma:contentTypeScope="" ma:versionID="813d419af0c37210907a232fb03ff695">
  <xsd:schema xmlns:xsd="http://www.w3.org/2001/XMLSchema" xmlns:xs="http://www.w3.org/2001/XMLSchema" xmlns:p="http://schemas.microsoft.com/office/2006/metadata/properties" xmlns:ns2="6076d197-b432-4a89-8b9d-b97676e775aa" xmlns:ns3="3f71e46e-dbdb-4936-a808-49fb891fc3e2" targetNamespace="http://schemas.microsoft.com/office/2006/metadata/properties" ma:root="true" ma:fieldsID="a9c1443b7921f5db546ddc7973acdb4b" ns2:_="" ns3:_="">
    <xsd:import namespace="6076d197-b432-4a89-8b9d-b97676e775aa"/>
    <xsd:import namespace="3f71e46e-dbdb-4936-a808-49fb891fc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mments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6d197-b432-4a89-8b9d-b97676e7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description="review comments from team members" ma:format="Dropdown" ma:internalName="comments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0" ma:index="24" nillable="true" ma:displayName="Comments" ma:format="Dropdown" ma:internalName="Comments0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e46e-dbdb-4936-a808-49fb891fc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2f9121-0246-4fc8-b50d-d8001407eeb5}" ma:internalName="TaxCatchAll" ma:showField="CatchAllData" ma:web="3f71e46e-dbdb-4936-a808-49fb891fc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e46e-dbdb-4936-a808-49fb891fc3e2" xsi:nil="true"/>
    <lcf76f155ced4ddcb4097134ff3c332f xmlns="6076d197-b432-4a89-8b9d-b97676e775aa">
      <Terms xmlns="http://schemas.microsoft.com/office/infopath/2007/PartnerControls"/>
    </lcf76f155ced4ddcb4097134ff3c332f>
    <comments xmlns="6076d197-b432-4a89-8b9d-b97676e775aa" xsi:nil="true"/>
    <SharedWithUsers xmlns="3f71e46e-dbdb-4936-a808-49fb891fc3e2">
      <UserInfo>
        <DisplayName/>
        <AccountId xsi:nil="true"/>
        <AccountType/>
      </UserInfo>
    </SharedWithUsers>
    <MediaLengthInSeconds xmlns="6076d197-b432-4a89-8b9d-b97676e775aa" xsi:nil="true"/>
    <Comments0 xmlns="6076d197-b432-4a89-8b9d-b97676e775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35133-CB19-4845-9ABD-796420166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6d197-b432-4a89-8b9d-b97676e775aa"/>
    <ds:schemaRef ds:uri="3f71e46e-dbdb-4936-a808-49fb891f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99FC9-DDFB-48DE-B3FD-714C4DE4553B}">
  <ds:schemaRefs>
    <ds:schemaRef ds:uri="http://schemas.openxmlformats.org/package/2006/metadata/core-properties"/>
    <ds:schemaRef ds:uri="3f71e46e-dbdb-4936-a808-49fb891fc3e2"/>
    <ds:schemaRef ds:uri="6076d197-b432-4a89-8b9d-b97676e775aa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B4A1AF1-E231-4643-BA47-05B5079BAA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Dietz</dc:creator>
  <cp:lastModifiedBy>GOLDBERG Deb * DEQ</cp:lastModifiedBy>
  <cp:revision>2</cp:revision>
  <dcterms:created xsi:type="dcterms:W3CDTF">2025-10-03T17:14:00Z</dcterms:created>
  <dcterms:modified xsi:type="dcterms:W3CDTF">2025-10-03T17:14:00Z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0x010100D20178CB431FBB44BA390DFB7A67DCC0</vt:lpwstr>
  </property>
  <property fmtid="{D5CDD505-2E9C-101B-9397-08002B2CF9AE}" pid="3" name="Order">
    <vt:r8>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