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81" w:rsidRDefault="00AF3620">
      <w:pPr>
        <w:tabs>
          <w:tab w:val="left" w:pos="360"/>
        </w:tabs>
        <w:jc w:val="center"/>
        <w:rPr>
          <w:rFonts w:ascii="Arial" w:hAnsi="Arial" w:cs="Arial"/>
          <w:b/>
        </w:rPr>
      </w:pPr>
      <w:r>
        <w:rPr>
          <w:rFonts w:ascii="Arial" w:hAnsi="Arial" w:cs="Arial"/>
          <w:noProof/>
        </w:rPr>
        <w:drawing>
          <wp:anchor distT="0" distB="0" distL="114300" distR="114300" simplePos="0" relativeHeight="251657728" behindDoc="0" locked="0" layoutInCell="1" allowOverlap="1">
            <wp:simplePos x="0" y="0"/>
            <wp:positionH relativeFrom="column">
              <wp:posOffset>22225</wp:posOffset>
            </wp:positionH>
            <wp:positionV relativeFrom="paragraph">
              <wp:posOffset>-3175</wp:posOffset>
            </wp:positionV>
            <wp:extent cx="583565" cy="874395"/>
            <wp:effectExtent l="19050" t="0" r="698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83565" cy="874395"/>
                    </a:xfrm>
                    <a:prstGeom prst="rect">
                      <a:avLst/>
                    </a:prstGeom>
                    <a:noFill/>
                    <a:ln w="9525">
                      <a:noFill/>
                      <a:miter lim="800000"/>
                      <a:headEnd/>
                      <a:tailEnd/>
                    </a:ln>
                  </pic:spPr>
                </pic:pic>
              </a:graphicData>
            </a:graphic>
          </wp:anchor>
        </w:drawing>
      </w:r>
      <w:r w:rsidR="00E01A81" w:rsidRPr="000C460C">
        <w:rPr>
          <w:rFonts w:ascii="Arial" w:hAnsi="Arial" w:cs="Arial"/>
          <w:b/>
        </w:rPr>
        <w:t>NATIONAL POLLUTANT DISCHARGE ELIMINATION SYSTEM</w:t>
      </w:r>
    </w:p>
    <w:p w:rsidR="00E01A81" w:rsidRDefault="00E01A81" w:rsidP="009C3B2E">
      <w:pPr>
        <w:jc w:val="center"/>
        <w:rPr>
          <w:rFonts w:ascii="Arial" w:hAnsi="Arial" w:cs="Arial"/>
          <w:b/>
        </w:rPr>
      </w:pPr>
      <w:r w:rsidRPr="000C460C">
        <w:rPr>
          <w:rFonts w:ascii="Arial" w:hAnsi="Arial" w:cs="Arial"/>
          <w:b/>
        </w:rPr>
        <w:t>WASTE DISCHARGE PERMIT</w:t>
      </w:r>
    </w:p>
    <w:p w:rsidR="00447DAC" w:rsidRPr="000C460C" w:rsidRDefault="00447DAC" w:rsidP="009C3B2E">
      <w:pPr>
        <w:jc w:val="center"/>
        <w:rPr>
          <w:rFonts w:ascii="Arial" w:hAnsi="Arial" w:cs="Arial"/>
          <w:b/>
        </w:rPr>
      </w:pPr>
    </w:p>
    <w:p w:rsidR="005A32D5" w:rsidRPr="005E3FBE" w:rsidRDefault="005A32D5" w:rsidP="005A32D5">
      <w:pPr>
        <w:jc w:val="center"/>
      </w:pPr>
      <w:bookmarkStart w:id="0" w:name="bmOffice"/>
      <w:bookmarkEnd w:id="0"/>
      <w:r w:rsidRPr="00754C90">
        <w:t>Northwest</w:t>
      </w:r>
      <w:r>
        <w:t xml:space="preserve"> Region </w:t>
      </w:r>
      <w:r w:rsidRPr="005E3FBE">
        <w:t>Office</w:t>
      </w:r>
    </w:p>
    <w:p w:rsidR="005A32D5" w:rsidRPr="005E3FBE" w:rsidRDefault="005A32D5" w:rsidP="005A32D5">
      <w:pPr>
        <w:jc w:val="center"/>
      </w:pPr>
      <w:r>
        <w:t>2020 SW Fourth Ave., Portland, OR 97201</w:t>
      </w:r>
    </w:p>
    <w:p w:rsidR="005A32D5" w:rsidRPr="005E3FBE" w:rsidRDefault="005A32D5" w:rsidP="005A32D5">
      <w:pPr>
        <w:jc w:val="center"/>
      </w:pPr>
      <w:r w:rsidRPr="005E3FBE">
        <w:t xml:space="preserve">Telephone: </w:t>
      </w:r>
      <w:r>
        <w:t>503-229-5263</w:t>
      </w:r>
    </w:p>
    <w:p w:rsidR="00E01A81" w:rsidRPr="005E3FBE" w:rsidRDefault="00E01A81" w:rsidP="009C3B2E">
      <w:pPr>
        <w:jc w:val="center"/>
      </w:pPr>
      <w:proofErr w:type="gramStart"/>
      <w:r w:rsidRPr="005E3FBE">
        <w:t xml:space="preserve">Issued pursuant to ORS 468B.050 and </w:t>
      </w:r>
      <w:r w:rsidR="00465CEC">
        <w:t>T</w:t>
      </w:r>
      <w:r w:rsidR="00465CEC" w:rsidRPr="005E3FBE">
        <w:t xml:space="preserve">he </w:t>
      </w:r>
      <w:r w:rsidRPr="005E3FBE">
        <w:t xml:space="preserve">Federal </w:t>
      </w:r>
      <w:r w:rsidR="00465CEC">
        <w:t xml:space="preserve">Water Pollution Control Act (The </w:t>
      </w:r>
      <w:r w:rsidRPr="005E3FBE">
        <w:t>Clean Water Act</w:t>
      </w:r>
      <w:r w:rsidR="00465CEC">
        <w:t>)</w:t>
      </w:r>
      <w:r w:rsidR="00447DAC">
        <w:t>.</w:t>
      </w:r>
      <w:proofErr w:type="gramEnd"/>
    </w:p>
    <w:p w:rsidR="00CE0CBC" w:rsidRDefault="00B70020" w:rsidP="007A0E6F">
      <w:pPr>
        <w:spacing w:after="120"/>
      </w:pPr>
      <w:r>
        <w:pict>
          <v:rect id="_x0000_i1025" style="width:7in;height:1.5pt" o:hralign="center" o:hrstd="t" o:hrnoshade="t" o:hr="t" fillcolor="black" stroked="f"/>
        </w:pict>
      </w:r>
    </w:p>
    <w:tbl>
      <w:tblPr>
        <w:tblW w:w="10662" w:type="dxa"/>
        <w:tblLook w:val="04A0"/>
      </w:tblPr>
      <w:tblGrid>
        <w:gridCol w:w="4320"/>
        <w:gridCol w:w="2178"/>
        <w:gridCol w:w="192"/>
        <w:gridCol w:w="990"/>
        <w:gridCol w:w="192"/>
        <w:gridCol w:w="2598"/>
        <w:gridCol w:w="192"/>
      </w:tblGrid>
      <w:tr w:rsidR="00CE0CBC" w:rsidRPr="005166EC" w:rsidTr="00CA3617">
        <w:trPr>
          <w:gridAfter w:val="1"/>
          <w:wAfter w:w="192" w:type="dxa"/>
        </w:trPr>
        <w:tc>
          <w:tcPr>
            <w:tcW w:w="4320" w:type="dxa"/>
          </w:tcPr>
          <w:p w:rsidR="00CE0CBC" w:rsidRPr="005166EC" w:rsidRDefault="00CE0CBC" w:rsidP="00BF41A1">
            <w:pPr>
              <w:spacing w:after="120"/>
              <w:rPr>
                <w:rFonts w:ascii="Arial" w:hAnsi="Arial" w:cs="Arial"/>
                <w:sz w:val="20"/>
                <w:szCs w:val="20"/>
              </w:rPr>
            </w:pPr>
            <w:r w:rsidRPr="005166EC">
              <w:rPr>
                <w:rFonts w:ascii="Arial" w:hAnsi="Arial" w:cs="Arial"/>
                <w:b/>
                <w:sz w:val="20"/>
                <w:szCs w:val="20"/>
              </w:rPr>
              <w:t>ISSUED TO:</w:t>
            </w:r>
          </w:p>
        </w:tc>
        <w:tc>
          <w:tcPr>
            <w:tcW w:w="6150" w:type="dxa"/>
            <w:gridSpan w:val="5"/>
          </w:tcPr>
          <w:p w:rsidR="00CE0CBC" w:rsidRPr="005166EC" w:rsidRDefault="00CE0CBC" w:rsidP="00BF41A1">
            <w:pPr>
              <w:spacing w:after="120"/>
              <w:rPr>
                <w:rFonts w:ascii="Arial" w:hAnsi="Arial" w:cs="Arial"/>
                <w:sz w:val="20"/>
                <w:szCs w:val="20"/>
              </w:rPr>
            </w:pPr>
            <w:r w:rsidRPr="005166EC">
              <w:rPr>
                <w:rFonts w:ascii="Arial" w:hAnsi="Arial" w:cs="Arial"/>
                <w:b/>
                <w:sz w:val="20"/>
                <w:szCs w:val="20"/>
              </w:rPr>
              <w:t>SOURCES COVERED BY THIS PERMIT</w:t>
            </w:r>
            <w:r w:rsidR="000C460C" w:rsidRPr="005166EC">
              <w:rPr>
                <w:rFonts w:ascii="Arial" w:hAnsi="Arial" w:cs="Arial"/>
                <w:b/>
                <w:sz w:val="20"/>
                <w:szCs w:val="20"/>
              </w:rPr>
              <w:t>:</w:t>
            </w:r>
          </w:p>
        </w:tc>
      </w:tr>
      <w:tr w:rsidR="00210F6D" w:rsidRPr="005166EC" w:rsidTr="00CA3617">
        <w:trPr>
          <w:gridAfter w:val="1"/>
          <w:wAfter w:w="192" w:type="dxa"/>
        </w:trPr>
        <w:tc>
          <w:tcPr>
            <w:tcW w:w="4320" w:type="dxa"/>
            <w:vMerge w:val="restart"/>
          </w:tcPr>
          <w:p w:rsidR="004C7C25" w:rsidRDefault="004C7C25" w:rsidP="00EA047E">
            <w:pPr>
              <w:tabs>
                <w:tab w:val="left" w:pos="-1440"/>
                <w:tab w:val="left" w:pos="-720"/>
                <w:tab w:val="left" w:pos="4320"/>
              </w:tabs>
              <w:suppressAutoHyphens/>
              <w:rPr>
                <w:spacing w:val="-3"/>
              </w:rPr>
            </w:pPr>
          </w:p>
          <w:p w:rsidR="004C7C25" w:rsidRDefault="004C7C25" w:rsidP="00EA047E">
            <w:pPr>
              <w:tabs>
                <w:tab w:val="left" w:pos="-1440"/>
                <w:tab w:val="left" w:pos="-720"/>
                <w:tab w:val="left" w:pos="4320"/>
              </w:tabs>
              <w:suppressAutoHyphens/>
              <w:rPr>
                <w:spacing w:val="-3"/>
              </w:rPr>
            </w:pPr>
          </w:p>
          <w:p w:rsidR="004C7C25" w:rsidRDefault="004C7C25" w:rsidP="00EA047E">
            <w:pPr>
              <w:tabs>
                <w:tab w:val="left" w:pos="-1440"/>
                <w:tab w:val="left" w:pos="-720"/>
                <w:tab w:val="left" w:pos="4320"/>
              </w:tabs>
              <w:suppressAutoHyphens/>
              <w:rPr>
                <w:spacing w:val="-3"/>
              </w:rPr>
            </w:pPr>
          </w:p>
          <w:p w:rsidR="00EA047E" w:rsidRDefault="00EA047E" w:rsidP="00EA047E">
            <w:pPr>
              <w:tabs>
                <w:tab w:val="left" w:pos="-1440"/>
                <w:tab w:val="left" w:pos="-720"/>
                <w:tab w:val="left" w:pos="4320"/>
              </w:tabs>
              <w:suppressAutoHyphens/>
              <w:rPr>
                <w:spacing w:val="-3"/>
              </w:rPr>
            </w:pPr>
            <w:r>
              <w:rPr>
                <w:spacing w:val="-3"/>
              </w:rPr>
              <w:t>Northwest Natural</w:t>
            </w:r>
          </w:p>
          <w:p w:rsidR="00EA047E" w:rsidRDefault="00EA047E" w:rsidP="00EA047E">
            <w:pPr>
              <w:tabs>
                <w:tab w:val="left" w:pos="-1440"/>
                <w:tab w:val="left" w:pos="-720"/>
                <w:tab w:val="left" w:pos="4320"/>
              </w:tabs>
              <w:suppressAutoHyphens/>
            </w:pPr>
            <w:r>
              <w:rPr>
                <w:spacing w:val="-3"/>
              </w:rPr>
              <w:t>220 NW Second Avenue</w:t>
            </w:r>
          </w:p>
          <w:p w:rsidR="004A6746" w:rsidRPr="005166EC" w:rsidRDefault="00EA047E" w:rsidP="00EA047E">
            <w:r>
              <w:t>Portland</w:t>
            </w:r>
            <w:r w:rsidRPr="00C4799F">
              <w:t>, O</w:t>
            </w:r>
            <w:r>
              <w:t>R 9</w:t>
            </w:r>
            <w:r w:rsidRPr="00C4799F">
              <w:t>72</w:t>
            </w:r>
            <w:r>
              <w:t>09</w:t>
            </w:r>
          </w:p>
        </w:tc>
        <w:tc>
          <w:tcPr>
            <w:tcW w:w="2178" w:type="dxa"/>
          </w:tcPr>
          <w:p w:rsidR="00A92285" w:rsidRDefault="00A92285" w:rsidP="00E01A81">
            <w:pPr>
              <w:rPr>
                <w:b/>
              </w:rPr>
            </w:pPr>
          </w:p>
          <w:p w:rsidR="00611606" w:rsidRPr="00611606" w:rsidRDefault="00611606" w:rsidP="00E01A81">
            <w:pPr>
              <w:rPr>
                <w:b/>
                <w:u w:val="single"/>
              </w:rPr>
            </w:pPr>
            <w:r w:rsidRPr="00611606">
              <w:rPr>
                <w:b/>
                <w:u w:val="single"/>
              </w:rPr>
              <w:t>Type of Waste</w:t>
            </w:r>
          </w:p>
        </w:tc>
        <w:tc>
          <w:tcPr>
            <w:tcW w:w="1182" w:type="dxa"/>
            <w:gridSpan w:val="2"/>
          </w:tcPr>
          <w:p w:rsidR="00A92285" w:rsidRPr="005166EC" w:rsidRDefault="00A92285" w:rsidP="00611606">
            <w:pPr>
              <w:jc w:val="center"/>
              <w:rPr>
                <w:b/>
              </w:rPr>
            </w:pPr>
            <w:r w:rsidRPr="005166EC">
              <w:rPr>
                <w:b/>
              </w:rPr>
              <w:t>Outfall</w:t>
            </w:r>
          </w:p>
          <w:p w:rsidR="00A92285" w:rsidRPr="00611606" w:rsidRDefault="00A92285" w:rsidP="005166EC">
            <w:pPr>
              <w:jc w:val="center"/>
              <w:rPr>
                <w:b/>
                <w:u w:val="single"/>
              </w:rPr>
            </w:pPr>
            <w:r w:rsidRPr="00611606">
              <w:rPr>
                <w:b/>
                <w:u w:val="single"/>
              </w:rPr>
              <w:t>Number</w:t>
            </w:r>
          </w:p>
        </w:tc>
        <w:tc>
          <w:tcPr>
            <w:tcW w:w="2790" w:type="dxa"/>
            <w:gridSpan w:val="2"/>
          </w:tcPr>
          <w:p w:rsidR="00A92285" w:rsidRPr="005166EC" w:rsidRDefault="00A92285" w:rsidP="005166EC">
            <w:pPr>
              <w:jc w:val="center"/>
              <w:rPr>
                <w:b/>
              </w:rPr>
            </w:pPr>
            <w:r w:rsidRPr="005166EC">
              <w:rPr>
                <w:b/>
              </w:rPr>
              <w:t>Outfall</w:t>
            </w:r>
          </w:p>
          <w:p w:rsidR="00A92285" w:rsidRPr="00611606" w:rsidRDefault="00A92285" w:rsidP="005166EC">
            <w:pPr>
              <w:jc w:val="center"/>
              <w:rPr>
                <w:u w:val="single"/>
              </w:rPr>
            </w:pPr>
            <w:r w:rsidRPr="00611606">
              <w:rPr>
                <w:b/>
                <w:u w:val="single"/>
              </w:rPr>
              <w:t>Location</w:t>
            </w:r>
          </w:p>
        </w:tc>
      </w:tr>
      <w:tr w:rsidR="00EA047E" w:rsidRPr="005166EC" w:rsidTr="00CA3617">
        <w:tc>
          <w:tcPr>
            <w:tcW w:w="4320" w:type="dxa"/>
            <w:vMerge/>
          </w:tcPr>
          <w:p w:rsidR="00EA047E" w:rsidRPr="005166EC" w:rsidRDefault="00EA047E" w:rsidP="00E01A81"/>
        </w:tc>
        <w:tc>
          <w:tcPr>
            <w:tcW w:w="2370" w:type="dxa"/>
            <w:gridSpan w:val="2"/>
          </w:tcPr>
          <w:p w:rsidR="004C7C25" w:rsidRDefault="004C7C25" w:rsidP="00EA047E"/>
          <w:p w:rsidR="00EA047E" w:rsidRPr="00CF0D45" w:rsidRDefault="00EA047E" w:rsidP="00426B7B">
            <w:r w:rsidRPr="00CF0D45">
              <w:t>Treated Groundwater</w:t>
            </w:r>
            <w:r w:rsidR="00426B7B">
              <w:t xml:space="preserve"> and Stormwater</w:t>
            </w:r>
          </w:p>
        </w:tc>
        <w:tc>
          <w:tcPr>
            <w:tcW w:w="1182" w:type="dxa"/>
            <w:gridSpan w:val="2"/>
          </w:tcPr>
          <w:p w:rsidR="004C7C25" w:rsidRDefault="004C7C25" w:rsidP="00EA047E"/>
          <w:p w:rsidR="00EA047E" w:rsidRPr="005166EC" w:rsidRDefault="00611606" w:rsidP="00EA047E">
            <w:r>
              <w:t xml:space="preserve">  </w:t>
            </w:r>
            <w:r w:rsidR="00EA047E" w:rsidRPr="00D13A0C">
              <w:t>001</w:t>
            </w:r>
          </w:p>
        </w:tc>
        <w:tc>
          <w:tcPr>
            <w:tcW w:w="2790" w:type="dxa"/>
            <w:gridSpan w:val="2"/>
          </w:tcPr>
          <w:p w:rsidR="004C7C25" w:rsidRDefault="004C7C25" w:rsidP="005A32D5">
            <w:pPr>
              <w:pStyle w:val="PermitBodyText"/>
              <w:ind w:firstLine="690"/>
              <w:rPr>
                <w:rFonts w:ascii="Times New Roman" w:hAnsi="Times New Roman"/>
                <w:szCs w:val="22"/>
              </w:rPr>
            </w:pPr>
          </w:p>
          <w:p w:rsidR="00EA047E" w:rsidRPr="00EA047E" w:rsidRDefault="00EA047E" w:rsidP="005A32D5">
            <w:pPr>
              <w:pStyle w:val="PermitBodyText"/>
              <w:ind w:firstLine="690"/>
              <w:rPr>
                <w:rFonts w:ascii="Times New Roman" w:hAnsi="Times New Roman"/>
                <w:szCs w:val="22"/>
              </w:rPr>
            </w:pPr>
            <w:r>
              <w:rPr>
                <w:rFonts w:ascii="Times New Roman" w:hAnsi="Times New Roman"/>
                <w:szCs w:val="22"/>
              </w:rPr>
              <w:t>R.M. 6.4</w:t>
            </w:r>
          </w:p>
        </w:tc>
      </w:tr>
      <w:tr w:rsidR="00EA047E" w:rsidRPr="005166EC" w:rsidTr="00CA3617">
        <w:trPr>
          <w:gridAfter w:val="1"/>
          <w:wAfter w:w="192" w:type="dxa"/>
        </w:trPr>
        <w:tc>
          <w:tcPr>
            <w:tcW w:w="4320" w:type="dxa"/>
            <w:vMerge/>
          </w:tcPr>
          <w:p w:rsidR="00EA047E" w:rsidRPr="005166EC" w:rsidRDefault="00EA047E" w:rsidP="00E01A81"/>
        </w:tc>
        <w:tc>
          <w:tcPr>
            <w:tcW w:w="2178" w:type="dxa"/>
          </w:tcPr>
          <w:p w:rsidR="00EA047E" w:rsidRPr="00CF0D45" w:rsidRDefault="00EA047E" w:rsidP="00EA047E"/>
        </w:tc>
        <w:tc>
          <w:tcPr>
            <w:tcW w:w="1182" w:type="dxa"/>
            <w:gridSpan w:val="2"/>
          </w:tcPr>
          <w:p w:rsidR="00EA047E" w:rsidRDefault="00EA047E">
            <w:pPr>
              <w:jc w:val="center"/>
            </w:pPr>
          </w:p>
        </w:tc>
        <w:tc>
          <w:tcPr>
            <w:tcW w:w="2790" w:type="dxa"/>
            <w:gridSpan w:val="2"/>
          </w:tcPr>
          <w:p w:rsidR="00EA047E" w:rsidRPr="005166EC" w:rsidRDefault="00EA047E" w:rsidP="00EE1FA3"/>
        </w:tc>
      </w:tr>
      <w:tr w:rsidR="00210F6D" w:rsidRPr="005166EC" w:rsidTr="00CA3617">
        <w:trPr>
          <w:gridAfter w:val="1"/>
          <w:wAfter w:w="192" w:type="dxa"/>
        </w:trPr>
        <w:tc>
          <w:tcPr>
            <w:tcW w:w="4320" w:type="dxa"/>
            <w:vMerge/>
          </w:tcPr>
          <w:p w:rsidR="00A92285" w:rsidRPr="005166EC" w:rsidRDefault="00A92285" w:rsidP="00E01A81"/>
        </w:tc>
        <w:tc>
          <w:tcPr>
            <w:tcW w:w="2178" w:type="dxa"/>
          </w:tcPr>
          <w:p w:rsidR="00A92285" w:rsidRPr="005166EC" w:rsidRDefault="00A92285" w:rsidP="00E01A81"/>
        </w:tc>
        <w:tc>
          <w:tcPr>
            <w:tcW w:w="1182" w:type="dxa"/>
            <w:gridSpan w:val="2"/>
          </w:tcPr>
          <w:p w:rsidR="00A92285" w:rsidRPr="005166EC" w:rsidRDefault="00A92285" w:rsidP="005166EC">
            <w:pPr>
              <w:jc w:val="center"/>
            </w:pPr>
          </w:p>
        </w:tc>
        <w:tc>
          <w:tcPr>
            <w:tcW w:w="2790" w:type="dxa"/>
            <w:gridSpan w:val="2"/>
          </w:tcPr>
          <w:p w:rsidR="00A92285" w:rsidRPr="005166EC" w:rsidRDefault="00A92285" w:rsidP="00EE1FA3"/>
        </w:tc>
      </w:tr>
    </w:tbl>
    <w:p w:rsidR="00224FB5" w:rsidRDefault="00224FB5" w:rsidP="00E01A81"/>
    <w:tbl>
      <w:tblPr>
        <w:tblW w:w="0" w:type="auto"/>
        <w:tblLook w:val="04A0"/>
      </w:tblPr>
      <w:tblGrid>
        <w:gridCol w:w="4320"/>
        <w:gridCol w:w="5976"/>
      </w:tblGrid>
      <w:tr w:rsidR="000C460C" w:rsidRPr="005166EC" w:rsidTr="005166EC">
        <w:tc>
          <w:tcPr>
            <w:tcW w:w="4320" w:type="dxa"/>
          </w:tcPr>
          <w:p w:rsidR="000C460C" w:rsidRPr="005166EC" w:rsidRDefault="000C460C" w:rsidP="005166EC">
            <w:pPr>
              <w:spacing w:after="120"/>
              <w:rPr>
                <w:rFonts w:ascii="Arial" w:hAnsi="Arial" w:cs="Arial"/>
                <w:sz w:val="20"/>
                <w:szCs w:val="20"/>
              </w:rPr>
            </w:pPr>
            <w:r w:rsidRPr="005166EC">
              <w:rPr>
                <w:rFonts w:ascii="Arial" w:hAnsi="Arial" w:cs="Arial"/>
                <w:b/>
                <w:sz w:val="20"/>
                <w:szCs w:val="20"/>
              </w:rPr>
              <w:t>FACILITY TYPE AND LOCATION:</w:t>
            </w:r>
          </w:p>
        </w:tc>
        <w:tc>
          <w:tcPr>
            <w:tcW w:w="5976" w:type="dxa"/>
          </w:tcPr>
          <w:p w:rsidR="000C460C" w:rsidRPr="005166EC" w:rsidRDefault="000C460C" w:rsidP="005166EC">
            <w:pPr>
              <w:spacing w:after="120"/>
              <w:rPr>
                <w:rFonts w:ascii="Arial" w:hAnsi="Arial" w:cs="Arial"/>
                <w:sz w:val="20"/>
                <w:szCs w:val="20"/>
              </w:rPr>
            </w:pPr>
            <w:r w:rsidRPr="005166EC">
              <w:rPr>
                <w:rFonts w:ascii="Arial" w:hAnsi="Arial" w:cs="Arial"/>
                <w:b/>
                <w:sz w:val="20"/>
                <w:szCs w:val="20"/>
              </w:rPr>
              <w:t>RECEIVING STREAM INFORMATION:</w:t>
            </w:r>
          </w:p>
        </w:tc>
      </w:tr>
      <w:tr w:rsidR="00B3035E" w:rsidRPr="005166EC" w:rsidTr="005166EC">
        <w:tc>
          <w:tcPr>
            <w:tcW w:w="4320" w:type="dxa"/>
            <w:vMerge w:val="restart"/>
          </w:tcPr>
          <w:p w:rsidR="00EA047E" w:rsidRPr="00D13A0C" w:rsidRDefault="00EA047E" w:rsidP="00EA047E">
            <w:pPr>
              <w:pStyle w:val="PermitBodyText"/>
              <w:rPr>
                <w:rFonts w:ascii="Times New Roman" w:hAnsi="Times New Roman"/>
                <w:szCs w:val="22"/>
              </w:rPr>
            </w:pPr>
            <w:r>
              <w:rPr>
                <w:rFonts w:ascii="Times New Roman" w:hAnsi="Times New Roman"/>
                <w:szCs w:val="22"/>
              </w:rPr>
              <w:t xml:space="preserve">Groundwater </w:t>
            </w:r>
            <w:r w:rsidR="000B1D34">
              <w:rPr>
                <w:rFonts w:ascii="Times New Roman" w:hAnsi="Times New Roman"/>
                <w:szCs w:val="22"/>
              </w:rPr>
              <w:t xml:space="preserve">Treatment System </w:t>
            </w:r>
            <w:r w:rsidR="00C6024E">
              <w:rPr>
                <w:rFonts w:ascii="Times New Roman" w:hAnsi="Times New Roman"/>
                <w:szCs w:val="22"/>
              </w:rPr>
              <w:t>-</w:t>
            </w:r>
          </w:p>
          <w:p w:rsidR="00C6024E" w:rsidRDefault="00EA047E" w:rsidP="00EA047E">
            <w:pPr>
              <w:pStyle w:val="PermitBodyText"/>
              <w:rPr>
                <w:rFonts w:ascii="Times New Roman" w:hAnsi="Times New Roman"/>
                <w:spacing w:val="-3"/>
                <w:szCs w:val="22"/>
              </w:rPr>
            </w:pPr>
            <w:r w:rsidRPr="00FF07C3">
              <w:rPr>
                <w:rFonts w:ascii="Times New Roman" w:hAnsi="Times New Roman"/>
                <w:szCs w:val="22"/>
              </w:rPr>
              <w:t xml:space="preserve">Former </w:t>
            </w:r>
            <w:r w:rsidRPr="00FF07C3">
              <w:rPr>
                <w:rFonts w:ascii="Times New Roman" w:hAnsi="Times New Roman"/>
                <w:spacing w:val="-3"/>
                <w:szCs w:val="22"/>
              </w:rPr>
              <w:t xml:space="preserve">oil gasification plant and </w:t>
            </w:r>
          </w:p>
          <w:p w:rsidR="00EA047E" w:rsidRPr="00FF07C3" w:rsidRDefault="00EA047E" w:rsidP="00EA047E">
            <w:pPr>
              <w:pStyle w:val="PermitBodyText"/>
              <w:rPr>
                <w:rFonts w:ascii="Times New Roman" w:hAnsi="Times New Roman"/>
                <w:szCs w:val="22"/>
              </w:rPr>
            </w:pPr>
            <w:r w:rsidRPr="00FF07C3">
              <w:rPr>
                <w:rFonts w:ascii="Times New Roman" w:hAnsi="Times New Roman"/>
                <w:spacing w:val="-3"/>
                <w:szCs w:val="22"/>
              </w:rPr>
              <w:t>by-products refinery</w:t>
            </w:r>
          </w:p>
          <w:p w:rsidR="00EA047E" w:rsidRDefault="00EA047E" w:rsidP="00EA047E">
            <w:pPr>
              <w:tabs>
                <w:tab w:val="left" w:pos="-1440"/>
                <w:tab w:val="left" w:pos="-720"/>
                <w:tab w:val="left" w:pos="4320"/>
              </w:tabs>
              <w:suppressAutoHyphens/>
            </w:pPr>
            <w:r w:rsidRPr="00FF07C3">
              <w:rPr>
                <w:spacing w:val="-3"/>
              </w:rPr>
              <w:t>7900 NW St. Helens Rd</w:t>
            </w:r>
            <w:r>
              <w:t>.</w:t>
            </w:r>
          </w:p>
          <w:p w:rsidR="00B3035E" w:rsidRPr="005166EC" w:rsidRDefault="00EA047E" w:rsidP="00EA047E">
            <w:r>
              <w:t>Portland</w:t>
            </w:r>
            <w:r w:rsidRPr="00C4799F">
              <w:t>, O</w:t>
            </w:r>
            <w:r>
              <w:t>R 9</w:t>
            </w:r>
            <w:r w:rsidRPr="00C4799F">
              <w:t>72</w:t>
            </w:r>
            <w:r>
              <w:t>10</w:t>
            </w:r>
          </w:p>
        </w:tc>
        <w:tc>
          <w:tcPr>
            <w:tcW w:w="5976" w:type="dxa"/>
          </w:tcPr>
          <w:p w:rsidR="005F6C81" w:rsidRDefault="00B3035E" w:rsidP="009955D2">
            <w:r w:rsidRPr="005166EC">
              <w:t xml:space="preserve">WRD Basin: </w:t>
            </w:r>
            <w:r w:rsidR="005A32D5">
              <w:t>Willamette</w:t>
            </w:r>
          </w:p>
        </w:tc>
      </w:tr>
      <w:tr w:rsidR="00B3035E" w:rsidRPr="005166EC" w:rsidTr="005166EC">
        <w:tc>
          <w:tcPr>
            <w:tcW w:w="4320" w:type="dxa"/>
            <w:vMerge/>
          </w:tcPr>
          <w:p w:rsidR="00B3035E" w:rsidRPr="005166EC" w:rsidRDefault="00B3035E" w:rsidP="00E54801"/>
        </w:tc>
        <w:tc>
          <w:tcPr>
            <w:tcW w:w="5976" w:type="dxa"/>
          </w:tcPr>
          <w:p w:rsidR="00B3035E" w:rsidRPr="005166EC" w:rsidRDefault="00B3035E" w:rsidP="009955D2">
            <w:r w:rsidRPr="005166EC">
              <w:t xml:space="preserve">USGS </w:t>
            </w:r>
            <w:proofErr w:type="spellStart"/>
            <w:r w:rsidRPr="005166EC">
              <w:t>Subbasin</w:t>
            </w:r>
            <w:proofErr w:type="spellEnd"/>
            <w:r w:rsidRPr="005166EC">
              <w:t xml:space="preserve">: </w:t>
            </w:r>
            <w:r w:rsidR="005A32D5">
              <w:t>Lower Willamette</w:t>
            </w:r>
          </w:p>
        </w:tc>
      </w:tr>
      <w:tr w:rsidR="00B3035E" w:rsidRPr="005166EC" w:rsidTr="005166EC">
        <w:tc>
          <w:tcPr>
            <w:tcW w:w="4320" w:type="dxa"/>
            <w:vMerge/>
          </w:tcPr>
          <w:p w:rsidR="00B3035E" w:rsidRPr="005166EC" w:rsidRDefault="00B3035E" w:rsidP="00E54801"/>
        </w:tc>
        <w:tc>
          <w:tcPr>
            <w:tcW w:w="5976" w:type="dxa"/>
          </w:tcPr>
          <w:p w:rsidR="00B3035E" w:rsidRPr="005166EC" w:rsidRDefault="00B3035E" w:rsidP="00415FC3">
            <w:r w:rsidRPr="005166EC">
              <w:t xml:space="preserve">Receiving Stream: </w:t>
            </w:r>
            <w:r w:rsidR="00EA047E">
              <w:t>Willamette</w:t>
            </w:r>
            <w:r w:rsidR="00EA047E" w:rsidRPr="00D13A0C">
              <w:t xml:space="preserve"> River</w:t>
            </w:r>
          </w:p>
        </w:tc>
      </w:tr>
      <w:tr w:rsidR="00B3035E" w:rsidRPr="005166EC" w:rsidTr="005166EC">
        <w:tc>
          <w:tcPr>
            <w:tcW w:w="4320" w:type="dxa"/>
            <w:vMerge/>
          </w:tcPr>
          <w:p w:rsidR="00B3035E" w:rsidRPr="005166EC" w:rsidRDefault="00B3035E" w:rsidP="00E54801"/>
        </w:tc>
        <w:tc>
          <w:tcPr>
            <w:tcW w:w="5976" w:type="dxa"/>
          </w:tcPr>
          <w:p w:rsidR="005F6C81" w:rsidRDefault="00B3035E">
            <w:r w:rsidRPr="005166EC">
              <w:t xml:space="preserve">LLID: </w:t>
            </w:r>
            <w:r w:rsidR="00EA047E" w:rsidRPr="004A324F">
              <w:t>1227618456580-6.4-D</w:t>
            </w:r>
          </w:p>
        </w:tc>
      </w:tr>
      <w:tr w:rsidR="00B3035E" w:rsidRPr="005166EC" w:rsidTr="005166EC">
        <w:tc>
          <w:tcPr>
            <w:tcW w:w="4320" w:type="dxa"/>
            <w:vMerge/>
          </w:tcPr>
          <w:p w:rsidR="00B3035E" w:rsidRPr="005166EC" w:rsidRDefault="00B3035E" w:rsidP="00E54801"/>
        </w:tc>
        <w:tc>
          <w:tcPr>
            <w:tcW w:w="5976" w:type="dxa"/>
          </w:tcPr>
          <w:p w:rsidR="005F6C81" w:rsidRDefault="00B3035E">
            <w:r w:rsidRPr="005166EC">
              <w:t xml:space="preserve">County: </w:t>
            </w:r>
            <w:r w:rsidR="00EA047E">
              <w:t>Multnomah</w:t>
            </w:r>
          </w:p>
        </w:tc>
      </w:tr>
    </w:tbl>
    <w:p w:rsidR="00E01A81" w:rsidRDefault="00E01A81" w:rsidP="00E01A81">
      <w:bookmarkStart w:id="1" w:name="bmFacilityType"/>
      <w:bookmarkEnd w:id="1"/>
    </w:p>
    <w:p w:rsidR="00EA047E" w:rsidRPr="005E3FBE" w:rsidRDefault="00EA047E" w:rsidP="00E01A81"/>
    <w:p w:rsidR="00E01A81" w:rsidRPr="005E3FBE" w:rsidRDefault="00E01A81" w:rsidP="00E01A81">
      <w:r w:rsidRPr="00B3035E">
        <w:rPr>
          <w:rFonts w:ascii="Arial" w:hAnsi="Arial" w:cs="Arial"/>
          <w:b/>
          <w:sz w:val="20"/>
          <w:szCs w:val="20"/>
        </w:rPr>
        <w:t xml:space="preserve">EPA REFERENCE </w:t>
      </w:r>
      <w:r w:rsidR="00B3035E">
        <w:rPr>
          <w:rFonts w:ascii="Arial" w:hAnsi="Arial" w:cs="Arial"/>
          <w:b/>
          <w:sz w:val="20"/>
          <w:szCs w:val="20"/>
        </w:rPr>
        <w:t>#</w:t>
      </w:r>
      <w:r w:rsidRPr="00B3035E">
        <w:rPr>
          <w:rFonts w:ascii="Arial" w:hAnsi="Arial" w:cs="Arial"/>
          <w:b/>
          <w:sz w:val="20"/>
          <w:szCs w:val="20"/>
        </w:rPr>
        <w:t>:</w:t>
      </w:r>
      <w:r w:rsidRPr="00AE0CF7">
        <w:rPr>
          <w:color w:val="000000" w:themeColor="text1"/>
        </w:rPr>
        <w:t xml:space="preserve"> </w:t>
      </w:r>
      <w:bookmarkStart w:id="2" w:name="bmEPANbr"/>
      <w:bookmarkEnd w:id="2"/>
      <w:r w:rsidR="00EA047E" w:rsidRPr="00AE0CF7">
        <w:rPr>
          <w:color w:val="000000" w:themeColor="text1"/>
        </w:rPr>
        <w:t>OR</w:t>
      </w:r>
      <w:r w:rsidR="00AE0CF7">
        <w:rPr>
          <w:color w:val="000000" w:themeColor="text1"/>
        </w:rPr>
        <w:t xml:space="preserve"> </w:t>
      </w:r>
      <w:r w:rsidR="00AE0CF7" w:rsidRPr="00AE0CF7">
        <w:rPr>
          <w:color w:val="000000" w:themeColor="text1"/>
        </w:rPr>
        <w:t>004468</w:t>
      </w:r>
      <w:r w:rsidR="00AE0CF7">
        <w:rPr>
          <w:color w:val="000000" w:themeColor="text1"/>
        </w:rPr>
        <w:t>-</w:t>
      </w:r>
      <w:r w:rsidR="00AE0CF7" w:rsidRPr="00AE0CF7">
        <w:rPr>
          <w:color w:val="000000" w:themeColor="text1"/>
        </w:rPr>
        <w:t>7</w:t>
      </w:r>
    </w:p>
    <w:p w:rsidR="00E01A81" w:rsidRPr="005E3FBE" w:rsidRDefault="00E01A81" w:rsidP="00E01A81"/>
    <w:p w:rsidR="00E01A81" w:rsidRPr="005E3FBE" w:rsidRDefault="00E01A81" w:rsidP="00E01A81">
      <w:r w:rsidRPr="005E3FBE">
        <w:t xml:space="preserve">Issued in response to </w:t>
      </w:r>
      <w:r w:rsidR="00B3035E">
        <w:t>a</w:t>
      </w:r>
      <w:r w:rsidRPr="005E3FBE">
        <w:t xml:space="preserve">pplication </w:t>
      </w:r>
      <w:r w:rsidR="00B3035E">
        <w:t>#</w:t>
      </w:r>
      <w:bookmarkStart w:id="3" w:name="bmApplNbr"/>
      <w:bookmarkEnd w:id="3"/>
      <w:r w:rsidR="00EA047E">
        <w:t>967828</w:t>
      </w:r>
      <w:r w:rsidRPr="005E3FBE">
        <w:t xml:space="preserve"> received </w:t>
      </w:r>
      <w:bookmarkStart w:id="4" w:name="bmApplRecdDate"/>
      <w:bookmarkEnd w:id="4"/>
      <w:r w:rsidR="00EA047E">
        <w:t>January 28, 2011</w:t>
      </w:r>
      <w:r w:rsidR="00CA3617">
        <w:t xml:space="preserve"> </w:t>
      </w:r>
      <w:r w:rsidR="00793F2F">
        <w:t xml:space="preserve">(supplemental information received on </w:t>
      </w:r>
      <w:r w:rsidR="002E46E9">
        <w:t xml:space="preserve">5/10/2011, </w:t>
      </w:r>
      <w:r w:rsidR="00E85929">
        <w:t>1/31/2012</w:t>
      </w:r>
      <w:r w:rsidR="00793F2F">
        <w:t xml:space="preserve"> and </w:t>
      </w:r>
      <w:r w:rsidR="00E85929">
        <w:t>10/31/2012</w:t>
      </w:r>
      <w:r w:rsidR="00793F2F">
        <w:t xml:space="preserve">) </w:t>
      </w:r>
      <w:r w:rsidR="00B3035E">
        <w:t>and</w:t>
      </w:r>
      <w:r w:rsidRPr="005E3FBE">
        <w:t xml:space="preserve"> based on the land use </w:t>
      </w:r>
      <w:r w:rsidR="00B3035E">
        <w:t>compatibility statement</w:t>
      </w:r>
      <w:r w:rsidR="00B3035E" w:rsidRPr="005E3FBE">
        <w:t xml:space="preserve"> </w:t>
      </w:r>
      <w:r w:rsidRPr="005E3FBE">
        <w:t>in the permit record.</w:t>
      </w:r>
    </w:p>
    <w:p w:rsidR="00E01A81" w:rsidRDefault="00E01A81" w:rsidP="00E01A81"/>
    <w:p w:rsidR="00A92285" w:rsidRDefault="00A92285"/>
    <w:tbl>
      <w:tblPr>
        <w:tblW w:w="5000" w:type="pct"/>
        <w:tblLook w:val="04A0"/>
      </w:tblPr>
      <w:tblGrid>
        <w:gridCol w:w="4339"/>
        <w:gridCol w:w="360"/>
        <w:gridCol w:w="2430"/>
        <w:gridCol w:w="449"/>
        <w:gridCol w:w="2718"/>
      </w:tblGrid>
      <w:tr w:rsidR="00210F6D" w:rsidRPr="005166EC" w:rsidTr="005166EC">
        <w:tc>
          <w:tcPr>
            <w:tcW w:w="2107" w:type="pct"/>
            <w:tcBorders>
              <w:bottom w:val="single" w:sz="4" w:space="0" w:color="auto"/>
            </w:tcBorders>
          </w:tcPr>
          <w:p w:rsidR="00A92285" w:rsidRPr="005166EC" w:rsidRDefault="00A92285" w:rsidP="00E01A81"/>
        </w:tc>
        <w:tc>
          <w:tcPr>
            <w:tcW w:w="175" w:type="pct"/>
          </w:tcPr>
          <w:p w:rsidR="00A92285" w:rsidRPr="005166EC" w:rsidRDefault="00A92285" w:rsidP="00E01A81"/>
        </w:tc>
        <w:tc>
          <w:tcPr>
            <w:tcW w:w="1180" w:type="pct"/>
            <w:tcBorders>
              <w:bottom w:val="single" w:sz="4" w:space="0" w:color="auto"/>
            </w:tcBorders>
          </w:tcPr>
          <w:p w:rsidR="00A92285" w:rsidRPr="005166EC" w:rsidRDefault="00A92285" w:rsidP="00E01A81"/>
        </w:tc>
        <w:tc>
          <w:tcPr>
            <w:tcW w:w="218" w:type="pct"/>
          </w:tcPr>
          <w:p w:rsidR="00A92285" w:rsidRPr="005166EC" w:rsidRDefault="00A92285" w:rsidP="00E01A81"/>
        </w:tc>
        <w:tc>
          <w:tcPr>
            <w:tcW w:w="1320" w:type="pct"/>
            <w:tcBorders>
              <w:bottom w:val="single" w:sz="4" w:space="0" w:color="auto"/>
            </w:tcBorders>
          </w:tcPr>
          <w:p w:rsidR="00A92285" w:rsidRPr="005166EC" w:rsidRDefault="00CB66F7" w:rsidP="00E01A81">
            <w:r>
              <w:t>September 1, 2013</w:t>
            </w:r>
          </w:p>
        </w:tc>
      </w:tr>
      <w:tr w:rsidR="00210F6D" w:rsidRPr="005166EC" w:rsidTr="005166EC">
        <w:tc>
          <w:tcPr>
            <w:tcW w:w="2107" w:type="pct"/>
            <w:tcBorders>
              <w:top w:val="single" w:sz="4" w:space="0" w:color="auto"/>
            </w:tcBorders>
          </w:tcPr>
          <w:p w:rsidR="00EA047E" w:rsidRPr="008D3CB9" w:rsidRDefault="00EA047E" w:rsidP="00EA047E">
            <w:pPr>
              <w:pStyle w:val="BodyText"/>
              <w:rPr>
                <w:rFonts w:ascii="Times New Roman" w:hAnsi="Times New Roman"/>
                <w:szCs w:val="22"/>
              </w:rPr>
            </w:pPr>
            <w:r>
              <w:rPr>
                <w:rFonts w:ascii="Times New Roman" w:hAnsi="Times New Roman"/>
                <w:szCs w:val="22"/>
              </w:rPr>
              <w:t xml:space="preserve">Tiffany </w:t>
            </w:r>
            <w:proofErr w:type="spellStart"/>
            <w:r>
              <w:rPr>
                <w:rFonts w:ascii="Times New Roman" w:hAnsi="Times New Roman"/>
                <w:szCs w:val="22"/>
              </w:rPr>
              <w:t>Yelton</w:t>
            </w:r>
            <w:proofErr w:type="spellEnd"/>
            <w:r>
              <w:rPr>
                <w:rFonts w:ascii="Times New Roman" w:hAnsi="Times New Roman"/>
                <w:szCs w:val="22"/>
              </w:rPr>
              <w:t>-Bram, Manager</w:t>
            </w:r>
            <w:r w:rsidRPr="008D3CB9">
              <w:rPr>
                <w:rFonts w:ascii="Times New Roman" w:hAnsi="Times New Roman"/>
                <w:szCs w:val="22"/>
              </w:rPr>
              <w:t xml:space="preserve"> Water Quality </w:t>
            </w:r>
            <w:r>
              <w:rPr>
                <w:rFonts w:ascii="Times New Roman" w:hAnsi="Times New Roman"/>
                <w:szCs w:val="22"/>
              </w:rPr>
              <w:t>Source Control Section</w:t>
            </w:r>
          </w:p>
          <w:p w:rsidR="00EA047E" w:rsidRPr="008D3CB9" w:rsidRDefault="00EA047E" w:rsidP="00EA047E">
            <w:pPr>
              <w:pStyle w:val="BodyText"/>
              <w:rPr>
                <w:rFonts w:ascii="Times New Roman" w:hAnsi="Times New Roman"/>
                <w:szCs w:val="22"/>
              </w:rPr>
            </w:pPr>
            <w:r w:rsidRPr="008D3CB9">
              <w:rPr>
                <w:rFonts w:ascii="Times New Roman" w:hAnsi="Times New Roman"/>
                <w:szCs w:val="22"/>
              </w:rPr>
              <w:t>Northwest Region</w:t>
            </w:r>
          </w:p>
          <w:p w:rsidR="00793998" w:rsidRPr="005166EC" w:rsidRDefault="00793998" w:rsidP="0029675E"/>
        </w:tc>
        <w:tc>
          <w:tcPr>
            <w:tcW w:w="175" w:type="pct"/>
          </w:tcPr>
          <w:p w:rsidR="00A92285" w:rsidRPr="005166EC" w:rsidRDefault="00A92285" w:rsidP="00E01A81"/>
        </w:tc>
        <w:tc>
          <w:tcPr>
            <w:tcW w:w="1180" w:type="pct"/>
            <w:tcBorders>
              <w:top w:val="single" w:sz="4" w:space="0" w:color="auto"/>
            </w:tcBorders>
          </w:tcPr>
          <w:p w:rsidR="00A92285" w:rsidRPr="005166EC" w:rsidRDefault="00793998" w:rsidP="00E01A81">
            <w:r w:rsidRPr="005166EC">
              <w:t>Date</w:t>
            </w:r>
          </w:p>
        </w:tc>
        <w:tc>
          <w:tcPr>
            <w:tcW w:w="218" w:type="pct"/>
          </w:tcPr>
          <w:p w:rsidR="00A92285" w:rsidRPr="005166EC" w:rsidRDefault="00A92285" w:rsidP="00E01A81"/>
        </w:tc>
        <w:tc>
          <w:tcPr>
            <w:tcW w:w="1320" w:type="pct"/>
            <w:tcBorders>
              <w:top w:val="single" w:sz="4" w:space="0" w:color="auto"/>
            </w:tcBorders>
          </w:tcPr>
          <w:p w:rsidR="00A31829" w:rsidRDefault="00793998" w:rsidP="009955D2">
            <w:pPr>
              <w:rPr>
                <w:szCs w:val="24"/>
              </w:rPr>
            </w:pPr>
            <w:r w:rsidRPr="005166EC">
              <w:t>Effective Date</w:t>
            </w:r>
          </w:p>
        </w:tc>
      </w:tr>
    </w:tbl>
    <w:p w:rsidR="00E01A81" w:rsidRPr="00B25D7F" w:rsidRDefault="00B70020" w:rsidP="007A0E6F">
      <w:pPr>
        <w:spacing w:after="120"/>
      </w:pPr>
      <w:r>
        <w:pict>
          <v:rect id="_x0000_i1026" style="width:7in;height:1.5pt" o:hralign="center" o:hrstd="t" o:hrnoshade="t" o:hr="t" fillcolor="black" stroked="f"/>
        </w:pict>
      </w:r>
    </w:p>
    <w:p w:rsidR="00E01A81" w:rsidRPr="00793998" w:rsidRDefault="00E01A81" w:rsidP="00B25D7F">
      <w:pPr>
        <w:spacing w:after="120"/>
        <w:jc w:val="center"/>
        <w:rPr>
          <w:rFonts w:ascii="Arial" w:hAnsi="Arial" w:cs="Arial"/>
          <w:sz w:val="20"/>
          <w:szCs w:val="20"/>
        </w:rPr>
      </w:pPr>
      <w:r w:rsidRPr="00793998">
        <w:rPr>
          <w:rFonts w:ascii="Arial" w:hAnsi="Arial" w:cs="Arial"/>
          <w:b/>
          <w:sz w:val="20"/>
          <w:szCs w:val="20"/>
        </w:rPr>
        <w:t>PERMITTED ACTIVITIES</w:t>
      </w:r>
    </w:p>
    <w:p w:rsidR="00E01A81" w:rsidRPr="005E3FBE" w:rsidRDefault="00E01A81" w:rsidP="00E01A81">
      <w:r w:rsidRPr="005E3FBE">
        <w:t>Until this permit expires or is modified or revoked, the permittee is authorized to</w:t>
      </w:r>
      <w:r w:rsidR="00B25D7F">
        <w:t>: 1)</w:t>
      </w:r>
      <w:r w:rsidRPr="005E3FBE">
        <w:t xml:space="preserve"> operate a wastewater collection, treatment, control and disposal system</w:t>
      </w:r>
      <w:r w:rsidR="00B25D7F">
        <w:t>;</w:t>
      </w:r>
      <w:r w:rsidRPr="005E3FBE">
        <w:t xml:space="preserve"> and </w:t>
      </w:r>
      <w:r w:rsidR="00B25D7F">
        <w:t xml:space="preserve">2) </w:t>
      </w:r>
      <w:r w:rsidRPr="005E3FBE">
        <w:t xml:space="preserve">discharge treated wastewater </w:t>
      </w:r>
      <w:r>
        <w:t xml:space="preserve">to waters of the state </w:t>
      </w:r>
      <w:r w:rsidR="00C21A7C">
        <w:t xml:space="preserve">only </w:t>
      </w:r>
      <w:r w:rsidRPr="005E3FBE">
        <w:t xml:space="preserve">from the authorized discharge point or points in Schedule </w:t>
      </w:r>
      <w:proofErr w:type="gramStart"/>
      <w:r w:rsidRPr="005E3FBE">
        <w:t>A</w:t>
      </w:r>
      <w:proofErr w:type="gramEnd"/>
      <w:r w:rsidRPr="005E3FBE">
        <w:t xml:space="preserve"> in conformance with the requirements, limits, and conditions set forth in </w:t>
      </w:r>
      <w:r w:rsidR="00B25D7F">
        <w:t>this permit.</w:t>
      </w:r>
    </w:p>
    <w:p w:rsidR="00E01A81" w:rsidRPr="005E3FBE" w:rsidRDefault="00E01A81" w:rsidP="00E01A81"/>
    <w:p w:rsidR="00E01A81" w:rsidRDefault="00E01A81" w:rsidP="00E01A81">
      <w:pPr>
        <w:rPr>
          <w:snapToGrid w:val="0"/>
        </w:rPr>
      </w:pPr>
      <w:r w:rsidRPr="005E3FBE">
        <w:rPr>
          <w:snapToGrid w:val="0"/>
        </w:rPr>
        <w:t xml:space="preserve">Unless specifically authorized by this permit, by another NPDES or WPCF permit, or by Oregon </w:t>
      </w:r>
      <w:r>
        <w:rPr>
          <w:snapToGrid w:val="0"/>
        </w:rPr>
        <w:t>statute or a</w:t>
      </w:r>
      <w:r w:rsidRPr="005E3FBE">
        <w:rPr>
          <w:snapToGrid w:val="0"/>
        </w:rPr>
        <w:t xml:space="preserve">dministrative </w:t>
      </w:r>
      <w:r>
        <w:rPr>
          <w:snapToGrid w:val="0"/>
        </w:rPr>
        <w:t>r</w:t>
      </w:r>
      <w:r w:rsidRPr="005E3FBE">
        <w:rPr>
          <w:snapToGrid w:val="0"/>
        </w:rPr>
        <w:t xml:space="preserve">ule, any other direct or indirect discharge of </w:t>
      </w:r>
      <w:r w:rsidR="00210F6D">
        <w:rPr>
          <w:snapToGrid w:val="0"/>
        </w:rPr>
        <w:t xml:space="preserve">pollutants </w:t>
      </w:r>
      <w:r>
        <w:rPr>
          <w:snapToGrid w:val="0"/>
        </w:rPr>
        <w:t>to waters of the state</w:t>
      </w:r>
      <w:r w:rsidRPr="005E3FBE">
        <w:rPr>
          <w:snapToGrid w:val="0"/>
        </w:rPr>
        <w:t xml:space="preserve"> is prohibited</w:t>
      </w:r>
      <w:r>
        <w:rPr>
          <w:snapToGrid w:val="0"/>
        </w:rPr>
        <w:t>.</w:t>
      </w:r>
    </w:p>
    <w:p w:rsidR="00CF461E" w:rsidRPr="005E3FBE" w:rsidRDefault="00CF461E" w:rsidP="00E01A81"/>
    <w:p w:rsidR="00E54801" w:rsidRDefault="00E54801" w:rsidP="00E01A81">
      <w:pPr>
        <w:sectPr w:rsidR="00E54801" w:rsidSect="00AB2FD8">
          <w:headerReference w:type="default" r:id="rId12"/>
          <w:headerReference w:type="first" r:id="rId13"/>
          <w:endnotePr>
            <w:numFmt w:val="decimal"/>
          </w:endnotePr>
          <w:pgSz w:w="12240" w:h="15840"/>
          <w:pgMar w:top="1440" w:right="1080" w:bottom="1080" w:left="1080" w:header="360" w:footer="432" w:gutter="0"/>
          <w:cols w:space="720"/>
          <w:docGrid w:linePitch="360"/>
        </w:sectPr>
      </w:pPr>
    </w:p>
    <w:p w:rsidR="00D03654" w:rsidRPr="00D03654" w:rsidRDefault="00D03654" w:rsidP="00CA3617">
      <w:pPr>
        <w:spacing w:after="240"/>
        <w:rPr>
          <w:i/>
        </w:rPr>
      </w:pPr>
    </w:p>
    <w:p w:rsidR="007D64A3" w:rsidRPr="00891C26" w:rsidRDefault="007D64A3" w:rsidP="00891C26">
      <w:pPr>
        <w:spacing w:after="240"/>
        <w:jc w:val="center"/>
        <w:rPr>
          <w:rFonts w:ascii="Arial" w:hAnsi="Arial" w:cs="Arial"/>
          <w:b/>
        </w:rPr>
      </w:pPr>
      <w:r w:rsidRPr="00891C26">
        <w:rPr>
          <w:rFonts w:ascii="Arial" w:hAnsi="Arial" w:cs="Arial"/>
          <w:b/>
        </w:rPr>
        <w:t>Table of Contents</w:t>
      </w:r>
    </w:p>
    <w:p w:rsidR="00E52F28" w:rsidRDefault="00B70020">
      <w:pPr>
        <w:pStyle w:val="TOC1"/>
        <w:rPr>
          <w:rFonts w:asciiTheme="minorHAnsi" w:eastAsiaTheme="minorEastAsia" w:hAnsiTheme="minorHAnsi" w:cstheme="minorBidi"/>
          <w:b w:val="0"/>
          <w:sz w:val="22"/>
          <w:szCs w:val="22"/>
        </w:rPr>
      </w:pPr>
      <w:r w:rsidRPr="00B70020">
        <w:fldChar w:fldCharType="begin"/>
      </w:r>
      <w:r w:rsidR="007E0C17">
        <w:instrText xml:space="preserve"> TOC \o "1-2" \h \z \u </w:instrText>
      </w:r>
      <w:r w:rsidRPr="00B70020">
        <w:fldChar w:fldCharType="separate"/>
      </w:r>
      <w:hyperlink w:anchor="_Toc334185214" w:history="1">
        <w:r w:rsidR="00E52F28" w:rsidRPr="009E5B62">
          <w:rPr>
            <w:rStyle w:val="Hyperlink"/>
          </w:rPr>
          <w:t>SCHEDULE A Waste Discharge Limits</w:t>
        </w:r>
        <w:r w:rsidR="00E52F28">
          <w:rPr>
            <w:webHidden/>
          </w:rPr>
          <w:tab/>
        </w:r>
        <w:r>
          <w:rPr>
            <w:webHidden/>
          </w:rPr>
          <w:fldChar w:fldCharType="begin"/>
        </w:r>
        <w:r w:rsidR="00E52F28">
          <w:rPr>
            <w:webHidden/>
          </w:rPr>
          <w:instrText xml:space="preserve"> PAGEREF _Toc334185214 \h </w:instrText>
        </w:r>
        <w:r>
          <w:rPr>
            <w:webHidden/>
          </w:rPr>
        </w:r>
        <w:r>
          <w:rPr>
            <w:webHidden/>
          </w:rPr>
          <w:fldChar w:fldCharType="separate"/>
        </w:r>
        <w:r w:rsidR="00045ABB">
          <w:rPr>
            <w:webHidden/>
          </w:rPr>
          <w:t>3</w:t>
        </w:r>
        <w:r>
          <w:rPr>
            <w:webHidden/>
          </w:rPr>
          <w:fldChar w:fldCharType="end"/>
        </w:r>
      </w:hyperlink>
    </w:p>
    <w:p w:rsidR="00E52F28" w:rsidRDefault="00B70020">
      <w:pPr>
        <w:pStyle w:val="TOC2"/>
        <w:rPr>
          <w:rFonts w:asciiTheme="minorHAnsi" w:eastAsiaTheme="minorEastAsia" w:hAnsiTheme="minorHAnsi" w:cstheme="minorBidi"/>
          <w:noProof/>
        </w:rPr>
      </w:pPr>
      <w:hyperlink w:anchor="_Toc334185215" w:history="1">
        <w:r w:rsidR="00E52F28" w:rsidRPr="009E5B62">
          <w:rPr>
            <w:rStyle w:val="Hyperlink"/>
            <w:noProof/>
          </w:rPr>
          <w:t>1.</w:t>
        </w:r>
        <w:r w:rsidR="00E52F28">
          <w:rPr>
            <w:rFonts w:asciiTheme="minorHAnsi" w:eastAsiaTheme="minorEastAsia" w:hAnsiTheme="minorHAnsi" w:cstheme="minorBidi"/>
            <w:noProof/>
          </w:rPr>
          <w:tab/>
        </w:r>
        <w:r w:rsidR="00445FD0" w:rsidRPr="00EF2041">
          <w:rPr>
            <w:rFonts w:eastAsiaTheme="minorEastAsia"/>
            <w:noProof/>
          </w:rPr>
          <w:t xml:space="preserve">Outfall 001 </w:t>
        </w:r>
        <w:r w:rsidR="00426B7B">
          <w:rPr>
            <w:rFonts w:eastAsiaTheme="minorEastAsia"/>
            <w:noProof/>
          </w:rPr>
          <w:t xml:space="preserve">Treated </w:t>
        </w:r>
        <w:r w:rsidR="00F93EF3" w:rsidRPr="00EF2041">
          <w:rPr>
            <w:rStyle w:val="Hyperlink"/>
            <w:noProof/>
          </w:rPr>
          <w:t>E</w:t>
        </w:r>
        <w:r w:rsidR="00F93EF3">
          <w:rPr>
            <w:rStyle w:val="Hyperlink"/>
            <w:noProof/>
          </w:rPr>
          <w:t>ffluent Limits</w:t>
        </w:r>
        <w:r w:rsidR="00E52F28">
          <w:rPr>
            <w:noProof/>
            <w:webHidden/>
          </w:rPr>
          <w:tab/>
        </w:r>
        <w:r w:rsidR="00445FD0">
          <w:rPr>
            <w:noProof/>
            <w:webHidden/>
          </w:rPr>
          <w:t>3</w:t>
        </w:r>
      </w:hyperlink>
    </w:p>
    <w:p w:rsidR="00E52F28" w:rsidRDefault="00B70020">
      <w:pPr>
        <w:pStyle w:val="TOC2"/>
        <w:rPr>
          <w:rFonts w:asciiTheme="minorHAnsi" w:eastAsiaTheme="minorEastAsia" w:hAnsiTheme="minorHAnsi" w:cstheme="minorBidi"/>
          <w:noProof/>
        </w:rPr>
      </w:pPr>
      <w:hyperlink w:anchor="_Toc334185217" w:history="1">
        <w:r w:rsidR="00806B7A">
          <w:rPr>
            <w:rStyle w:val="Hyperlink"/>
            <w:noProof/>
          </w:rPr>
          <w:t>2</w:t>
        </w:r>
        <w:r w:rsidR="00E52F28" w:rsidRPr="009E5B62">
          <w:rPr>
            <w:rStyle w:val="Hyperlink"/>
            <w:noProof/>
          </w:rPr>
          <w:t>.</w:t>
        </w:r>
        <w:r w:rsidR="00E52F28">
          <w:rPr>
            <w:rFonts w:asciiTheme="minorHAnsi" w:eastAsiaTheme="minorEastAsia" w:hAnsiTheme="minorHAnsi" w:cstheme="minorBidi"/>
            <w:noProof/>
          </w:rPr>
          <w:tab/>
        </w:r>
        <w:r w:rsidR="00E52F28" w:rsidRPr="009E5B62">
          <w:rPr>
            <w:rStyle w:val="Hyperlink"/>
            <w:noProof/>
          </w:rPr>
          <w:t>Regulatory Mixing Zone</w:t>
        </w:r>
        <w:r w:rsidR="00E52F28">
          <w:rPr>
            <w:noProof/>
            <w:webHidden/>
          </w:rPr>
          <w:tab/>
        </w:r>
        <w:r w:rsidR="00806B7A">
          <w:rPr>
            <w:noProof/>
            <w:webHidden/>
          </w:rPr>
          <w:t>4</w:t>
        </w:r>
      </w:hyperlink>
    </w:p>
    <w:p w:rsidR="003C7A0D" w:rsidRDefault="003C7A0D">
      <w:pPr>
        <w:pStyle w:val="TOC1"/>
      </w:pPr>
    </w:p>
    <w:p w:rsidR="00E52F28" w:rsidRDefault="00B70020">
      <w:pPr>
        <w:pStyle w:val="TOC1"/>
        <w:rPr>
          <w:rFonts w:asciiTheme="minorHAnsi" w:eastAsiaTheme="minorEastAsia" w:hAnsiTheme="minorHAnsi" w:cstheme="minorBidi"/>
          <w:b w:val="0"/>
          <w:sz w:val="22"/>
          <w:szCs w:val="22"/>
        </w:rPr>
      </w:pPr>
      <w:hyperlink w:anchor="_Toc334185222" w:history="1">
        <w:r w:rsidR="00E52F28" w:rsidRPr="009E5B62">
          <w:rPr>
            <w:rStyle w:val="Hyperlink"/>
          </w:rPr>
          <w:t>SCHEDULE B Minimum Monitoring and Reporting Requirements</w:t>
        </w:r>
        <w:r w:rsidR="00E52F28">
          <w:rPr>
            <w:webHidden/>
          </w:rPr>
          <w:tab/>
        </w:r>
        <w:r>
          <w:rPr>
            <w:webHidden/>
          </w:rPr>
          <w:fldChar w:fldCharType="begin"/>
        </w:r>
        <w:r w:rsidR="00E52F28">
          <w:rPr>
            <w:webHidden/>
          </w:rPr>
          <w:instrText xml:space="preserve"> PAGEREF _Toc334185222 \h </w:instrText>
        </w:r>
        <w:r>
          <w:rPr>
            <w:webHidden/>
          </w:rPr>
        </w:r>
        <w:r>
          <w:rPr>
            <w:webHidden/>
          </w:rPr>
          <w:fldChar w:fldCharType="separate"/>
        </w:r>
        <w:r w:rsidR="00045ABB">
          <w:rPr>
            <w:webHidden/>
          </w:rPr>
          <w:t>5</w:t>
        </w:r>
        <w:r>
          <w:rPr>
            <w:webHidden/>
          </w:rPr>
          <w:fldChar w:fldCharType="end"/>
        </w:r>
      </w:hyperlink>
    </w:p>
    <w:p w:rsidR="00E52F28" w:rsidRDefault="00B70020">
      <w:pPr>
        <w:pStyle w:val="TOC2"/>
        <w:rPr>
          <w:rFonts w:asciiTheme="minorHAnsi" w:eastAsiaTheme="minorEastAsia" w:hAnsiTheme="minorHAnsi" w:cstheme="minorBidi"/>
          <w:noProof/>
        </w:rPr>
      </w:pPr>
      <w:hyperlink w:anchor="_Toc334185224" w:history="1">
        <w:r w:rsidR="00E52F28" w:rsidRPr="009E5B62">
          <w:rPr>
            <w:rStyle w:val="Hyperlink"/>
            <w:noProof/>
          </w:rPr>
          <w:t>1.</w:t>
        </w:r>
        <w:r w:rsidR="00E52F28">
          <w:rPr>
            <w:rFonts w:asciiTheme="minorHAnsi" w:eastAsiaTheme="minorEastAsia" w:hAnsiTheme="minorHAnsi" w:cstheme="minorBidi"/>
            <w:noProof/>
          </w:rPr>
          <w:tab/>
        </w:r>
        <w:r w:rsidR="00E52F28" w:rsidRPr="009E5B62">
          <w:rPr>
            <w:rStyle w:val="Hyperlink"/>
            <w:noProof/>
          </w:rPr>
          <w:t>Monitoring and Reporting Protocols</w:t>
        </w:r>
        <w:r w:rsidR="00E52F28">
          <w:rPr>
            <w:noProof/>
            <w:webHidden/>
          </w:rPr>
          <w:tab/>
        </w:r>
        <w:r w:rsidR="00806B7A">
          <w:rPr>
            <w:noProof/>
            <w:webHidden/>
          </w:rPr>
          <w:t>5</w:t>
        </w:r>
      </w:hyperlink>
    </w:p>
    <w:p w:rsidR="00E52F28" w:rsidRDefault="00B70020">
      <w:pPr>
        <w:pStyle w:val="TOC2"/>
        <w:rPr>
          <w:rFonts w:asciiTheme="minorHAnsi" w:eastAsiaTheme="minorEastAsia" w:hAnsiTheme="minorHAnsi" w:cstheme="minorBidi"/>
          <w:noProof/>
        </w:rPr>
      </w:pPr>
      <w:hyperlink w:anchor="_Toc334185226" w:history="1">
        <w:r w:rsidR="00E02982">
          <w:rPr>
            <w:rStyle w:val="Hyperlink"/>
            <w:noProof/>
          </w:rPr>
          <w:t>2</w:t>
        </w:r>
        <w:r w:rsidR="00E52F28" w:rsidRPr="009E5B62">
          <w:rPr>
            <w:rStyle w:val="Hyperlink"/>
            <w:noProof/>
          </w:rPr>
          <w:t>.</w:t>
        </w:r>
        <w:r w:rsidR="00E52F28">
          <w:rPr>
            <w:rFonts w:asciiTheme="minorHAnsi" w:eastAsiaTheme="minorEastAsia" w:hAnsiTheme="minorHAnsi" w:cstheme="minorBidi"/>
            <w:noProof/>
          </w:rPr>
          <w:tab/>
        </w:r>
        <w:r w:rsidR="00E52F28" w:rsidRPr="009E5B62">
          <w:rPr>
            <w:rStyle w:val="Hyperlink"/>
            <w:noProof/>
          </w:rPr>
          <w:t xml:space="preserve">Effluent </w:t>
        </w:r>
        <w:r w:rsidR="00F93EF3">
          <w:rPr>
            <w:rStyle w:val="Hyperlink"/>
            <w:noProof/>
          </w:rPr>
          <w:t xml:space="preserve">Compliance </w:t>
        </w:r>
        <w:r w:rsidR="00E52F28" w:rsidRPr="009E5B62">
          <w:rPr>
            <w:rStyle w:val="Hyperlink"/>
            <w:noProof/>
          </w:rPr>
          <w:t>Monitoring Requirements</w:t>
        </w:r>
        <w:r w:rsidR="00E52F28">
          <w:rPr>
            <w:noProof/>
            <w:webHidden/>
          </w:rPr>
          <w:tab/>
        </w:r>
        <w:r w:rsidR="00F93EF3">
          <w:rPr>
            <w:noProof/>
            <w:webHidden/>
          </w:rPr>
          <w:t>6</w:t>
        </w:r>
      </w:hyperlink>
    </w:p>
    <w:p w:rsidR="00E52F28" w:rsidRDefault="00B70020">
      <w:pPr>
        <w:pStyle w:val="TOC2"/>
      </w:pPr>
      <w:hyperlink w:anchor="_Toc334185231" w:history="1">
        <w:r w:rsidR="00E02982">
          <w:rPr>
            <w:rStyle w:val="Hyperlink"/>
            <w:noProof/>
          </w:rPr>
          <w:t>3</w:t>
        </w:r>
        <w:r w:rsidR="00E52F28" w:rsidRPr="009E5B62">
          <w:rPr>
            <w:rStyle w:val="Hyperlink"/>
            <w:noProof/>
          </w:rPr>
          <w:t>.</w:t>
        </w:r>
        <w:r w:rsidR="00E52F28">
          <w:rPr>
            <w:rFonts w:asciiTheme="minorHAnsi" w:eastAsiaTheme="minorEastAsia" w:hAnsiTheme="minorHAnsi" w:cstheme="minorBidi"/>
            <w:noProof/>
          </w:rPr>
          <w:tab/>
        </w:r>
        <w:r w:rsidR="00F93EF3" w:rsidRPr="00F93EF3">
          <w:rPr>
            <w:rStyle w:val="Hyperlink"/>
            <w:noProof/>
            <w:spacing w:val="-3"/>
          </w:rPr>
          <w:t>Effluent C</w:t>
        </w:r>
        <w:r w:rsidR="00F93EF3">
          <w:rPr>
            <w:rStyle w:val="Hyperlink"/>
            <w:noProof/>
            <w:spacing w:val="-3"/>
          </w:rPr>
          <w:t>haracterization</w:t>
        </w:r>
        <w:r w:rsidR="00F93EF3" w:rsidRPr="00F93EF3">
          <w:rPr>
            <w:rStyle w:val="Hyperlink"/>
            <w:noProof/>
            <w:spacing w:val="-3"/>
          </w:rPr>
          <w:t xml:space="preserve"> Monitoring Requirements</w:t>
        </w:r>
        <w:r w:rsidR="00E52F28">
          <w:rPr>
            <w:noProof/>
            <w:webHidden/>
          </w:rPr>
          <w:tab/>
        </w:r>
        <w:r w:rsidR="00F93EF3">
          <w:rPr>
            <w:noProof/>
            <w:webHidden/>
          </w:rPr>
          <w:t>7</w:t>
        </w:r>
      </w:hyperlink>
    </w:p>
    <w:p w:rsidR="0080034F" w:rsidRDefault="00B70020" w:rsidP="0080034F">
      <w:pPr>
        <w:pStyle w:val="TOC2"/>
      </w:pPr>
      <w:hyperlink w:anchor="_Toc334185231" w:history="1">
        <w:r w:rsidR="0080034F">
          <w:rPr>
            <w:rStyle w:val="Hyperlink"/>
            <w:noProof/>
          </w:rPr>
          <w:t>4</w:t>
        </w:r>
        <w:r w:rsidR="0080034F" w:rsidRPr="009E5B62">
          <w:rPr>
            <w:rStyle w:val="Hyperlink"/>
            <w:noProof/>
          </w:rPr>
          <w:t>.</w:t>
        </w:r>
        <w:r w:rsidR="0080034F">
          <w:rPr>
            <w:rFonts w:asciiTheme="minorHAnsi" w:eastAsiaTheme="minorEastAsia" w:hAnsiTheme="minorHAnsi" w:cstheme="minorBidi"/>
            <w:noProof/>
          </w:rPr>
          <w:tab/>
        </w:r>
        <w:r w:rsidR="0080034F">
          <w:rPr>
            <w:rStyle w:val="Hyperlink"/>
            <w:noProof/>
            <w:spacing w:val="-3"/>
          </w:rPr>
          <w:t>Minimum Reporting</w:t>
        </w:r>
        <w:r w:rsidR="0080034F" w:rsidRPr="00F93EF3">
          <w:rPr>
            <w:rStyle w:val="Hyperlink"/>
            <w:noProof/>
            <w:spacing w:val="-3"/>
          </w:rPr>
          <w:t xml:space="preserve"> Requirements</w:t>
        </w:r>
        <w:r w:rsidR="0080034F">
          <w:rPr>
            <w:noProof/>
            <w:webHidden/>
          </w:rPr>
          <w:tab/>
        </w:r>
      </w:hyperlink>
      <w:r w:rsidR="00957295">
        <w:t>9</w:t>
      </w:r>
    </w:p>
    <w:p w:rsidR="0080034F" w:rsidRPr="0080034F" w:rsidRDefault="0080034F" w:rsidP="0080034F"/>
    <w:p w:rsidR="00E52F28" w:rsidRDefault="00B70020">
      <w:pPr>
        <w:pStyle w:val="TOC1"/>
        <w:rPr>
          <w:rFonts w:asciiTheme="minorHAnsi" w:eastAsiaTheme="minorEastAsia" w:hAnsiTheme="minorHAnsi" w:cstheme="minorBidi"/>
          <w:b w:val="0"/>
          <w:sz w:val="22"/>
          <w:szCs w:val="22"/>
        </w:rPr>
      </w:pPr>
      <w:hyperlink w:anchor="_Toc334185250" w:history="1">
        <w:r w:rsidR="00E52F28" w:rsidRPr="009E5B62">
          <w:rPr>
            <w:rStyle w:val="Hyperlink"/>
          </w:rPr>
          <w:t>SCHEDULE D Special Conditions</w:t>
        </w:r>
        <w:r w:rsidR="00E52F28">
          <w:rPr>
            <w:webHidden/>
          </w:rPr>
          <w:tab/>
        </w:r>
        <w:r>
          <w:rPr>
            <w:webHidden/>
          </w:rPr>
          <w:fldChar w:fldCharType="begin"/>
        </w:r>
        <w:r w:rsidR="00E52F28">
          <w:rPr>
            <w:webHidden/>
          </w:rPr>
          <w:instrText xml:space="preserve"> PAGEREF _Toc334185250 \h </w:instrText>
        </w:r>
        <w:r>
          <w:rPr>
            <w:webHidden/>
          </w:rPr>
        </w:r>
        <w:r>
          <w:rPr>
            <w:webHidden/>
          </w:rPr>
          <w:fldChar w:fldCharType="separate"/>
        </w:r>
        <w:r w:rsidR="00045ABB">
          <w:rPr>
            <w:webHidden/>
          </w:rPr>
          <w:t>10</w:t>
        </w:r>
        <w:r>
          <w:rPr>
            <w:webHidden/>
          </w:rPr>
          <w:fldChar w:fldCharType="end"/>
        </w:r>
      </w:hyperlink>
    </w:p>
    <w:p w:rsidR="00E52F28" w:rsidRDefault="00B70020">
      <w:pPr>
        <w:pStyle w:val="TOC2"/>
        <w:rPr>
          <w:rFonts w:asciiTheme="minorHAnsi" w:eastAsiaTheme="minorEastAsia" w:hAnsiTheme="minorHAnsi" w:cstheme="minorBidi"/>
          <w:noProof/>
        </w:rPr>
      </w:pPr>
      <w:hyperlink w:anchor="_Toc334185263" w:history="1">
        <w:r w:rsidR="00E52F28" w:rsidRPr="009E5B62">
          <w:rPr>
            <w:rStyle w:val="Hyperlink"/>
            <w:noProof/>
          </w:rPr>
          <w:t>1.</w:t>
        </w:r>
        <w:r w:rsidR="00E52F28">
          <w:rPr>
            <w:rFonts w:asciiTheme="minorHAnsi" w:eastAsiaTheme="minorEastAsia" w:hAnsiTheme="minorHAnsi" w:cstheme="minorBidi"/>
            <w:noProof/>
          </w:rPr>
          <w:tab/>
        </w:r>
        <w:r w:rsidR="00E52F28" w:rsidRPr="009E5B62">
          <w:rPr>
            <w:rStyle w:val="Hyperlink"/>
            <w:noProof/>
          </w:rPr>
          <w:t>Spill Response Plan</w:t>
        </w:r>
        <w:r w:rsidR="00E52F28">
          <w:rPr>
            <w:noProof/>
            <w:webHidden/>
          </w:rPr>
          <w:tab/>
        </w:r>
        <w:r>
          <w:rPr>
            <w:noProof/>
            <w:webHidden/>
          </w:rPr>
          <w:fldChar w:fldCharType="begin"/>
        </w:r>
        <w:r w:rsidR="00E52F28">
          <w:rPr>
            <w:noProof/>
            <w:webHidden/>
          </w:rPr>
          <w:instrText xml:space="preserve"> PAGEREF _Toc334185263 \h </w:instrText>
        </w:r>
        <w:r>
          <w:rPr>
            <w:noProof/>
            <w:webHidden/>
          </w:rPr>
        </w:r>
        <w:r>
          <w:rPr>
            <w:noProof/>
            <w:webHidden/>
          </w:rPr>
          <w:fldChar w:fldCharType="separate"/>
        </w:r>
        <w:r w:rsidR="00045ABB">
          <w:rPr>
            <w:noProof/>
            <w:webHidden/>
          </w:rPr>
          <w:t>10</w:t>
        </w:r>
        <w:r>
          <w:rPr>
            <w:noProof/>
            <w:webHidden/>
          </w:rPr>
          <w:fldChar w:fldCharType="end"/>
        </w:r>
      </w:hyperlink>
    </w:p>
    <w:p w:rsidR="003C7A0D" w:rsidRDefault="003C7A0D">
      <w:pPr>
        <w:pStyle w:val="TOC1"/>
      </w:pPr>
    </w:p>
    <w:p w:rsidR="00E52F28" w:rsidRDefault="00B70020">
      <w:pPr>
        <w:pStyle w:val="TOC1"/>
        <w:rPr>
          <w:rFonts w:asciiTheme="minorHAnsi" w:eastAsiaTheme="minorEastAsia" w:hAnsiTheme="minorHAnsi" w:cstheme="minorBidi"/>
          <w:b w:val="0"/>
          <w:sz w:val="22"/>
          <w:szCs w:val="22"/>
        </w:rPr>
      </w:pPr>
      <w:hyperlink w:anchor="_Toc334185279" w:history="1">
        <w:r w:rsidR="00E52F28" w:rsidRPr="009E5B62">
          <w:rPr>
            <w:rStyle w:val="Hyperlink"/>
          </w:rPr>
          <w:t>SCHEDULE F General Conditions</w:t>
        </w:r>
        <w:r w:rsidR="00E52F28">
          <w:rPr>
            <w:webHidden/>
          </w:rPr>
          <w:tab/>
        </w:r>
        <w:r>
          <w:rPr>
            <w:webHidden/>
          </w:rPr>
          <w:fldChar w:fldCharType="begin"/>
        </w:r>
        <w:r w:rsidR="00E52F28">
          <w:rPr>
            <w:webHidden/>
          </w:rPr>
          <w:instrText xml:space="preserve"> PAGEREF _Toc334185279 \h </w:instrText>
        </w:r>
        <w:r>
          <w:rPr>
            <w:webHidden/>
          </w:rPr>
        </w:r>
        <w:r>
          <w:rPr>
            <w:webHidden/>
          </w:rPr>
          <w:fldChar w:fldCharType="separate"/>
        </w:r>
        <w:r w:rsidR="00045ABB">
          <w:rPr>
            <w:webHidden/>
          </w:rPr>
          <w:t>11</w:t>
        </w:r>
        <w:r>
          <w:rPr>
            <w:webHidden/>
          </w:rPr>
          <w:fldChar w:fldCharType="end"/>
        </w:r>
      </w:hyperlink>
    </w:p>
    <w:p w:rsidR="004B4098" w:rsidRDefault="00B70020" w:rsidP="004B4098">
      <w:r>
        <w:fldChar w:fldCharType="end"/>
      </w:r>
    </w:p>
    <w:p w:rsidR="003C7A0D" w:rsidRDefault="003C7A0D" w:rsidP="004B4098"/>
    <w:p w:rsidR="004B4098" w:rsidRPr="009602B0" w:rsidRDefault="009602B0" w:rsidP="009602B0">
      <w:pPr>
        <w:spacing w:after="120"/>
        <w:jc w:val="center"/>
        <w:rPr>
          <w:rFonts w:ascii="Arial" w:hAnsi="Arial" w:cs="Arial"/>
          <w:b/>
        </w:rPr>
      </w:pPr>
      <w:r w:rsidRPr="009602B0">
        <w:rPr>
          <w:rFonts w:ascii="Arial" w:hAnsi="Arial" w:cs="Arial"/>
          <w:b/>
        </w:rPr>
        <w:t>List of Tables</w:t>
      </w:r>
    </w:p>
    <w:p w:rsidR="00E52F28" w:rsidRPr="00ED7185" w:rsidRDefault="00B70020">
      <w:pPr>
        <w:pStyle w:val="TableofFigures"/>
        <w:tabs>
          <w:tab w:val="right" w:leader="dot" w:pos="10070"/>
        </w:tabs>
        <w:rPr>
          <w:rFonts w:eastAsiaTheme="minorEastAsia"/>
          <w:noProof/>
        </w:rPr>
      </w:pPr>
      <w:r w:rsidRPr="007E0C17">
        <w:fldChar w:fldCharType="begin"/>
      </w:r>
      <w:r w:rsidR="00B84CF0" w:rsidRPr="007E0C17">
        <w:instrText xml:space="preserve"> TOC \h \z \c "Table"  \* MERGEFORMAT </w:instrText>
      </w:r>
      <w:r w:rsidRPr="007E0C17">
        <w:fldChar w:fldCharType="separate"/>
      </w:r>
      <w:hyperlink w:anchor="_Toc334185280" w:history="1">
        <w:r w:rsidR="00E52F28" w:rsidRPr="00ED7185">
          <w:rPr>
            <w:rStyle w:val="Hyperlink"/>
            <w:noProof/>
          </w:rPr>
          <w:t xml:space="preserve">Table A1: </w:t>
        </w:r>
        <w:r w:rsidR="00F93EF3" w:rsidRPr="00ED7185">
          <w:rPr>
            <w:rStyle w:val="Hyperlink"/>
            <w:noProof/>
          </w:rPr>
          <w:t>Outfall 001</w:t>
        </w:r>
        <w:r w:rsidR="00F93EF3" w:rsidRPr="00ED7185">
          <w:t xml:space="preserve"> </w:t>
        </w:r>
        <w:r w:rsidR="00426B7B">
          <w:t xml:space="preserve">Treated </w:t>
        </w:r>
        <w:r w:rsidR="00F93EF3" w:rsidRPr="00ED7185">
          <w:t>Effluent Limits</w:t>
        </w:r>
        <w:r w:rsidR="00E52F28" w:rsidRPr="00ED7185">
          <w:rPr>
            <w:noProof/>
            <w:webHidden/>
          </w:rPr>
          <w:tab/>
        </w:r>
        <w:r w:rsidR="00537A7A" w:rsidRPr="00ED7185">
          <w:rPr>
            <w:noProof/>
            <w:webHidden/>
          </w:rPr>
          <w:t>.3</w:t>
        </w:r>
      </w:hyperlink>
    </w:p>
    <w:p w:rsidR="00E52F28" w:rsidRPr="00ED7185" w:rsidRDefault="00B70020">
      <w:pPr>
        <w:pStyle w:val="TableofFigures"/>
        <w:tabs>
          <w:tab w:val="right" w:leader="dot" w:pos="10070"/>
        </w:tabs>
        <w:rPr>
          <w:rFonts w:eastAsiaTheme="minorEastAsia"/>
          <w:noProof/>
        </w:rPr>
      </w:pPr>
      <w:hyperlink w:anchor="_Toc334185285" w:history="1">
        <w:r w:rsidR="00E52F28" w:rsidRPr="00ED7185">
          <w:rPr>
            <w:rStyle w:val="Hyperlink"/>
            <w:noProof/>
          </w:rPr>
          <w:t xml:space="preserve">Table B1: </w:t>
        </w:r>
        <w:r w:rsidR="00F93EF3" w:rsidRPr="00ED7185">
          <w:t xml:space="preserve">Outfall 001 </w:t>
        </w:r>
        <w:r w:rsidR="00F93EF3" w:rsidRPr="00ED7185">
          <w:rPr>
            <w:color w:val="000000" w:themeColor="text1"/>
          </w:rPr>
          <w:t xml:space="preserve">Compliance </w:t>
        </w:r>
        <w:r w:rsidR="00F93EF3" w:rsidRPr="00ED7185">
          <w:t>Monitoring Requirements</w:t>
        </w:r>
        <w:r w:rsidR="00E52F28" w:rsidRPr="00ED7185">
          <w:rPr>
            <w:noProof/>
            <w:webHidden/>
          </w:rPr>
          <w:tab/>
        </w:r>
        <w:r w:rsidR="00F93EF3" w:rsidRPr="00ED7185">
          <w:rPr>
            <w:noProof/>
            <w:webHidden/>
          </w:rPr>
          <w:t>6</w:t>
        </w:r>
      </w:hyperlink>
    </w:p>
    <w:p w:rsidR="00E52F28" w:rsidRPr="00ED7185" w:rsidRDefault="00B70020">
      <w:pPr>
        <w:pStyle w:val="TableofFigures"/>
        <w:tabs>
          <w:tab w:val="right" w:leader="dot" w:pos="10070"/>
        </w:tabs>
        <w:rPr>
          <w:rFonts w:eastAsiaTheme="minorEastAsia"/>
          <w:noProof/>
        </w:rPr>
      </w:pPr>
      <w:hyperlink w:anchor="_Toc334185286" w:history="1">
        <w:r w:rsidR="00E52F28" w:rsidRPr="00ED7185">
          <w:rPr>
            <w:rStyle w:val="Hyperlink"/>
            <w:noProof/>
          </w:rPr>
          <w:t xml:space="preserve">Table B2: </w:t>
        </w:r>
        <w:r w:rsidR="00F93EF3" w:rsidRPr="00ED7185">
          <w:rPr>
            <w:rStyle w:val="Hyperlink"/>
            <w:noProof/>
          </w:rPr>
          <w:t>Outfall 001 Characterization Monitoring Requirements</w:t>
        </w:r>
        <w:r w:rsidR="00E52F28" w:rsidRPr="00ED7185">
          <w:rPr>
            <w:noProof/>
            <w:webHidden/>
          </w:rPr>
          <w:tab/>
        </w:r>
        <w:r w:rsidR="00F93EF3" w:rsidRPr="00ED7185">
          <w:rPr>
            <w:noProof/>
            <w:webHidden/>
          </w:rPr>
          <w:t>7</w:t>
        </w:r>
      </w:hyperlink>
    </w:p>
    <w:p w:rsidR="00E52F28" w:rsidRPr="00ED7185" w:rsidRDefault="00B70020">
      <w:pPr>
        <w:pStyle w:val="TableofFigures"/>
        <w:tabs>
          <w:tab w:val="right" w:leader="dot" w:pos="10070"/>
        </w:tabs>
        <w:rPr>
          <w:rFonts w:eastAsiaTheme="minorEastAsia"/>
          <w:noProof/>
        </w:rPr>
      </w:pPr>
      <w:hyperlink w:anchor="_Toc334185287" w:history="1">
        <w:r w:rsidR="00E52F28" w:rsidRPr="00ED7185">
          <w:rPr>
            <w:rStyle w:val="Hyperlink"/>
            <w:noProof/>
          </w:rPr>
          <w:t xml:space="preserve">Table B3: </w:t>
        </w:r>
        <w:r w:rsidR="0080034F" w:rsidRPr="00ED7185">
          <w:rPr>
            <w:rStyle w:val="Hyperlink"/>
            <w:noProof/>
          </w:rPr>
          <w:t>Minimum Reporting Requirements and Due Dates</w:t>
        </w:r>
        <w:r w:rsidR="00E52F28" w:rsidRPr="00ED7185">
          <w:rPr>
            <w:noProof/>
            <w:webHidden/>
          </w:rPr>
          <w:tab/>
        </w:r>
        <w:r w:rsidR="0080034F" w:rsidRPr="00ED7185">
          <w:rPr>
            <w:noProof/>
            <w:webHidden/>
          </w:rPr>
          <w:t>9</w:t>
        </w:r>
      </w:hyperlink>
    </w:p>
    <w:p w:rsidR="00F229C3" w:rsidRPr="00B84CF0" w:rsidRDefault="00B70020">
      <w:r w:rsidRPr="007E0C17">
        <w:fldChar w:fldCharType="end"/>
      </w:r>
    </w:p>
    <w:p w:rsidR="007D64A3" w:rsidRDefault="007D64A3" w:rsidP="00E01A81"/>
    <w:p w:rsidR="00ED24CF" w:rsidRDefault="00ED24CF" w:rsidP="00E01A81"/>
    <w:p w:rsidR="00ED24CF" w:rsidRPr="00ED24CF" w:rsidRDefault="00ED24CF" w:rsidP="00ED24CF"/>
    <w:p w:rsidR="00ED24CF" w:rsidRPr="00ED24CF" w:rsidRDefault="00ED24CF" w:rsidP="00ED24CF"/>
    <w:p w:rsidR="00ED24CF" w:rsidRPr="00ED24CF" w:rsidRDefault="00ED24CF" w:rsidP="00ED24CF"/>
    <w:p w:rsidR="00ED24CF" w:rsidRPr="00ED24CF" w:rsidRDefault="00ED24CF" w:rsidP="00ED24CF"/>
    <w:p w:rsidR="00ED24CF" w:rsidRPr="00ED24CF" w:rsidRDefault="00ED24CF" w:rsidP="00ED24CF"/>
    <w:p w:rsidR="00ED24CF" w:rsidRPr="00ED24CF" w:rsidRDefault="00ED24CF" w:rsidP="00ED24CF"/>
    <w:p w:rsidR="00ED24CF" w:rsidRPr="00ED24CF" w:rsidRDefault="00ED24CF" w:rsidP="00ED24CF"/>
    <w:p w:rsidR="00ED24CF" w:rsidRPr="00ED24CF" w:rsidRDefault="00ED24CF" w:rsidP="00ED24CF"/>
    <w:p w:rsidR="00ED24CF" w:rsidRDefault="00ED24CF" w:rsidP="00ED24CF"/>
    <w:p w:rsidR="00ED24CF" w:rsidRDefault="00ED24CF" w:rsidP="00ED24CF">
      <w:pPr>
        <w:tabs>
          <w:tab w:val="left" w:pos="4148"/>
        </w:tabs>
      </w:pPr>
      <w:r>
        <w:tab/>
      </w:r>
    </w:p>
    <w:p w:rsidR="00ED24CF" w:rsidRDefault="00ED24CF" w:rsidP="00ED24CF"/>
    <w:p w:rsidR="00B84CF0" w:rsidRPr="00ED24CF" w:rsidRDefault="00B84CF0" w:rsidP="00ED24CF">
      <w:pPr>
        <w:sectPr w:rsidR="00B84CF0" w:rsidRPr="00ED24CF" w:rsidSect="002F627C">
          <w:headerReference w:type="even" r:id="rId14"/>
          <w:headerReference w:type="default" r:id="rId15"/>
          <w:headerReference w:type="first" r:id="rId16"/>
          <w:endnotePr>
            <w:numFmt w:val="decimal"/>
          </w:endnotePr>
          <w:pgSz w:w="12240" w:h="15840"/>
          <w:pgMar w:top="1440" w:right="1080" w:bottom="1440" w:left="1080" w:header="432" w:footer="432" w:gutter="0"/>
          <w:cols w:space="720"/>
          <w:docGrid w:linePitch="360"/>
        </w:sectPr>
      </w:pPr>
    </w:p>
    <w:p w:rsidR="00FD7B79" w:rsidRDefault="007A36E2" w:rsidP="00593CBD">
      <w:pPr>
        <w:pStyle w:val="Heading1"/>
      </w:pPr>
      <w:bookmarkStart w:id="5" w:name="bmSchA"/>
      <w:bookmarkStart w:id="6" w:name="_Toc334185214"/>
      <w:r>
        <w:lastRenderedPageBreak/>
        <w:t>S</w:t>
      </w:r>
      <w:r w:rsidR="005D0CDF">
        <w:t>CHEDULE A</w:t>
      </w:r>
      <w:r w:rsidR="00593CBD">
        <w:br/>
      </w:r>
      <w:r w:rsidR="00FD7B79" w:rsidRPr="00FD7B79">
        <w:t>Waste Discharge Limit</w:t>
      </w:r>
      <w:bookmarkEnd w:id="5"/>
      <w:r w:rsidR="007B3462">
        <w:t>s</w:t>
      </w:r>
      <w:bookmarkEnd w:id="6"/>
    </w:p>
    <w:p w:rsidR="00384F5B" w:rsidRPr="005E3FBE" w:rsidRDefault="00384F5B" w:rsidP="00C45D76"/>
    <w:p w:rsidR="00384F5B" w:rsidRDefault="00445FD0" w:rsidP="000430D7">
      <w:pPr>
        <w:keepNext/>
        <w:numPr>
          <w:ilvl w:val="0"/>
          <w:numId w:val="7"/>
        </w:numPr>
        <w:tabs>
          <w:tab w:val="left" w:pos="-720"/>
        </w:tabs>
        <w:suppressAutoHyphens/>
        <w:rPr>
          <w:b/>
        </w:rPr>
      </w:pPr>
      <w:r w:rsidRPr="007A79FD">
        <w:rPr>
          <w:b/>
        </w:rPr>
        <w:t>Outfall 001</w:t>
      </w:r>
      <w:r w:rsidR="00426B7B">
        <w:rPr>
          <w:b/>
        </w:rPr>
        <w:t xml:space="preserve">Treated </w:t>
      </w:r>
      <w:r w:rsidR="004E3A14" w:rsidRPr="007A79FD">
        <w:rPr>
          <w:b/>
        </w:rPr>
        <w:t xml:space="preserve">Effluent </w:t>
      </w:r>
      <w:r w:rsidR="00F93EF3" w:rsidRPr="007A79FD">
        <w:rPr>
          <w:b/>
        </w:rPr>
        <w:t>Limits</w:t>
      </w:r>
    </w:p>
    <w:p w:rsidR="00AB2FD8" w:rsidRPr="007A79FD" w:rsidRDefault="00AB2FD8" w:rsidP="00AB2FD8">
      <w:pPr>
        <w:keepNext/>
        <w:tabs>
          <w:tab w:val="left" w:pos="-720"/>
        </w:tabs>
        <w:suppressAutoHyphens/>
        <w:ind w:left="432"/>
        <w:rPr>
          <w:b/>
        </w:rPr>
      </w:pPr>
      <w:r>
        <w:t>The permittee must comply with the limits in the following table:</w:t>
      </w:r>
    </w:p>
    <w:p w:rsidR="004E3A14" w:rsidRDefault="004E3A14" w:rsidP="004E3A14">
      <w:pPr>
        <w:keepNext/>
        <w:tabs>
          <w:tab w:val="left" w:pos="-720"/>
        </w:tabs>
        <w:suppressAutoHyphens/>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3736"/>
        <w:gridCol w:w="3736"/>
      </w:tblGrid>
      <w:tr w:rsidR="005152FE" w:rsidRPr="00132124" w:rsidTr="0039738E">
        <w:trPr>
          <w:jc w:val="center"/>
        </w:trPr>
        <w:tc>
          <w:tcPr>
            <w:tcW w:w="9922" w:type="dxa"/>
            <w:gridSpan w:val="3"/>
            <w:tcBorders>
              <w:bottom w:val="single" w:sz="4" w:space="0" w:color="auto"/>
            </w:tcBorders>
            <w:vAlign w:val="center"/>
          </w:tcPr>
          <w:p w:rsidR="005152FE" w:rsidRPr="004E3A14" w:rsidRDefault="005152FE" w:rsidP="00EF2041">
            <w:pPr>
              <w:keepNext/>
              <w:tabs>
                <w:tab w:val="left" w:pos="-720"/>
              </w:tabs>
              <w:suppressAutoHyphens/>
              <w:jc w:val="center"/>
            </w:pPr>
            <w:bookmarkStart w:id="7" w:name="_Toc326239775"/>
            <w:bookmarkStart w:id="8" w:name="_Toc334185282"/>
            <w:r w:rsidRPr="00537A7A">
              <w:rPr>
                <w:rFonts w:cs="Arial"/>
                <w:b/>
                <w:szCs w:val="20"/>
              </w:rPr>
              <w:t xml:space="preserve">Table A1: </w:t>
            </w:r>
            <w:bookmarkEnd w:id="7"/>
            <w:bookmarkEnd w:id="8"/>
            <w:r w:rsidR="00F93EF3" w:rsidRPr="004E3A14">
              <w:rPr>
                <w:b/>
              </w:rPr>
              <w:t>Outfall 001</w:t>
            </w:r>
            <w:r w:rsidR="00F93EF3">
              <w:rPr>
                <w:b/>
              </w:rPr>
              <w:t xml:space="preserve"> </w:t>
            </w:r>
            <w:r w:rsidR="00426B7B">
              <w:rPr>
                <w:b/>
              </w:rPr>
              <w:t xml:space="preserve">Treated </w:t>
            </w:r>
            <w:r w:rsidR="004E3A14" w:rsidRPr="004E3A14">
              <w:rPr>
                <w:b/>
              </w:rPr>
              <w:t xml:space="preserve">Effluent </w:t>
            </w:r>
            <w:r w:rsidR="00F93EF3">
              <w:rPr>
                <w:b/>
              </w:rPr>
              <w:t>Limits</w:t>
            </w:r>
          </w:p>
        </w:tc>
      </w:tr>
      <w:tr w:rsidR="005E2B55" w:rsidTr="0039738E">
        <w:tblPrEx>
          <w:tblLook w:val="0000"/>
        </w:tblPrEx>
        <w:trPr>
          <w:jc w:val="center"/>
        </w:trPr>
        <w:tc>
          <w:tcPr>
            <w:tcW w:w="2450" w:type="dxa"/>
            <w:shd w:val="clear" w:color="auto" w:fill="FFFFFF" w:themeFill="background1"/>
          </w:tcPr>
          <w:p w:rsidR="005E2B55" w:rsidRDefault="005E2B55" w:rsidP="005E2B55">
            <w:pPr>
              <w:spacing w:before="80" w:after="80"/>
              <w:jc w:val="center"/>
              <w:rPr>
                <w:rFonts w:ascii="Arial" w:hAnsi="Arial" w:cs="Arial"/>
                <w:b/>
                <w:bCs/>
                <w:sz w:val="18"/>
                <w:szCs w:val="18"/>
                <w:u w:val="single"/>
              </w:rPr>
            </w:pPr>
            <w:bookmarkStart w:id="9" w:name="_Toc326239879"/>
            <w:bookmarkStart w:id="10" w:name="_Toc334185217"/>
            <w:r>
              <w:rPr>
                <w:rFonts w:ascii="Arial" w:hAnsi="Arial" w:cs="Arial"/>
                <w:b/>
                <w:bCs/>
                <w:sz w:val="18"/>
                <w:szCs w:val="18"/>
                <w:u w:val="single"/>
              </w:rPr>
              <w:t>Parameter</w:t>
            </w:r>
          </w:p>
        </w:tc>
        <w:tc>
          <w:tcPr>
            <w:tcW w:w="3736" w:type="dxa"/>
            <w:shd w:val="clear" w:color="auto" w:fill="FFFFFF" w:themeFill="background1"/>
          </w:tcPr>
          <w:p w:rsidR="005E2B55" w:rsidRDefault="005E2B55" w:rsidP="0093569A">
            <w:pPr>
              <w:spacing w:before="80" w:after="80"/>
              <w:jc w:val="center"/>
              <w:rPr>
                <w:rFonts w:ascii="Arial" w:hAnsi="Arial" w:cs="Arial"/>
                <w:b/>
                <w:bCs/>
                <w:sz w:val="18"/>
                <w:szCs w:val="18"/>
                <w:u w:val="single"/>
              </w:rPr>
            </w:pPr>
            <w:r>
              <w:rPr>
                <w:rFonts w:ascii="Arial" w:hAnsi="Arial" w:cs="Arial"/>
                <w:b/>
                <w:bCs/>
                <w:sz w:val="18"/>
                <w:szCs w:val="18"/>
                <w:u w:val="single"/>
              </w:rPr>
              <w:t>Monthly Ave. (</w:t>
            </w:r>
            <w:r w:rsidR="0093569A" w:rsidRPr="0093569A">
              <w:rPr>
                <w:b/>
                <w:u w:val="single"/>
              </w:rPr>
              <w:t>µ</w:t>
            </w:r>
            <w:r>
              <w:rPr>
                <w:rFonts w:ascii="Arial" w:hAnsi="Arial" w:cs="Arial"/>
                <w:b/>
                <w:bCs/>
                <w:sz w:val="18"/>
                <w:szCs w:val="18"/>
                <w:u w:val="single"/>
              </w:rPr>
              <w:t>g/L)</w:t>
            </w:r>
          </w:p>
        </w:tc>
        <w:tc>
          <w:tcPr>
            <w:tcW w:w="3736" w:type="dxa"/>
            <w:shd w:val="clear" w:color="auto" w:fill="FFFFFF" w:themeFill="background1"/>
          </w:tcPr>
          <w:p w:rsidR="005E2B55" w:rsidRDefault="005E2B55" w:rsidP="005E2B55">
            <w:pPr>
              <w:spacing w:before="80" w:after="80"/>
              <w:jc w:val="center"/>
              <w:rPr>
                <w:rFonts w:ascii="Arial" w:hAnsi="Arial" w:cs="Arial"/>
                <w:b/>
                <w:bCs/>
                <w:sz w:val="18"/>
                <w:szCs w:val="18"/>
                <w:u w:val="single"/>
              </w:rPr>
            </w:pPr>
            <w:r>
              <w:rPr>
                <w:rFonts w:ascii="Arial" w:hAnsi="Arial" w:cs="Arial"/>
                <w:b/>
                <w:bCs/>
                <w:sz w:val="18"/>
                <w:szCs w:val="18"/>
                <w:u w:val="single"/>
              </w:rPr>
              <w:t>Daily Max (</w:t>
            </w:r>
            <w:r w:rsidR="0093569A" w:rsidRPr="0093569A">
              <w:rPr>
                <w:b/>
                <w:u w:val="single"/>
              </w:rPr>
              <w:t>µ</w:t>
            </w:r>
            <w:r>
              <w:rPr>
                <w:rFonts w:ascii="Arial" w:hAnsi="Arial" w:cs="Arial"/>
                <w:b/>
                <w:bCs/>
                <w:sz w:val="18"/>
                <w:szCs w:val="18"/>
                <w:u w:val="single"/>
              </w:rPr>
              <w:t>g/L)</w:t>
            </w:r>
          </w:p>
        </w:tc>
      </w:tr>
      <w:tr w:rsidR="005E2B55" w:rsidRPr="00C57EB6" w:rsidTr="0039738E">
        <w:tblPrEx>
          <w:tblLook w:val="0000"/>
        </w:tblPrEx>
        <w:trPr>
          <w:jc w:val="center"/>
        </w:trPr>
        <w:tc>
          <w:tcPr>
            <w:tcW w:w="2450" w:type="dxa"/>
            <w:vAlign w:val="center"/>
          </w:tcPr>
          <w:p w:rsidR="005E2B55" w:rsidRPr="00C57EB6" w:rsidRDefault="005E2B55" w:rsidP="005E2B55">
            <w:pPr>
              <w:spacing w:before="40" w:after="40"/>
              <w:jc w:val="center"/>
              <w:rPr>
                <w:rFonts w:ascii="Arial" w:hAnsi="Arial" w:cs="Arial"/>
                <w:snapToGrid w:val="0"/>
                <w:color w:val="000000"/>
                <w:sz w:val="20"/>
                <w:szCs w:val="20"/>
              </w:rPr>
            </w:pPr>
            <w:proofErr w:type="spellStart"/>
            <w:r w:rsidRPr="00C57EB6">
              <w:rPr>
                <w:rFonts w:ascii="Arial" w:hAnsi="Arial" w:cs="Arial"/>
                <w:color w:val="000000"/>
                <w:sz w:val="20"/>
                <w:szCs w:val="20"/>
              </w:rPr>
              <w:t>Benzo</w:t>
            </w:r>
            <w:proofErr w:type="spellEnd"/>
            <w:r w:rsidRPr="00C57EB6">
              <w:rPr>
                <w:rFonts w:ascii="Arial" w:hAnsi="Arial" w:cs="Arial"/>
                <w:color w:val="000000"/>
                <w:sz w:val="20"/>
                <w:szCs w:val="20"/>
              </w:rPr>
              <w:t>(a)</w:t>
            </w:r>
            <w:proofErr w:type="spellStart"/>
            <w:r w:rsidRPr="00C57EB6">
              <w:rPr>
                <w:rFonts w:ascii="Arial" w:hAnsi="Arial" w:cs="Arial"/>
                <w:color w:val="000000"/>
                <w:sz w:val="20"/>
                <w:szCs w:val="20"/>
              </w:rPr>
              <w:t>anthracene</w:t>
            </w:r>
            <w:proofErr w:type="spellEnd"/>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sidRPr="00C57EB6">
              <w:rPr>
                <w:rFonts w:ascii="Arial" w:hAnsi="Arial" w:cs="Arial"/>
                <w:color w:val="000000" w:themeColor="text1"/>
                <w:sz w:val="20"/>
                <w:szCs w:val="20"/>
              </w:rPr>
              <w:t>Calculated limit is 0.0038 µg/L; Compliance will be demonstrated by not exceeding the Quantitation Limit of 1 µg/L</w:t>
            </w:r>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Pr>
                <w:rFonts w:ascii="Arial" w:hAnsi="Arial" w:cs="Arial"/>
                <w:color w:val="000000" w:themeColor="text1"/>
                <w:sz w:val="20"/>
                <w:szCs w:val="20"/>
              </w:rPr>
              <w:t>Calculated limit is 0.007</w:t>
            </w:r>
            <w:r w:rsidRPr="00C57EB6">
              <w:rPr>
                <w:rFonts w:ascii="Arial" w:hAnsi="Arial" w:cs="Arial"/>
                <w:color w:val="000000" w:themeColor="text1"/>
                <w:sz w:val="20"/>
                <w:szCs w:val="20"/>
              </w:rPr>
              <w:t>6 µg/L; Compliance will be demonstrated by not exceeding the Quantitation Limit of 1 µg/L</w:t>
            </w:r>
          </w:p>
        </w:tc>
      </w:tr>
      <w:tr w:rsidR="005E2B55" w:rsidRPr="00C57EB6" w:rsidTr="0039738E">
        <w:tblPrEx>
          <w:tblLook w:val="0000"/>
        </w:tblPrEx>
        <w:trPr>
          <w:jc w:val="center"/>
        </w:trPr>
        <w:tc>
          <w:tcPr>
            <w:tcW w:w="2450" w:type="dxa"/>
            <w:vAlign w:val="center"/>
          </w:tcPr>
          <w:p w:rsidR="005E2B55" w:rsidRPr="00C57EB6" w:rsidRDefault="005E2B55" w:rsidP="005E2B55">
            <w:pPr>
              <w:spacing w:before="40" w:after="40"/>
              <w:jc w:val="center"/>
              <w:rPr>
                <w:rFonts w:ascii="Arial" w:hAnsi="Arial" w:cs="Arial"/>
                <w:snapToGrid w:val="0"/>
                <w:color w:val="000000"/>
                <w:sz w:val="20"/>
                <w:szCs w:val="20"/>
              </w:rPr>
            </w:pPr>
            <w:proofErr w:type="spellStart"/>
            <w:r w:rsidRPr="00C57EB6">
              <w:rPr>
                <w:rFonts w:ascii="Arial" w:hAnsi="Arial" w:cs="Arial"/>
                <w:color w:val="000000"/>
                <w:sz w:val="20"/>
                <w:szCs w:val="20"/>
              </w:rPr>
              <w:t>Benzo</w:t>
            </w:r>
            <w:proofErr w:type="spellEnd"/>
            <w:r w:rsidRPr="00C57EB6">
              <w:rPr>
                <w:rFonts w:ascii="Arial" w:hAnsi="Arial" w:cs="Arial"/>
                <w:color w:val="000000"/>
                <w:sz w:val="20"/>
                <w:szCs w:val="20"/>
              </w:rPr>
              <w:t>(a)</w:t>
            </w:r>
            <w:proofErr w:type="spellStart"/>
            <w:r w:rsidRPr="00C57EB6">
              <w:rPr>
                <w:rFonts w:ascii="Arial" w:hAnsi="Arial" w:cs="Arial"/>
                <w:color w:val="000000"/>
                <w:sz w:val="20"/>
                <w:szCs w:val="20"/>
              </w:rPr>
              <w:t>pyrene</w:t>
            </w:r>
            <w:proofErr w:type="spellEnd"/>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sidRPr="00C57EB6">
              <w:rPr>
                <w:rFonts w:ascii="Arial" w:hAnsi="Arial" w:cs="Arial"/>
                <w:color w:val="000000" w:themeColor="text1"/>
                <w:sz w:val="20"/>
                <w:szCs w:val="20"/>
              </w:rPr>
              <w:t>Calculated limit is 0.0038 µg/L; Compliance will be demonstrated by not exceeding the Quantitation Limit of 1 µg/L</w:t>
            </w:r>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Pr>
                <w:rFonts w:ascii="Arial" w:hAnsi="Arial" w:cs="Arial"/>
                <w:color w:val="000000" w:themeColor="text1"/>
                <w:sz w:val="20"/>
                <w:szCs w:val="20"/>
              </w:rPr>
              <w:t>Calculated limit is 0.007</w:t>
            </w:r>
            <w:r w:rsidRPr="00C57EB6">
              <w:rPr>
                <w:rFonts w:ascii="Arial" w:hAnsi="Arial" w:cs="Arial"/>
                <w:color w:val="000000" w:themeColor="text1"/>
                <w:sz w:val="20"/>
                <w:szCs w:val="20"/>
              </w:rPr>
              <w:t>6 µg/L; Compliance will be demonstrated by not exceeding the Quantitation Limit of 1 µg/L</w:t>
            </w:r>
          </w:p>
        </w:tc>
      </w:tr>
      <w:tr w:rsidR="005E2B55" w:rsidRPr="00C57EB6" w:rsidTr="0039738E">
        <w:tblPrEx>
          <w:tblLook w:val="0000"/>
        </w:tblPrEx>
        <w:trPr>
          <w:jc w:val="center"/>
        </w:trPr>
        <w:tc>
          <w:tcPr>
            <w:tcW w:w="2450" w:type="dxa"/>
            <w:vAlign w:val="center"/>
          </w:tcPr>
          <w:p w:rsidR="005E2B55" w:rsidRPr="00C57EB6" w:rsidRDefault="005E2B55" w:rsidP="00076ED4">
            <w:pPr>
              <w:spacing w:before="40" w:after="40"/>
              <w:jc w:val="center"/>
              <w:rPr>
                <w:rFonts w:ascii="Arial" w:hAnsi="Arial" w:cs="Arial"/>
                <w:snapToGrid w:val="0"/>
                <w:color w:val="000000"/>
                <w:sz w:val="20"/>
                <w:szCs w:val="20"/>
              </w:rPr>
            </w:pPr>
            <w:r w:rsidRPr="00C57EB6">
              <w:rPr>
                <w:rFonts w:ascii="Arial" w:hAnsi="Arial" w:cs="Arial"/>
                <w:color w:val="000000"/>
                <w:sz w:val="20"/>
                <w:szCs w:val="20"/>
              </w:rPr>
              <w:t>Copper</w:t>
            </w:r>
            <w:r>
              <w:rPr>
                <w:rFonts w:ascii="Arial" w:hAnsi="Arial" w:cs="Arial"/>
                <w:color w:val="000000"/>
                <w:sz w:val="20"/>
                <w:szCs w:val="20"/>
                <w:vertAlign w:val="superscript"/>
              </w:rPr>
              <w:t>1</w:t>
            </w:r>
            <w:r>
              <w:rPr>
                <w:rFonts w:ascii="Arial" w:hAnsi="Arial" w:cs="Arial"/>
                <w:color w:val="000000"/>
                <w:sz w:val="20"/>
                <w:szCs w:val="20"/>
              </w:rPr>
              <w:t xml:space="preserve"> </w:t>
            </w:r>
          </w:p>
        </w:tc>
        <w:tc>
          <w:tcPr>
            <w:tcW w:w="3736" w:type="dxa"/>
            <w:vAlign w:val="center"/>
          </w:tcPr>
          <w:p w:rsidR="005E2B55" w:rsidRPr="00C57EB6" w:rsidRDefault="0039738E" w:rsidP="00991F0C">
            <w:pPr>
              <w:pStyle w:val="TableBody"/>
              <w:keepNext/>
              <w:spacing w:before="40" w:after="40"/>
              <w:rPr>
                <w:sz w:val="20"/>
              </w:rPr>
            </w:pPr>
            <w:r>
              <w:rPr>
                <w:sz w:val="20"/>
              </w:rPr>
              <w:t>15</w:t>
            </w:r>
          </w:p>
        </w:tc>
        <w:tc>
          <w:tcPr>
            <w:tcW w:w="3736" w:type="dxa"/>
            <w:vAlign w:val="center"/>
          </w:tcPr>
          <w:p w:rsidR="005E2B55" w:rsidRPr="00C57EB6" w:rsidRDefault="0039738E" w:rsidP="0039738E">
            <w:pPr>
              <w:pStyle w:val="TableBody"/>
              <w:keepNext/>
              <w:spacing w:before="40" w:after="40"/>
              <w:rPr>
                <w:sz w:val="20"/>
              </w:rPr>
            </w:pPr>
            <w:r>
              <w:rPr>
                <w:sz w:val="20"/>
              </w:rPr>
              <w:t>30</w:t>
            </w:r>
          </w:p>
        </w:tc>
      </w:tr>
      <w:tr w:rsidR="005E2B55" w:rsidRPr="00C57EB6" w:rsidTr="0039738E">
        <w:tblPrEx>
          <w:tblLook w:val="0000"/>
        </w:tblPrEx>
        <w:trPr>
          <w:jc w:val="center"/>
        </w:trPr>
        <w:tc>
          <w:tcPr>
            <w:tcW w:w="2450" w:type="dxa"/>
            <w:vAlign w:val="center"/>
          </w:tcPr>
          <w:p w:rsidR="005E2B55" w:rsidRPr="00C57EB6" w:rsidRDefault="005E2B55" w:rsidP="005E2B55">
            <w:pPr>
              <w:spacing w:before="40" w:after="40"/>
              <w:jc w:val="center"/>
              <w:rPr>
                <w:rFonts w:ascii="Arial" w:hAnsi="Arial" w:cs="Arial"/>
                <w:snapToGrid w:val="0"/>
                <w:color w:val="000000"/>
                <w:sz w:val="20"/>
                <w:szCs w:val="20"/>
              </w:rPr>
            </w:pPr>
            <w:proofErr w:type="spellStart"/>
            <w:r w:rsidRPr="00C57EB6">
              <w:rPr>
                <w:rFonts w:ascii="Arial" w:hAnsi="Arial" w:cs="Arial"/>
                <w:color w:val="000000"/>
                <w:sz w:val="20"/>
                <w:szCs w:val="20"/>
              </w:rPr>
              <w:t>Dibenzo</w:t>
            </w:r>
            <w:proofErr w:type="spellEnd"/>
            <w:r w:rsidRPr="00C57EB6">
              <w:rPr>
                <w:rFonts w:ascii="Arial" w:hAnsi="Arial" w:cs="Arial"/>
                <w:color w:val="000000"/>
                <w:sz w:val="20"/>
                <w:szCs w:val="20"/>
              </w:rPr>
              <w:t>(</w:t>
            </w:r>
            <w:proofErr w:type="spellStart"/>
            <w:r w:rsidRPr="00C57EB6">
              <w:rPr>
                <w:rFonts w:ascii="Arial" w:hAnsi="Arial" w:cs="Arial"/>
                <w:color w:val="000000"/>
                <w:sz w:val="20"/>
                <w:szCs w:val="20"/>
              </w:rPr>
              <w:t>a,h</w:t>
            </w:r>
            <w:proofErr w:type="spellEnd"/>
            <w:r w:rsidRPr="00C57EB6">
              <w:rPr>
                <w:rFonts w:ascii="Arial" w:hAnsi="Arial" w:cs="Arial"/>
                <w:color w:val="000000"/>
                <w:sz w:val="20"/>
                <w:szCs w:val="20"/>
              </w:rPr>
              <w:t>)</w:t>
            </w:r>
            <w:proofErr w:type="spellStart"/>
            <w:r w:rsidRPr="00C57EB6">
              <w:rPr>
                <w:rFonts w:ascii="Arial" w:hAnsi="Arial" w:cs="Arial"/>
                <w:color w:val="000000"/>
                <w:sz w:val="20"/>
                <w:szCs w:val="20"/>
              </w:rPr>
              <w:t>anthracene</w:t>
            </w:r>
            <w:proofErr w:type="spellEnd"/>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sidRPr="00C57EB6">
              <w:rPr>
                <w:rFonts w:ascii="Arial" w:hAnsi="Arial" w:cs="Arial"/>
                <w:color w:val="000000" w:themeColor="text1"/>
                <w:sz w:val="20"/>
                <w:szCs w:val="20"/>
              </w:rPr>
              <w:t>Calculated limit is 0.0038 µg/L; Compliance will be demonstrated by not exceeding the Quantitation Limit of 1 µg/L</w:t>
            </w:r>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Pr>
                <w:rFonts w:ascii="Arial" w:hAnsi="Arial" w:cs="Arial"/>
                <w:color w:val="000000" w:themeColor="text1"/>
                <w:sz w:val="20"/>
                <w:szCs w:val="20"/>
              </w:rPr>
              <w:t>Calculated limit is 0.007</w:t>
            </w:r>
            <w:r w:rsidRPr="00C57EB6">
              <w:rPr>
                <w:rFonts w:ascii="Arial" w:hAnsi="Arial" w:cs="Arial"/>
                <w:color w:val="000000" w:themeColor="text1"/>
                <w:sz w:val="20"/>
                <w:szCs w:val="20"/>
              </w:rPr>
              <w:t>6 µg/L; Compliance will be demonstrated by not exceeding the Quantitation Limit of 1 µg/L</w:t>
            </w:r>
          </w:p>
        </w:tc>
      </w:tr>
      <w:tr w:rsidR="005E2B55" w:rsidRPr="00C57EB6" w:rsidTr="0039738E">
        <w:tblPrEx>
          <w:tblLook w:val="0000"/>
        </w:tblPrEx>
        <w:trPr>
          <w:jc w:val="center"/>
        </w:trPr>
        <w:tc>
          <w:tcPr>
            <w:tcW w:w="2450" w:type="dxa"/>
            <w:vAlign w:val="center"/>
          </w:tcPr>
          <w:p w:rsidR="005E2B55" w:rsidRPr="00C57EB6" w:rsidRDefault="005E2B55" w:rsidP="005E2B55">
            <w:pPr>
              <w:spacing w:before="40" w:after="40"/>
              <w:jc w:val="center"/>
              <w:rPr>
                <w:rFonts w:ascii="Arial" w:hAnsi="Arial" w:cs="Arial"/>
                <w:snapToGrid w:val="0"/>
                <w:color w:val="000000"/>
                <w:sz w:val="20"/>
                <w:szCs w:val="20"/>
              </w:rPr>
            </w:pPr>
            <w:proofErr w:type="spellStart"/>
            <w:r w:rsidRPr="00C57EB6">
              <w:rPr>
                <w:rFonts w:ascii="Arial" w:hAnsi="Arial" w:cs="Arial"/>
                <w:color w:val="000000"/>
                <w:sz w:val="20"/>
                <w:szCs w:val="20"/>
              </w:rPr>
              <w:t>Indeno</w:t>
            </w:r>
            <w:proofErr w:type="spellEnd"/>
            <w:r w:rsidRPr="00C57EB6">
              <w:rPr>
                <w:rFonts w:ascii="Arial" w:hAnsi="Arial" w:cs="Arial"/>
                <w:color w:val="000000"/>
                <w:sz w:val="20"/>
                <w:szCs w:val="20"/>
              </w:rPr>
              <w:t>(1,2,3-cd)</w:t>
            </w:r>
            <w:proofErr w:type="spellStart"/>
            <w:r w:rsidRPr="00C57EB6">
              <w:rPr>
                <w:rFonts w:ascii="Arial" w:hAnsi="Arial" w:cs="Arial"/>
                <w:color w:val="000000"/>
                <w:sz w:val="20"/>
                <w:szCs w:val="20"/>
              </w:rPr>
              <w:t>pyrene</w:t>
            </w:r>
            <w:proofErr w:type="spellEnd"/>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sidRPr="00C57EB6">
              <w:rPr>
                <w:rFonts w:ascii="Arial" w:hAnsi="Arial" w:cs="Arial"/>
                <w:color w:val="000000" w:themeColor="text1"/>
                <w:sz w:val="20"/>
                <w:szCs w:val="20"/>
              </w:rPr>
              <w:t>Calculated limit is 0.0038 µg/L; Compliance will be demonstrated by not exceeding the Quantitation Limit of 1 µg/L</w:t>
            </w:r>
          </w:p>
        </w:tc>
        <w:tc>
          <w:tcPr>
            <w:tcW w:w="3736" w:type="dxa"/>
            <w:vAlign w:val="center"/>
          </w:tcPr>
          <w:p w:rsidR="005E2B55" w:rsidRPr="00C57EB6" w:rsidRDefault="005E2B55" w:rsidP="00F23B59">
            <w:pPr>
              <w:spacing w:before="40" w:after="40"/>
              <w:jc w:val="center"/>
              <w:rPr>
                <w:rFonts w:ascii="Arial" w:hAnsi="Arial" w:cs="Arial"/>
                <w:snapToGrid w:val="0"/>
                <w:color w:val="000000"/>
                <w:sz w:val="20"/>
                <w:szCs w:val="20"/>
              </w:rPr>
            </w:pPr>
            <w:r>
              <w:rPr>
                <w:rFonts w:ascii="Arial" w:hAnsi="Arial" w:cs="Arial"/>
                <w:color w:val="000000" w:themeColor="text1"/>
                <w:sz w:val="20"/>
                <w:szCs w:val="20"/>
              </w:rPr>
              <w:t>Calculated limit is 0.007</w:t>
            </w:r>
            <w:r w:rsidRPr="00C57EB6">
              <w:rPr>
                <w:rFonts w:ascii="Arial" w:hAnsi="Arial" w:cs="Arial"/>
                <w:color w:val="000000" w:themeColor="text1"/>
                <w:sz w:val="20"/>
                <w:szCs w:val="20"/>
              </w:rPr>
              <w:t>6 µg/L; Compliance will be demonstrated by not exceeding the Quantitation Limit of 1 µg/L</w:t>
            </w:r>
          </w:p>
        </w:tc>
      </w:tr>
      <w:tr w:rsidR="005E2B55" w:rsidRPr="00C57EB6" w:rsidTr="0039738E">
        <w:tblPrEx>
          <w:tblLook w:val="0000"/>
        </w:tblPrEx>
        <w:trPr>
          <w:jc w:val="center"/>
        </w:trPr>
        <w:tc>
          <w:tcPr>
            <w:tcW w:w="2450" w:type="dxa"/>
            <w:vAlign w:val="center"/>
          </w:tcPr>
          <w:p w:rsidR="005E2B55" w:rsidRPr="00C57EB6" w:rsidRDefault="005E2B55" w:rsidP="005E2B55">
            <w:pPr>
              <w:spacing w:before="40" w:after="40"/>
              <w:jc w:val="center"/>
              <w:rPr>
                <w:rFonts w:ascii="Arial" w:hAnsi="Arial" w:cs="Arial"/>
                <w:snapToGrid w:val="0"/>
                <w:color w:val="000000"/>
                <w:sz w:val="20"/>
                <w:szCs w:val="20"/>
              </w:rPr>
            </w:pPr>
            <w:r w:rsidRPr="00C57EB6">
              <w:rPr>
                <w:rFonts w:ascii="Arial" w:hAnsi="Arial" w:cs="Arial"/>
                <w:color w:val="000000"/>
                <w:sz w:val="20"/>
                <w:szCs w:val="20"/>
              </w:rPr>
              <w:t>Iron</w:t>
            </w:r>
            <w:r>
              <w:rPr>
                <w:rFonts w:ascii="Arial" w:hAnsi="Arial" w:cs="Arial"/>
                <w:color w:val="000000"/>
                <w:sz w:val="20"/>
                <w:szCs w:val="20"/>
                <w:vertAlign w:val="superscript"/>
              </w:rPr>
              <w:t>1</w:t>
            </w:r>
            <w:r>
              <w:rPr>
                <w:rFonts w:ascii="Arial" w:hAnsi="Arial" w:cs="Arial"/>
                <w:color w:val="000000"/>
                <w:sz w:val="20"/>
                <w:szCs w:val="20"/>
              </w:rPr>
              <w:t xml:space="preserve"> </w:t>
            </w:r>
          </w:p>
        </w:tc>
        <w:tc>
          <w:tcPr>
            <w:tcW w:w="3736" w:type="dxa"/>
            <w:vAlign w:val="center"/>
          </w:tcPr>
          <w:p w:rsidR="005E2B55" w:rsidRPr="00C57EB6" w:rsidRDefault="005E2B55" w:rsidP="005E2B55">
            <w:pPr>
              <w:pStyle w:val="TableBody"/>
              <w:keepNext/>
              <w:spacing w:before="40" w:after="40"/>
              <w:rPr>
                <w:sz w:val="20"/>
              </w:rPr>
            </w:pPr>
            <w:r>
              <w:rPr>
                <w:sz w:val="20"/>
              </w:rPr>
              <w:t>820</w:t>
            </w:r>
          </w:p>
        </w:tc>
        <w:tc>
          <w:tcPr>
            <w:tcW w:w="3736" w:type="dxa"/>
            <w:vAlign w:val="center"/>
          </w:tcPr>
          <w:p w:rsidR="005E2B55" w:rsidRPr="00C57EB6" w:rsidRDefault="005E2B55" w:rsidP="005E2B55">
            <w:pPr>
              <w:pStyle w:val="TableBody"/>
              <w:keepNext/>
              <w:spacing w:before="40" w:after="40"/>
              <w:rPr>
                <w:sz w:val="20"/>
              </w:rPr>
            </w:pPr>
            <w:r w:rsidRPr="00C57EB6">
              <w:rPr>
                <w:sz w:val="20"/>
              </w:rPr>
              <w:t>1600</w:t>
            </w:r>
          </w:p>
        </w:tc>
      </w:tr>
      <w:tr w:rsidR="005E2B55" w:rsidRPr="00C57EB6" w:rsidTr="0039738E">
        <w:tblPrEx>
          <w:tblLook w:val="0000"/>
        </w:tblPrEx>
        <w:trPr>
          <w:jc w:val="center"/>
        </w:trPr>
        <w:tc>
          <w:tcPr>
            <w:tcW w:w="2450" w:type="dxa"/>
            <w:vAlign w:val="center"/>
          </w:tcPr>
          <w:p w:rsidR="005E2B55" w:rsidRPr="0039738E" w:rsidRDefault="005E2B55" w:rsidP="00391AD2">
            <w:pPr>
              <w:spacing w:before="40" w:after="40"/>
              <w:jc w:val="center"/>
              <w:rPr>
                <w:rFonts w:ascii="Arial" w:hAnsi="Arial" w:cs="Arial"/>
                <w:snapToGrid w:val="0"/>
                <w:color w:val="000000" w:themeColor="text1"/>
                <w:sz w:val="20"/>
                <w:szCs w:val="20"/>
              </w:rPr>
            </w:pPr>
            <w:r w:rsidRPr="0039738E">
              <w:rPr>
                <w:rFonts w:ascii="Arial" w:hAnsi="Arial" w:cs="Arial"/>
                <w:snapToGrid w:val="0"/>
                <w:color w:val="000000" w:themeColor="text1"/>
                <w:sz w:val="20"/>
                <w:szCs w:val="20"/>
              </w:rPr>
              <w:t>Lead</w:t>
            </w:r>
            <w:r w:rsidR="00896397" w:rsidRPr="0039738E">
              <w:rPr>
                <w:rFonts w:ascii="Arial" w:hAnsi="Arial" w:cs="Arial"/>
                <w:snapToGrid w:val="0"/>
                <w:color w:val="000000" w:themeColor="text1"/>
                <w:sz w:val="20"/>
                <w:szCs w:val="20"/>
                <w:vertAlign w:val="superscript"/>
              </w:rPr>
              <w:t>1</w:t>
            </w:r>
          </w:p>
        </w:tc>
        <w:tc>
          <w:tcPr>
            <w:tcW w:w="3736" w:type="dxa"/>
            <w:vAlign w:val="center"/>
          </w:tcPr>
          <w:p w:rsidR="005E2B55" w:rsidRPr="0039738E" w:rsidRDefault="005E2B55" w:rsidP="0039738E">
            <w:pPr>
              <w:pStyle w:val="TableBody"/>
              <w:keepNext/>
              <w:spacing w:before="40" w:after="40"/>
              <w:rPr>
                <w:color w:val="000000" w:themeColor="text1"/>
                <w:sz w:val="20"/>
              </w:rPr>
            </w:pPr>
            <w:r w:rsidRPr="0039738E">
              <w:rPr>
                <w:color w:val="000000" w:themeColor="text1"/>
                <w:sz w:val="20"/>
              </w:rPr>
              <w:t xml:space="preserve">Calculated limit is </w:t>
            </w:r>
            <w:r w:rsidR="0039738E">
              <w:rPr>
                <w:color w:val="000000" w:themeColor="text1"/>
                <w:sz w:val="20"/>
              </w:rPr>
              <w:t>3.8</w:t>
            </w:r>
            <w:r w:rsidR="005513E7" w:rsidRPr="0039738E">
              <w:rPr>
                <w:color w:val="000000" w:themeColor="text1"/>
                <w:sz w:val="20"/>
              </w:rPr>
              <w:t xml:space="preserve"> </w:t>
            </w:r>
            <w:r w:rsidRPr="0039738E">
              <w:rPr>
                <w:color w:val="000000" w:themeColor="text1"/>
                <w:sz w:val="20"/>
              </w:rPr>
              <w:t>µg/L; Compliance will be demonstrated by not exceeding the Quantitation Limit of 5 µg/L</w:t>
            </w:r>
          </w:p>
        </w:tc>
        <w:tc>
          <w:tcPr>
            <w:tcW w:w="3736" w:type="dxa"/>
            <w:vAlign w:val="center"/>
          </w:tcPr>
          <w:p w:rsidR="005E2B55" w:rsidRPr="0039738E" w:rsidRDefault="0039738E" w:rsidP="0039738E">
            <w:pPr>
              <w:pStyle w:val="TableBody"/>
              <w:keepNext/>
              <w:spacing w:before="40" w:after="40"/>
              <w:rPr>
                <w:color w:val="000000" w:themeColor="text1"/>
                <w:sz w:val="20"/>
              </w:rPr>
            </w:pPr>
            <w:r>
              <w:rPr>
                <w:color w:val="000000" w:themeColor="text1"/>
                <w:sz w:val="20"/>
              </w:rPr>
              <w:t>7.6</w:t>
            </w:r>
          </w:p>
        </w:tc>
      </w:tr>
      <w:tr w:rsidR="005E2B55" w:rsidRPr="00C57EB6" w:rsidTr="0039738E">
        <w:tblPrEx>
          <w:tblLook w:val="0000"/>
        </w:tblPrEx>
        <w:trPr>
          <w:jc w:val="center"/>
        </w:trPr>
        <w:tc>
          <w:tcPr>
            <w:tcW w:w="2450" w:type="dxa"/>
            <w:vAlign w:val="center"/>
          </w:tcPr>
          <w:p w:rsidR="005E2B55" w:rsidRPr="00C57EB6" w:rsidRDefault="005E2B55" w:rsidP="005E2B55">
            <w:pPr>
              <w:spacing w:before="40" w:after="40"/>
              <w:jc w:val="center"/>
              <w:rPr>
                <w:rFonts w:ascii="Arial" w:hAnsi="Arial" w:cs="Arial"/>
                <w:snapToGrid w:val="0"/>
                <w:color w:val="000000"/>
                <w:sz w:val="20"/>
                <w:szCs w:val="20"/>
              </w:rPr>
            </w:pPr>
            <w:r w:rsidRPr="00C57EB6">
              <w:rPr>
                <w:rFonts w:ascii="Arial" w:hAnsi="Arial" w:cs="Arial"/>
                <w:snapToGrid w:val="0"/>
                <w:color w:val="000000"/>
                <w:sz w:val="20"/>
                <w:szCs w:val="20"/>
              </w:rPr>
              <w:t>Mercury</w:t>
            </w:r>
            <w:r>
              <w:rPr>
                <w:rFonts w:ascii="Arial" w:hAnsi="Arial" w:cs="Arial"/>
                <w:snapToGrid w:val="0"/>
                <w:color w:val="000000"/>
                <w:sz w:val="20"/>
                <w:szCs w:val="20"/>
                <w:vertAlign w:val="superscript"/>
              </w:rPr>
              <w:t>1</w:t>
            </w:r>
            <w:r>
              <w:rPr>
                <w:rFonts w:ascii="Arial" w:hAnsi="Arial" w:cs="Arial"/>
                <w:snapToGrid w:val="0"/>
                <w:color w:val="000000"/>
                <w:sz w:val="20"/>
                <w:szCs w:val="20"/>
              </w:rPr>
              <w:t xml:space="preserve"> </w:t>
            </w:r>
          </w:p>
        </w:tc>
        <w:tc>
          <w:tcPr>
            <w:tcW w:w="3736" w:type="dxa"/>
            <w:vAlign w:val="center"/>
          </w:tcPr>
          <w:p w:rsidR="005E2B55" w:rsidRPr="00701995" w:rsidRDefault="005E2B55" w:rsidP="00701995">
            <w:pPr>
              <w:pStyle w:val="TableBody"/>
              <w:keepNext/>
              <w:spacing w:before="40" w:after="40"/>
              <w:rPr>
                <w:color w:val="000000" w:themeColor="text1"/>
                <w:sz w:val="20"/>
              </w:rPr>
            </w:pPr>
            <w:r w:rsidRPr="00701995">
              <w:rPr>
                <w:color w:val="000000" w:themeColor="text1"/>
                <w:sz w:val="20"/>
              </w:rPr>
              <w:t>0.01</w:t>
            </w:r>
            <w:r w:rsidR="00701995" w:rsidRPr="00701995">
              <w:rPr>
                <w:color w:val="000000" w:themeColor="text1"/>
                <w:sz w:val="20"/>
              </w:rPr>
              <w:t>0</w:t>
            </w:r>
          </w:p>
        </w:tc>
        <w:tc>
          <w:tcPr>
            <w:tcW w:w="3736" w:type="dxa"/>
            <w:vAlign w:val="center"/>
          </w:tcPr>
          <w:p w:rsidR="005E2B55" w:rsidRPr="00701995" w:rsidRDefault="005E2B55" w:rsidP="005E2B55">
            <w:pPr>
              <w:pStyle w:val="TableBody"/>
              <w:keepNext/>
              <w:spacing w:before="40" w:after="40"/>
              <w:rPr>
                <w:color w:val="000000" w:themeColor="text1"/>
                <w:sz w:val="20"/>
              </w:rPr>
            </w:pPr>
            <w:r w:rsidRPr="00701995">
              <w:rPr>
                <w:color w:val="000000" w:themeColor="text1"/>
                <w:sz w:val="20"/>
              </w:rPr>
              <w:t>0.02</w:t>
            </w:r>
            <w:r w:rsidR="00E37ABB" w:rsidRPr="00701995">
              <w:rPr>
                <w:color w:val="000000" w:themeColor="text1"/>
                <w:sz w:val="20"/>
              </w:rPr>
              <w:t>0</w:t>
            </w:r>
          </w:p>
        </w:tc>
      </w:tr>
      <w:tr w:rsidR="005E2B55" w:rsidRPr="00C57EB6" w:rsidTr="0039738E">
        <w:tblPrEx>
          <w:tblLook w:val="0000"/>
        </w:tblPrEx>
        <w:trPr>
          <w:jc w:val="center"/>
        </w:trPr>
        <w:tc>
          <w:tcPr>
            <w:tcW w:w="2450" w:type="dxa"/>
            <w:vAlign w:val="center"/>
          </w:tcPr>
          <w:p w:rsidR="005E2B55" w:rsidRPr="00C57EB6" w:rsidRDefault="005E2B55" w:rsidP="005E2B55">
            <w:pPr>
              <w:spacing w:before="40" w:after="40"/>
              <w:jc w:val="center"/>
              <w:rPr>
                <w:rFonts w:ascii="Arial" w:hAnsi="Arial" w:cs="Arial"/>
                <w:snapToGrid w:val="0"/>
                <w:color w:val="000000"/>
                <w:sz w:val="20"/>
                <w:szCs w:val="20"/>
              </w:rPr>
            </w:pPr>
            <w:r w:rsidRPr="00C57EB6">
              <w:rPr>
                <w:rFonts w:ascii="Arial" w:hAnsi="Arial" w:cs="Arial"/>
                <w:snapToGrid w:val="0"/>
                <w:color w:val="000000"/>
                <w:sz w:val="20"/>
                <w:szCs w:val="20"/>
              </w:rPr>
              <w:t>pH</w:t>
            </w:r>
          </w:p>
        </w:tc>
        <w:tc>
          <w:tcPr>
            <w:tcW w:w="7472" w:type="dxa"/>
            <w:gridSpan w:val="2"/>
          </w:tcPr>
          <w:p w:rsidR="005E2B55" w:rsidRPr="00C57EB6" w:rsidRDefault="005E2B55" w:rsidP="005E2B55">
            <w:pPr>
              <w:pStyle w:val="TableBody"/>
              <w:keepNext/>
              <w:spacing w:before="40" w:after="40"/>
              <w:rPr>
                <w:sz w:val="20"/>
              </w:rPr>
            </w:pPr>
            <w:r w:rsidRPr="00C57EB6">
              <w:rPr>
                <w:sz w:val="20"/>
              </w:rPr>
              <w:t>Within the range of 6.5 – 8.5</w:t>
            </w:r>
          </w:p>
        </w:tc>
      </w:tr>
      <w:tr w:rsidR="005E2B55" w:rsidRPr="00C57EB6" w:rsidTr="0039738E">
        <w:trPr>
          <w:jc w:val="center"/>
        </w:trPr>
        <w:tc>
          <w:tcPr>
            <w:tcW w:w="2450" w:type="dxa"/>
            <w:vAlign w:val="center"/>
          </w:tcPr>
          <w:p w:rsidR="005E2B55" w:rsidRPr="0039738E" w:rsidRDefault="005E2B55" w:rsidP="0039738E">
            <w:pPr>
              <w:spacing w:before="40" w:after="40"/>
              <w:ind w:left="-113"/>
              <w:jc w:val="center"/>
              <w:rPr>
                <w:rFonts w:ascii="Arial" w:hAnsi="Arial" w:cs="Arial"/>
                <w:snapToGrid w:val="0"/>
                <w:color w:val="FF0000"/>
                <w:sz w:val="20"/>
                <w:szCs w:val="20"/>
                <w:vertAlign w:val="superscript"/>
              </w:rPr>
            </w:pPr>
            <w:r w:rsidRPr="00C57EB6">
              <w:rPr>
                <w:rFonts w:ascii="Arial" w:hAnsi="Arial" w:cs="Arial"/>
                <w:snapToGrid w:val="0"/>
                <w:color w:val="000000" w:themeColor="text1"/>
                <w:sz w:val="20"/>
                <w:szCs w:val="20"/>
              </w:rPr>
              <w:t>Total Cyanide (Interim)</w:t>
            </w:r>
            <w:r w:rsidR="0039738E">
              <w:rPr>
                <w:rFonts w:ascii="Arial" w:hAnsi="Arial" w:cs="Arial"/>
                <w:snapToGrid w:val="0"/>
                <w:color w:val="000000" w:themeColor="text1"/>
                <w:sz w:val="20"/>
                <w:szCs w:val="20"/>
                <w:vertAlign w:val="superscript"/>
              </w:rPr>
              <w:t>2</w:t>
            </w:r>
          </w:p>
        </w:tc>
        <w:tc>
          <w:tcPr>
            <w:tcW w:w="3736" w:type="dxa"/>
            <w:vAlign w:val="center"/>
          </w:tcPr>
          <w:p w:rsidR="005E2B55" w:rsidRPr="00C57EB6" w:rsidRDefault="0039738E" w:rsidP="005E2B55">
            <w:pPr>
              <w:pStyle w:val="TableBody"/>
              <w:keepNext/>
              <w:spacing w:before="40" w:after="40"/>
              <w:rPr>
                <w:sz w:val="20"/>
              </w:rPr>
            </w:pPr>
            <w:r>
              <w:rPr>
                <w:sz w:val="20"/>
              </w:rPr>
              <w:t>510</w:t>
            </w:r>
          </w:p>
        </w:tc>
        <w:tc>
          <w:tcPr>
            <w:tcW w:w="3736" w:type="dxa"/>
            <w:vAlign w:val="center"/>
          </w:tcPr>
          <w:p w:rsidR="005E2B55" w:rsidRPr="00C57EB6" w:rsidRDefault="0039738E" w:rsidP="005E2B55">
            <w:pPr>
              <w:pStyle w:val="TableBody"/>
              <w:keepNext/>
              <w:spacing w:before="40" w:after="40"/>
              <w:rPr>
                <w:sz w:val="20"/>
              </w:rPr>
            </w:pPr>
            <w:r>
              <w:rPr>
                <w:sz w:val="20"/>
              </w:rPr>
              <w:t>1000</w:t>
            </w:r>
          </w:p>
        </w:tc>
      </w:tr>
      <w:tr w:rsidR="005E2B55" w:rsidRPr="00C57EB6" w:rsidTr="0039738E">
        <w:trPr>
          <w:jc w:val="center"/>
        </w:trPr>
        <w:tc>
          <w:tcPr>
            <w:tcW w:w="2450" w:type="dxa"/>
            <w:vMerge w:val="restart"/>
            <w:vAlign w:val="center"/>
          </w:tcPr>
          <w:p w:rsidR="005E2B55" w:rsidRPr="0039738E" w:rsidRDefault="005E2B55" w:rsidP="0039738E">
            <w:pPr>
              <w:spacing w:before="40" w:after="40"/>
              <w:ind w:left="-113"/>
              <w:jc w:val="center"/>
              <w:rPr>
                <w:rFonts w:ascii="Arial" w:hAnsi="Arial" w:cs="Arial"/>
                <w:snapToGrid w:val="0"/>
                <w:color w:val="000000" w:themeColor="text1"/>
                <w:sz w:val="20"/>
                <w:szCs w:val="20"/>
                <w:vertAlign w:val="superscript"/>
              </w:rPr>
            </w:pPr>
            <w:r w:rsidRPr="00C57EB6">
              <w:rPr>
                <w:rFonts w:ascii="Arial" w:hAnsi="Arial" w:cs="Arial"/>
                <w:snapToGrid w:val="0"/>
                <w:color w:val="000000" w:themeColor="text1"/>
                <w:sz w:val="20"/>
                <w:szCs w:val="20"/>
              </w:rPr>
              <w:t>Total Cyanide (</w:t>
            </w:r>
            <w:r>
              <w:rPr>
                <w:rFonts w:ascii="Arial" w:hAnsi="Arial" w:cs="Arial"/>
                <w:snapToGrid w:val="0"/>
                <w:color w:val="000000" w:themeColor="text1"/>
                <w:sz w:val="20"/>
                <w:szCs w:val="20"/>
              </w:rPr>
              <w:t>Final</w:t>
            </w:r>
            <w:r w:rsidRPr="00C57EB6">
              <w:rPr>
                <w:rFonts w:ascii="Arial" w:hAnsi="Arial" w:cs="Arial"/>
                <w:snapToGrid w:val="0"/>
                <w:color w:val="000000" w:themeColor="text1"/>
                <w:sz w:val="20"/>
                <w:szCs w:val="20"/>
              </w:rPr>
              <w:t>)</w:t>
            </w:r>
            <w:r w:rsidR="0039738E">
              <w:rPr>
                <w:rFonts w:ascii="Arial" w:hAnsi="Arial" w:cs="Arial"/>
                <w:snapToGrid w:val="0"/>
                <w:color w:val="000000" w:themeColor="text1"/>
                <w:sz w:val="20"/>
                <w:szCs w:val="20"/>
                <w:vertAlign w:val="superscript"/>
              </w:rPr>
              <w:t>2</w:t>
            </w:r>
          </w:p>
        </w:tc>
        <w:tc>
          <w:tcPr>
            <w:tcW w:w="3736" w:type="dxa"/>
            <w:vAlign w:val="center"/>
          </w:tcPr>
          <w:p w:rsidR="005E2B55" w:rsidRPr="00C57EB6" w:rsidRDefault="005E2B55" w:rsidP="005E2B55">
            <w:pPr>
              <w:pStyle w:val="TableBody"/>
              <w:keepNext/>
              <w:spacing w:before="40" w:after="40"/>
              <w:rPr>
                <w:sz w:val="20"/>
              </w:rPr>
            </w:pPr>
            <w:r w:rsidRPr="00C57EB6">
              <w:rPr>
                <w:sz w:val="20"/>
              </w:rPr>
              <w:t>130</w:t>
            </w:r>
          </w:p>
        </w:tc>
        <w:tc>
          <w:tcPr>
            <w:tcW w:w="3736" w:type="dxa"/>
            <w:vAlign w:val="center"/>
          </w:tcPr>
          <w:p w:rsidR="005E2B55" w:rsidRPr="00C57EB6" w:rsidRDefault="005E2B55" w:rsidP="005E2B55">
            <w:pPr>
              <w:pStyle w:val="TableBody"/>
              <w:keepNext/>
              <w:spacing w:before="40" w:after="40"/>
              <w:rPr>
                <w:sz w:val="20"/>
              </w:rPr>
            </w:pPr>
            <w:r w:rsidRPr="00C57EB6">
              <w:rPr>
                <w:sz w:val="20"/>
              </w:rPr>
              <w:t>2</w:t>
            </w:r>
            <w:r w:rsidR="00A80758">
              <w:rPr>
                <w:sz w:val="20"/>
              </w:rPr>
              <w:t>60</w:t>
            </w:r>
          </w:p>
        </w:tc>
      </w:tr>
      <w:tr w:rsidR="005E2B55" w:rsidRPr="00C57EB6" w:rsidTr="0039738E">
        <w:trPr>
          <w:jc w:val="center"/>
        </w:trPr>
        <w:tc>
          <w:tcPr>
            <w:tcW w:w="2450" w:type="dxa"/>
            <w:vMerge/>
            <w:vAlign w:val="center"/>
          </w:tcPr>
          <w:p w:rsidR="005E2B55" w:rsidRPr="00C57EB6" w:rsidRDefault="005E2B55" w:rsidP="005E2B55">
            <w:pPr>
              <w:spacing w:before="40" w:after="40"/>
              <w:ind w:left="360"/>
              <w:jc w:val="center"/>
              <w:rPr>
                <w:rFonts w:ascii="Arial" w:hAnsi="Arial" w:cs="Arial"/>
                <w:snapToGrid w:val="0"/>
                <w:color w:val="000000" w:themeColor="text1"/>
                <w:sz w:val="20"/>
                <w:szCs w:val="20"/>
              </w:rPr>
            </w:pPr>
          </w:p>
        </w:tc>
        <w:tc>
          <w:tcPr>
            <w:tcW w:w="3736" w:type="dxa"/>
            <w:vAlign w:val="center"/>
          </w:tcPr>
          <w:p w:rsidR="005E2B55" w:rsidRPr="00C57EB6" w:rsidRDefault="0039738E" w:rsidP="005E2B55">
            <w:pPr>
              <w:pStyle w:val="TableBody"/>
              <w:keepNext/>
              <w:spacing w:before="40" w:after="40"/>
              <w:ind w:left="-18" w:firstLine="18"/>
              <w:rPr>
                <w:sz w:val="20"/>
              </w:rPr>
            </w:pPr>
            <w:r>
              <w:rPr>
                <w:sz w:val="20"/>
              </w:rPr>
              <w:t>510</w:t>
            </w:r>
          </w:p>
        </w:tc>
        <w:tc>
          <w:tcPr>
            <w:tcW w:w="3736" w:type="dxa"/>
            <w:vAlign w:val="center"/>
          </w:tcPr>
          <w:p w:rsidR="005E2B55" w:rsidRPr="00C57EB6" w:rsidRDefault="0039738E" w:rsidP="005E2B55">
            <w:pPr>
              <w:pStyle w:val="TableBody"/>
              <w:keepNext/>
              <w:spacing w:before="40" w:after="40"/>
              <w:rPr>
                <w:sz w:val="20"/>
              </w:rPr>
            </w:pPr>
            <w:r>
              <w:rPr>
                <w:sz w:val="20"/>
              </w:rPr>
              <w:t>1000</w:t>
            </w:r>
          </w:p>
        </w:tc>
      </w:tr>
    </w:tbl>
    <w:p w:rsidR="00A353B5" w:rsidRDefault="00A353B5" w:rsidP="00A868AA">
      <w:pPr>
        <w:ind w:left="360"/>
        <w:rPr>
          <w:u w:val="single"/>
        </w:rPr>
      </w:pPr>
    </w:p>
    <w:p w:rsidR="00A353B5" w:rsidRDefault="00A353B5">
      <w:pPr>
        <w:rPr>
          <w:u w:val="single"/>
        </w:rPr>
      </w:pPr>
      <w:r>
        <w:rPr>
          <w:u w:val="single"/>
        </w:rPr>
        <w:br w:type="page"/>
      </w:r>
    </w:p>
    <w:p w:rsidR="00001B08" w:rsidRDefault="00001B08" w:rsidP="00A868AA">
      <w:pPr>
        <w:ind w:left="360"/>
        <w:rPr>
          <w:u w:val="single"/>
        </w:rPr>
      </w:pPr>
    </w:p>
    <w:p w:rsidR="00A868AA" w:rsidRPr="00A868AA" w:rsidRDefault="00A868AA" w:rsidP="00A868AA">
      <w:pPr>
        <w:ind w:left="360"/>
        <w:rPr>
          <w:u w:val="single"/>
        </w:rPr>
      </w:pPr>
      <w:r>
        <w:rPr>
          <w:u w:val="single"/>
        </w:rPr>
        <w:t>Table A</w:t>
      </w:r>
      <w:r w:rsidRPr="00A868AA">
        <w:rPr>
          <w:u w:val="single"/>
        </w:rPr>
        <w:t>1 Notes:</w:t>
      </w:r>
    </w:p>
    <w:p w:rsidR="005152FE" w:rsidRDefault="005152FE" w:rsidP="00B8581C">
      <w:pPr>
        <w:pStyle w:val="BodyText"/>
        <w:numPr>
          <w:ilvl w:val="0"/>
          <w:numId w:val="11"/>
        </w:numPr>
        <w:tabs>
          <w:tab w:val="left" w:pos="9720"/>
        </w:tabs>
        <w:spacing w:before="60"/>
        <w:outlineLvl w:val="0"/>
        <w:rPr>
          <w:rFonts w:ascii="Times New Roman" w:hAnsi="Times New Roman"/>
          <w:szCs w:val="22"/>
        </w:rPr>
      </w:pPr>
      <w:r w:rsidRPr="00537A7A">
        <w:rPr>
          <w:rFonts w:ascii="Times New Roman" w:hAnsi="Times New Roman"/>
          <w:szCs w:val="22"/>
        </w:rPr>
        <w:t xml:space="preserve">Total Recoverable </w:t>
      </w:r>
      <w:bookmarkStart w:id="11" w:name="_Toc253151403"/>
    </w:p>
    <w:bookmarkEnd w:id="11"/>
    <w:p w:rsidR="005152FE" w:rsidRPr="00537A7A" w:rsidRDefault="005152FE" w:rsidP="00AB2FD8">
      <w:pPr>
        <w:pStyle w:val="ListParagraph"/>
        <w:numPr>
          <w:ilvl w:val="0"/>
          <w:numId w:val="11"/>
        </w:numPr>
        <w:spacing w:after="120"/>
      </w:pPr>
      <w:r w:rsidRPr="00537A7A">
        <w:t>The interim total cyanide limits are effective upon permit issuance</w:t>
      </w:r>
      <w:r w:rsidR="008F5D8C">
        <w:t xml:space="preserve">. </w:t>
      </w:r>
      <w:r w:rsidR="0039738E">
        <w:t xml:space="preserve">The applicable final total cyanide limits will become effective 180 days following Department approval or disapproval of the continued utilization of the mixing zone for total cyanide (defined below).  If the Department approves the continued utilization of the total cyanide mixing zone, the final total cyanide limits of 510 µg/L (monthly avg.) and 1000 µg/L (daily max.) will be applicable.  If the Department disapproves the continued utilization of the total cyanide mixing zone, the final total cyanide limits of 130 µg/L (monthly avg.) and 260 µg/L (daily max.) will be applicable.  </w:t>
      </w:r>
      <w:r w:rsidRPr="00537A7A">
        <w:t xml:space="preserve">Department approval will be contingent on the demonstration by the permittee that the total cyanide limitations </w:t>
      </w:r>
      <w:proofErr w:type="gramStart"/>
      <w:r w:rsidRPr="00537A7A">
        <w:t xml:space="preserve">of 130 </w:t>
      </w:r>
      <w:r w:rsidR="0093569A">
        <w:t>µ</w:t>
      </w:r>
      <w:r w:rsidRPr="00537A7A">
        <w:t>g/L (monthly avg.)</w:t>
      </w:r>
      <w:proofErr w:type="gramEnd"/>
      <w:r w:rsidRPr="00537A7A">
        <w:t xml:space="preserve"> and 2</w:t>
      </w:r>
      <w:r w:rsidR="00FB3BE4">
        <w:t>6</w:t>
      </w:r>
      <w:r w:rsidRPr="00537A7A">
        <w:t xml:space="preserve">0 </w:t>
      </w:r>
      <w:r w:rsidR="0093569A">
        <w:t>µ</w:t>
      </w:r>
      <w:r w:rsidRPr="00537A7A">
        <w:t>g/L (daily max.) were not able to be met following optimization of the treatment system</w:t>
      </w:r>
      <w:r w:rsidR="00460808">
        <w:t xml:space="preserve"> (which will include the evaluation of both sodium hypochlorite and hydrogen peroxide cyanide destruction processes)</w:t>
      </w:r>
      <w:r w:rsidRPr="00537A7A">
        <w:t xml:space="preserve">.  At a minimum, this demonstration </w:t>
      </w:r>
      <w:r w:rsidR="00242EC5">
        <w:t>must</w:t>
      </w:r>
      <w:r w:rsidRPr="00537A7A">
        <w:t xml:space="preserve"> consist of</w:t>
      </w:r>
      <w:r w:rsidR="00AB2FD8">
        <w:t xml:space="preserve"> a report submitted to the Department</w:t>
      </w:r>
      <w:r w:rsidR="00C6024E">
        <w:t xml:space="preserve"> within 18 months following the date of initial discharge under this permit.</w:t>
      </w:r>
      <w:r w:rsidR="00AB2FD8">
        <w:t xml:space="preserve"> </w:t>
      </w:r>
      <w:r w:rsidR="00242EC5">
        <w:t xml:space="preserve">This report must </w:t>
      </w:r>
      <w:r w:rsidR="00AB2FD8">
        <w:t>contain</w:t>
      </w:r>
      <w:r w:rsidRPr="00537A7A">
        <w:t xml:space="preserve"> the following elements: </w:t>
      </w:r>
    </w:p>
    <w:p w:rsidR="005152FE" w:rsidRPr="00537A7A" w:rsidRDefault="00242EC5" w:rsidP="002E581A">
      <w:pPr>
        <w:pStyle w:val="ListParagraph"/>
        <w:numPr>
          <w:ilvl w:val="0"/>
          <w:numId w:val="8"/>
        </w:numPr>
        <w:spacing w:before="60"/>
        <w:ind w:left="1080"/>
        <w:contextualSpacing w:val="0"/>
      </w:pPr>
      <w:r>
        <w:t>A description of</w:t>
      </w:r>
      <w:r w:rsidR="005152FE" w:rsidRPr="00537A7A">
        <w:t xml:space="preserve"> all elements undertaken by the permittee to ensure operational optimization of the treatment system.</w:t>
      </w:r>
    </w:p>
    <w:p w:rsidR="005152FE" w:rsidRPr="00537A7A" w:rsidRDefault="00242EC5" w:rsidP="00B8581C">
      <w:pPr>
        <w:pStyle w:val="ListParagraph"/>
        <w:numPr>
          <w:ilvl w:val="0"/>
          <w:numId w:val="8"/>
        </w:numPr>
        <w:ind w:left="1080"/>
        <w:contextualSpacing w:val="0"/>
      </w:pPr>
      <w:r>
        <w:t xml:space="preserve">A description of </w:t>
      </w:r>
      <w:r w:rsidR="005152FE" w:rsidRPr="00537A7A">
        <w:t xml:space="preserve">treatment system design modifications implemented and/or </w:t>
      </w:r>
      <w:r w:rsidR="0080675D">
        <w:t>evaluated</w:t>
      </w:r>
      <w:r w:rsidR="005152FE" w:rsidRPr="00537A7A">
        <w:t xml:space="preserve"> to minimize total cyanide concentrations in the effluent.</w:t>
      </w:r>
    </w:p>
    <w:p w:rsidR="005152FE" w:rsidRDefault="00242EC5" w:rsidP="00B8581C">
      <w:pPr>
        <w:pStyle w:val="ListParagraph"/>
        <w:numPr>
          <w:ilvl w:val="0"/>
          <w:numId w:val="8"/>
        </w:numPr>
        <w:ind w:left="1080"/>
        <w:contextualSpacing w:val="0"/>
      </w:pPr>
      <w:r>
        <w:t>M</w:t>
      </w:r>
      <w:r w:rsidR="005152FE" w:rsidRPr="00537A7A">
        <w:t>onitoring data demonstrating that effluent quality, following system design and operational optimization, necessitates utilization of a mixing zone.</w:t>
      </w:r>
    </w:p>
    <w:p w:rsidR="005152FE" w:rsidRPr="005152FE" w:rsidRDefault="005152FE" w:rsidP="005152FE"/>
    <w:p w:rsidR="005B371D" w:rsidRPr="005152FE" w:rsidRDefault="00986D50" w:rsidP="00957295">
      <w:pPr>
        <w:numPr>
          <w:ilvl w:val="0"/>
          <w:numId w:val="7"/>
        </w:numPr>
        <w:tabs>
          <w:tab w:val="left" w:pos="-720"/>
        </w:tabs>
        <w:suppressAutoHyphens/>
        <w:spacing w:after="120"/>
        <w:rPr>
          <w:b/>
        </w:rPr>
      </w:pPr>
      <w:r w:rsidRPr="005152FE">
        <w:rPr>
          <w:b/>
        </w:rPr>
        <w:t>Regulatory Mixing Zone</w:t>
      </w:r>
      <w:bookmarkEnd w:id="9"/>
      <w:bookmarkEnd w:id="10"/>
    </w:p>
    <w:p w:rsidR="005152FE" w:rsidRDefault="00384F5B" w:rsidP="005152FE">
      <w:pPr>
        <w:ind w:left="468"/>
      </w:pPr>
      <w:r w:rsidRPr="005E3FBE">
        <w:t xml:space="preserve">No wastes may be discharged or activities conducted that cause or contribute to a violation of water quality standards in </w:t>
      </w:r>
      <w:smartTag w:uri="urn:schemas-microsoft-com:office:smarttags" w:element="stockticker">
        <w:r w:rsidRPr="005E3FBE">
          <w:t>OAR</w:t>
        </w:r>
      </w:smartTag>
      <w:r w:rsidRPr="005E3FBE">
        <w:t xml:space="preserve"> </w:t>
      </w:r>
      <w:r w:rsidR="00FC7E87">
        <w:t>Chapter</w:t>
      </w:r>
      <w:r w:rsidR="00AE5C70">
        <w:t xml:space="preserve"> </w:t>
      </w:r>
      <w:r w:rsidRPr="005E3FBE">
        <w:t>340</w:t>
      </w:r>
      <w:r w:rsidR="007A0E3D">
        <w:t>,</w:t>
      </w:r>
      <w:r w:rsidR="00CE5F50">
        <w:t xml:space="preserve"> </w:t>
      </w:r>
      <w:r w:rsidR="00FC7E87">
        <w:t>Division</w:t>
      </w:r>
      <w:r w:rsidR="00AE5C70">
        <w:t xml:space="preserve"> </w:t>
      </w:r>
      <w:r w:rsidRPr="005E3FBE">
        <w:t xml:space="preserve">41 applicable to </w:t>
      </w:r>
      <w:r w:rsidRPr="005152FE">
        <w:t xml:space="preserve">the </w:t>
      </w:r>
      <w:r w:rsidR="005152FE" w:rsidRPr="005152FE">
        <w:t>Willamette</w:t>
      </w:r>
      <w:r w:rsidR="000848D6" w:rsidRPr="005152FE">
        <w:t xml:space="preserve"> </w:t>
      </w:r>
      <w:r w:rsidRPr="005152FE">
        <w:t>Basin</w:t>
      </w:r>
      <w:r>
        <w:t xml:space="preserve"> </w:t>
      </w:r>
      <w:r w:rsidRPr="005E3FBE">
        <w:t xml:space="preserve">except </w:t>
      </w:r>
      <w:r w:rsidR="00B929B8">
        <w:t xml:space="preserve">within </w:t>
      </w:r>
      <w:r w:rsidRPr="00591FFD">
        <w:t>the following regulatory</w:t>
      </w:r>
      <w:r w:rsidR="005A32D5">
        <w:t xml:space="preserve"> mixing zone</w:t>
      </w:r>
      <w:r w:rsidR="005152FE">
        <w:t>:</w:t>
      </w:r>
    </w:p>
    <w:p w:rsidR="002C5DEA" w:rsidRDefault="002C5DEA" w:rsidP="00246209">
      <w:pPr>
        <w:ind w:left="432"/>
      </w:pPr>
    </w:p>
    <w:p w:rsidR="00C45D76" w:rsidRPr="007A79FD" w:rsidRDefault="00C45D76" w:rsidP="00C45D76">
      <w:pPr>
        <w:rPr>
          <w:color w:val="FF0000"/>
        </w:rPr>
      </w:pPr>
      <w:bookmarkStart w:id="12" w:name="bmOutfall2doc"/>
      <w:bookmarkEnd w:id="12"/>
    </w:p>
    <w:p w:rsidR="00B73BEF" w:rsidRPr="00B73BEF" w:rsidRDefault="00B73BEF" w:rsidP="00B73BEF">
      <w:pPr>
        <w:ind w:left="720"/>
        <w:rPr>
          <w:spacing w:val="-3"/>
        </w:rPr>
      </w:pPr>
      <w:r w:rsidRPr="00B73BEF">
        <w:rPr>
          <w:spacing w:val="-3"/>
        </w:rPr>
        <w:t>The mixing zone for total cyanide is defined as that portion of the Willamette River 18-feet wide and 6-feet long, centered on the outfall’s diffuser.  If, under the process outlined in note 2 of Condition 1 above, the Department disapproves the continued utilization of the mixing zone, the mixing zone will be eliminated 180 days following the Department’s disapproval.</w:t>
      </w:r>
    </w:p>
    <w:p w:rsidR="00B73BEF" w:rsidRDefault="00B73BEF" w:rsidP="00B73BEF">
      <w:pPr>
        <w:ind w:left="720"/>
        <w:rPr>
          <w:spacing w:val="-3"/>
        </w:rPr>
      </w:pPr>
    </w:p>
    <w:p w:rsidR="00B73BEF" w:rsidRDefault="00B73BEF" w:rsidP="00B73BEF">
      <w:pPr>
        <w:ind w:left="720"/>
        <w:rPr>
          <w:spacing w:val="-3"/>
        </w:rPr>
      </w:pPr>
      <w:r>
        <w:rPr>
          <w:spacing w:val="-3"/>
        </w:rPr>
        <w:t>A zone of immediate dilution (ZID) is not defined for this discharge.</w:t>
      </w:r>
    </w:p>
    <w:p w:rsidR="00933D79" w:rsidRDefault="00933D79" w:rsidP="00C45D76">
      <w:pPr>
        <w:sectPr w:rsidR="00933D79" w:rsidSect="000B5E49">
          <w:endnotePr>
            <w:numFmt w:val="decimal"/>
          </w:endnotePr>
          <w:pgSz w:w="12240" w:h="15840"/>
          <w:pgMar w:top="1440" w:right="1080" w:bottom="1440" w:left="1080" w:header="450" w:footer="432" w:gutter="0"/>
          <w:cols w:space="720"/>
          <w:docGrid w:linePitch="360"/>
        </w:sectPr>
      </w:pPr>
    </w:p>
    <w:p w:rsidR="005C5751" w:rsidRPr="00CA3617" w:rsidRDefault="007A36E2" w:rsidP="00593CBD">
      <w:pPr>
        <w:pStyle w:val="Heading1"/>
        <w:rPr>
          <w:i/>
          <w:color w:val="auto"/>
          <w:highlight w:val="yellow"/>
        </w:rPr>
      </w:pPr>
      <w:bookmarkStart w:id="13" w:name="_Toc334185222"/>
      <w:r w:rsidRPr="00CA3617">
        <w:rPr>
          <w:color w:val="auto"/>
        </w:rPr>
        <w:lastRenderedPageBreak/>
        <w:t>S</w:t>
      </w:r>
      <w:r w:rsidR="005D0CDF" w:rsidRPr="00CA3617">
        <w:rPr>
          <w:color w:val="auto"/>
        </w:rPr>
        <w:t>CHEDULE</w:t>
      </w:r>
      <w:r w:rsidRPr="00CA3617">
        <w:rPr>
          <w:color w:val="auto"/>
        </w:rPr>
        <w:t xml:space="preserve"> B</w:t>
      </w:r>
      <w:r w:rsidR="008B631B" w:rsidRPr="00CA3617">
        <w:rPr>
          <w:color w:val="auto"/>
        </w:rPr>
        <w:br/>
      </w:r>
      <w:r w:rsidR="00933D79" w:rsidRPr="00CA3617">
        <w:rPr>
          <w:color w:val="auto"/>
        </w:rPr>
        <w:t>Minimum Monitoring and Reporting Requirements</w:t>
      </w:r>
      <w:bookmarkEnd w:id="13"/>
      <w:r w:rsidR="000E721E" w:rsidRPr="00CA3617">
        <w:rPr>
          <w:i/>
          <w:color w:val="auto"/>
          <w:highlight w:val="yellow"/>
        </w:rPr>
        <w:t xml:space="preserve"> </w:t>
      </w:r>
    </w:p>
    <w:p w:rsidR="00BC487C" w:rsidRPr="00CA3617" w:rsidRDefault="00BC487C" w:rsidP="00BC487C">
      <w:pPr>
        <w:jc w:val="center"/>
      </w:pPr>
    </w:p>
    <w:p w:rsidR="00BC487C" w:rsidRPr="00CA3617" w:rsidRDefault="00BC487C" w:rsidP="00957295">
      <w:pPr>
        <w:pStyle w:val="Heading2"/>
        <w:keepNext w:val="0"/>
        <w:keepLines w:val="0"/>
        <w:numPr>
          <w:ilvl w:val="1"/>
          <w:numId w:val="2"/>
        </w:numPr>
        <w:suppressAutoHyphens/>
        <w:spacing w:after="120"/>
        <w:rPr>
          <w:color w:val="auto"/>
        </w:rPr>
      </w:pPr>
      <w:bookmarkStart w:id="14" w:name="_Toc334185234"/>
      <w:r w:rsidRPr="00CA3617">
        <w:rPr>
          <w:color w:val="auto"/>
        </w:rPr>
        <w:t>Monitoring and Reporting Protocols</w:t>
      </w:r>
      <w:bookmarkEnd w:id="14"/>
    </w:p>
    <w:p w:rsidR="00BC487C" w:rsidRPr="00CA3617" w:rsidRDefault="00BC487C" w:rsidP="00B8581C">
      <w:pPr>
        <w:pStyle w:val="Heading3"/>
        <w:numPr>
          <w:ilvl w:val="2"/>
          <w:numId w:val="2"/>
        </w:numPr>
        <w:rPr>
          <w:color w:val="auto"/>
        </w:rPr>
      </w:pPr>
      <w:bookmarkStart w:id="15" w:name="_Toc325148464"/>
      <w:r w:rsidRPr="00CA3617">
        <w:rPr>
          <w:color w:val="auto"/>
        </w:rPr>
        <w:t>Sampling, Test Methods, and Laboratory Quality Assurance and Quality Control (QA/QC)</w:t>
      </w:r>
    </w:p>
    <w:p w:rsidR="00BC487C" w:rsidRPr="00C476C6" w:rsidRDefault="00B346C8" w:rsidP="00BC487C">
      <w:pPr>
        <w:suppressAutoHyphens/>
        <w:ind w:left="864"/>
        <w:rPr>
          <w:rFonts w:cstheme="minorHAnsi"/>
          <w:color w:val="000000" w:themeColor="text1"/>
          <w:spacing w:val="-3"/>
        </w:rPr>
      </w:pPr>
      <w:r w:rsidRPr="00CA3617">
        <w:rPr>
          <w:spacing w:val="-3"/>
        </w:rPr>
        <w:t xml:space="preserve">For all test methods used, the analyses must meet </w:t>
      </w:r>
      <w:r w:rsidRPr="00C476C6">
        <w:rPr>
          <w:color w:val="000000" w:themeColor="text1"/>
          <w:spacing w:val="-3"/>
        </w:rPr>
        <w:t xml:space="preserve">the quantitation limits specified in this schedule unless otherwise approved by the Department in writing.  </w:t>
      </w:r>
      <w:r w:rsidR="00BC487C" w:rsidRPr="00C476C6">
        <w:rPr>
          <w:rFonts w:cstheme="minorHAnsi"/>
          <w:color w:val="000000" w:themeColor="text1"/>
          <w:spacing w:val="-3"/>
        </w:rPr>
        <w:t xml:space="preserve"> </w:t>
      </w:r>
      <w:r w:rsidR="000B58DD" w:rsidRPr="00C476C6">
        <w:rPr>
          <w:rFonts w:cstheme="minorHAnsi"/>
          <w:color w:val="000000" w:themeColor="text1"/>
          <w:spacing w:val="-3"/>
        </w:rPr>
        <w:t xml:space="preserve">For </w:t>
      </w:r>
      <w:r w:rsidR="00BC487C" w:rsidRPr="00C476C6">
        <w:rPr>
          <w:rFonts w:cstheme="minorHAnsi"/>
          <w:color w:val="000000" w:themeColor="text1"/>
          <w:spacing w:val="-3"/>
        </w:rPr>
        <w:t>further instruction on proper sampling techniques</w:t>
      </w:r>
      <w:r w:rsidR="007D7916" w:rsidRPr="00C476C6">
        <w:rPr>
          <w:rFonts w:cstheme="minorHAnsi"/>
          <w:color w:val="000000" w:themeColor="text1"/>
          <w:spacing w:val="-3"/>
        </w:rPr>
        <w:t>,</w:t>
      </w:r>
      <w:r w:rsidR="00BC487C" w:rsidRPr="00C476C6">
        <w:rPr>
          <w:rFonts w:cstheme="minorHAnsi"/>
          <w:color w:val="000000" w:themeColor="text1"/>
          <w:spacing w:val="-3"/>
        </w:rPr>
        <w:t xml:space="preserve"> test methods and the use of laboratories with QA/QC procedures</w:t>
      </w:r>
      <w:r w:rsidR="000B58DD" w:rsidRPr="00C476C6">
        <w:rPr>
          <w:rFonts w:cstheme="minorHAnsi"/>
          <w:color w:val="000000" w:themeColor="text1"/>
          <w:spacing w:val="-3"/>
        </w:rPr>
        <w:t>, see Schedule F, Sections B.1 and C</w:t>
      </w:r>
      <w:r w:rsidRPr="00C476C6">
        <w:rPr>
          <w:rFonts w:cstheme="minorHAnsi"/>
          <w:color w:val="000000" w:themeColor="text1"/>
          <w:spacing w:val="-3"/>
        </w:rPr>
        <w:t xml:space="preserve"> </w:t>
      </w:r>
    </w:p>
    <w:p w:rsidR="00BC487C" w:rsidRPr="00C476C6" w:rsidRDefault="00BC487C" w:rsidP="00BC487C">
      <w:pPr>
        <w:suppressAutoHyphens/>
        <w:ind w:left="360"/>
        <w:rPr>
          <w:rFonts w:cstheme="minorHAnsi"/>
          <w:color w:val="000000" w:themeColor="text1"/>
          <w:spacing w:val="-3"/>
        </w:rPr>
      </w:pPr>
    </w:p>
    <w:p w:rsidR="00BC487C" w:rsidRPr="00C476C6" w:rsidRDefault="00BC487C" w:rsidP="00B8581C">
      <w:pPr>
        <w:pStyle w:val="Heading3"/>
        <w:numPr>
          <w:ilvl w:val="2"/>
          <w:numId w:val="2"/>
        </w:numPr>
        <w:rPr>
          <w:color w:val="000000" w:themeColor="text1"/>
        </w:rPr>
      </w:pPr>
      <w:r w:rsidRPr="00C476C6">
        <w:rPr>
          <w:color w:val="000000" w:themeColor="text1"/>
        </w:rPr>
        <w:t>Re-analysis and Re-sampling if QA/QC Requirements Not Met</w:t>
      </w:r>
    </w:p>
    <w:p w:rsidR="00BC487C" w:rsidRPr="00C476C6" w:rsidRDefault="00BC487C" w:rsidP="00BC487C">
      <w:pPr>
        <w:suppressAutoHyphens/>
        <w:ind w:left="864"/>
        <w:rPr>
          <w:color w:val="000000" w:themeColor="text1"/>
          <w:spacing w:val="-3"/>
        </w:rPr>
      </w:pPr>
      <w:r w:rsidRPr="00C476C6">
        <w:rPr>
          <w:color w:val="000000" w:themeColor="text1"/>
          <w:spacing w:val="-3"/>
        </w:rPr>
        <w:t>The permittee must re-analyze the sample if QA/QC requirements are not met. If the sample cannot be re-analyzed, the permittee must re-sample and analyze at the earliest opportunity.</w:t>
      </w:r>
    </w:p>
    <w:p w:rsidR="00BC487C" w:rsidRPr="00C476C6" w:rsidRDefault="00BC487C" w:rsidP="00BC487C">
      <w:pPr>
        <w:suppressAutoHyphens/>
        <w:ind w:left="360"/>
        <w:rPr>
          <w:color w:val="000000" w:themeColor="text1"/>
          <w:spacing w:val="-3"/>
        </w:rPr>
      </w:pPr>
    </w:p>
    <w:bookmarkEnd w:id="15"/>
    <w:p w:rsidR="008A59BC" w:rsidRPr="00C476C6" w:rsidRDefault="008A59BC" w:rsidP="00B8581C">
      <w:pPr>
        <w:pStyle w:val="Heading3"/>
        <w:numPr>
          <w:ilvl w:val="2"/>
          <w:numId w:val="2"/>
        </w:numPr>
        <w:rPr>
          <w:color w:val="000000" w:themeColor="text1"/>
        </w:rPr>
      </w:pPr>
      <w:r w:rsidRPr="00C476C6">
        <w:rPr>
          <w:color w:val="000000" w:themeColor="text1"/>
        </w:rPr>
        <w:t>Significant Figures</w:t>
      </w:r>
      <w:r w:rsidR="00A52386" w:rsidRPr="00C476C6">
        <w:rPr>
          <w:color w:val="000000" w:themeColor="text1"/>
        </w:rPr>
        <w:t xml:space="preserve"> and Rounding Conventions</w:t>
      </w:r>
    </w:p>
    <w:p w:rsidR="00246209" w:rsidRPr="00C476C6" w:rsidRDefault="00986D50" w:rsidP="00C876E2">
      <w:pPr>
        <w:suppressAutoHyphens/>
        <w:ind w:left="900"/>
        <w:rPr>
          <w:color w:val="000000" w:themeColor="text1"/>
          <w:spacing w:val="-3"/>
        </w:rPr>
      </w:pPr>
      <w:r w:rsidRPr="00C476C6">
        <w:rPr>
          <w:color w:val="000000" w:themeColor="text1"/>
          <w:spacing w:val="-3"/>
        </w:rPr>
        <w:t>The permittee must report the same number of significant digits as the permit limit for a given parameter.  Regardless of the rounding conventions used by the permittee (i.e., rounding 5 up for the calculated results or, in the case of laboratory results, rounding 5 to the nearest even number), the permittee must use the convention consistently,</w:t>
      </w:r>
      <w:r w:rsidR="006554C2" w:rsidRPr="00C476C6">
        <w:rPr>
          <w:color w:val="000000" w:themeColor="text1"/>
          <w:spacing w:val="-3"/>
        </w:rPr>
        <w:t xml:space="preserve"> and must ensure that</w:t>
      </w:r>
      <w:r w:rsidRPr="00C476C6">
        <w:rPr>
          <w:color w:val="000000" w:themeColor="text1"/>
          <w:spacing w:val="-3"/>
        </w:rPr>
        <w:t xml:space="preserve"> laboratories employed by the permittee use the same convention.  </w:t>
      </w:r>
    </w:p>
    <w:p w:rsidR="00246209" w:rsidRPr="00C476C6" w:rsidRDefault="00246209">
      <w:pPr>
        <w:rPr>
          <w:color w:val="000000" w:themeColor="text1"/>
        </w:rPr>
      </w:pPr>
    </w:p>
    <w:p w:rsidR="00BC487C" w:rsidRPr="00C476C6" w:rsidRDefault="00BC487C" w:rsidP="00B8581C">
      <w:pPr>
        <w:pStyle w:val="Heading3"/>
        <w:numPr>
          <w:ilvl w:val="2"/>
          <w:numId w:val="2"/>
        </w:numPr>
        <w:rPr>
          <w:color w:val="000000" w:themeColor="text1"/>
        </w:rPr>
      </w:pPr>
      <w:r w:rsidRPr="00C476C6">
        <w:rPr>
          <w:color w:val="000000" w:themeColor="text1"/>
        </w:rPr>
        <w:t>Reporting of Detection Levels and Quantitation Limits</w:t>
      </w:r>
    </w:p>
    <w:p w:rsidR="00BC487C" w:rsidRPr="00617145" w:rsidRDefault="00433978" w:rsidP="00BC487C">
      <w:pPr>
        <w:ind w:left="864"/>
        <w:rPr>
          <w:color w:val="FF0000"/>
        </w:rPr>
      </w:pPr>
      <w:r w:rsidRPr="00C476C6">
        <w:rPr>
          <w:color w:val="000000" w:themeColor="text1"/>
        </w:rPr>
        <w:t>When reporting sampling results, the permittee must record the laboratory detection level and quantitation limit as defined below for each analyte except</w:t>
      </w:r>
      <w:r w:rsidR="005152FE" w:rsidRPr="00C476C6">
        <w:rPr>
          <w:color w:val="000000" w:themeColor="text1"/>
        </w:rPr>
        <w:t xml:space="preserve"> volume discharged, temperature and hardness.</w:t>
      </w:r>
      <w:r w:rsidR="00617145">
        <w:rPr>
          <w:color w:val="000000" w:themeColor="text1"/>
        </w:rPr>
        <w:t xml:space="preserve">  </w:t>
      </w:r>
    </w:p>
    <w:p w:rsidR="00BC487C" w:rsidRPr="00C476C6" w:rsidRDefault="00BC487C" w:rsidP="00B8581C">
      <w:pPr>
        <w:pStyle w:val="ListParagraph"/>
        <w:numPr>
          <w:ilvl w:val="3"/>
          <w:numId w:val="3"/>
        </w:numPr>
        <w:rPr>
          <w:color w:val="000000" w:themeColor="text1"/>
        </w:rPr>
      </w:pPr>
      <w:r w:rsidRPr="00C476C6">
        <w:rPr>
          <w:color w:val="000000" w:themeColor="text1"/>
        </w:rPr>
        <w:t xml:space="preserve">Detection Level (DL): The Method Detection Limit (MDL) or Limit of Detection (LOD) and derived using 40 </w:t>
      </w:r>
      <w:smartTag w:uri="urn:schemas-microsoft-com:office:smarttags" w:element="stockticker">
        <w:r w:rsidRPr="00C476C6">
          <w:rPr>
            <w:color w:val="000000" w:themeColor="text1"/>
          </w:rPr>
          <w:t>CFR</w:t>
        </w:r>
      </w:smartTag>
      <w:r w:rsidRPr="00C476C6">
        <w:rPr>
          <w:color w:val="000000" w:themeColor="text1"/>
        </w:rPr>
        <w:t xml:space="preserve"> §136 Appendix B; and</w:t>
      </w:r>
    </w:p>
    <w:p w:rsidR="00BC487C" w:rsidRPr="00C476C6" w:rsidRDefault="00BC487C" w:rsidP="00B8581C">
      <w:pPr>
        <w:pStyle w:val="ListParagraph"/>
        <w:numPr>
          <w:ilvl w:val="3"/>
          <w:numId w:val="3"/>
        </w:numPr>
        <w:rPr>
          <w:color w:val="000000" w:themeColor="text1"/>
        </w:rPr>
      </w:pPr>
      <w:r w:rsidRPr="00C476C6">
        <w:rPr>
          <w:color w:val="000000" w:themeColor="text1"/>
        </w:rPr>
        <w:t>Quantitation Limit (QL): The Method Reporting Limit (MRL) or Limit of Quantitation (LOQ). It is the lowest level at which the entire analytical system give</w:t>
      </w:r>
      <w:r w:rsidR="00503409" w:rsidRPr="00C476C6">
        <w:rPr>
          <w:color w:val="000000" w:themeColor="text1"/>
        </w:rPr>
        <w:t>s</w:t>
      </w:r>
      <w:r w:rsidRPr="00C476C6">
        <w:rPr>
          <w:color w:val="000000" w:themeColor="text1"/>
        </w:rPr>
        <w:t xml:space="preserve"> a recognizable signal and acceptable calibration for the analyte. It is equivalent to the concentration of the lowest calibration standard assuming that all method-specified sample weights, volumes, and cleanup procedures have been employed.</w:t>
      </w:r>
    </w:p>
    <w:p w:rsidR="00BC487C" w:rsidRPr="00C476C6" w:rsidRDefault="00BC487C" w:rsidP="00BC487C">
      <w:pPr>
        <w:ind w:left="720"/>
        <w:rPr>
          <w:color w:val="000000" w:themeColor="text1"/>
        </w:rPr>
      </w:pPr>
    </w:p>
    <w:p w:rsidR="00DA5CFD" w:rsidRPr="00C476C6" w:rsidRDefault="00BC487C" w:rsidP="00B8581C">
      <w:pPr>
        <w:pStyle w:val="Heading3"/>
        <w:numPr>
          <w:ilvl w:val="2"/>
          <w:numId w:val="2"/>
        </w:numPr>
        <w:rPr>
          <w:color w:val="000000" w:themeColor="text1"/>
        </w:rPr>
      </w:pPr>
      <w:r w:rsidRPr="00C476C6">
        <w:rPr>
          <w:color w:val="000000" w:themeColor="text1"/>
        </w:rPr>
        <w:t>Reporting Sample Results</w:t>
      </w:r>
    </w:p>
    <w:p w:rsidR="00BC487C" w:rsidRPr="00C476C6" w:rsidRDefault="00BC487C" w:rsidP="00DA5CFD">
      <w:pPr>
        <w:ind w:left="864"/>
        <w:rPr>
          <w:color w:val="000000" w:themeColor="text1"/>
        </w:rPr>
      </w:pPr>
      <w:r w:rsidRPr="00C476C6">
        <w:rPr>
          <w:color w:val="000000" w:themeColor="text1"/>
        </w:rPr>
        <w:t xml:space="preserve">The permittee must follow the procedures listed below when reporting sampling results. </w:t>
      </w:r>
    </w:p>
    <w:p w:rsidR="00BC487C" w:rsidRPr="00C476C6" w:rsidRDefault="00BC487C" w:rsidP="00B8581C">
      <w:pPr>
        <w:pStyle w:val="ListParagraph"/>
        <w:numPr>
          <w:ilvl w:val="3"/>
          <w:numId w:val="4"/>
        </w:numPr>
        <w:rPr>
          <w:color w:val="000000" w:themeColor="text1"/>
        </w:rPr>
      </w:pPr>
      <w:r w:rsidRPr="00C476C6">
        <w:rPr>
          <w:color w:val="000000" w:themeColor="text1"/>
        </w:rPr>
        <w:t xml:space="preserve">If a sample </w:t>
      </w:r>
      <w:r w:rsidRPr="00FE4E98">
        <w:rPr>
          <w:color w:val="000000" w:themeColor="text1"/>
        </w:rPr>
        <w:t>result is at or below</w:t>
      </w:r>
      <w:r w:rsidRPr="00C476C6">
        <w:rPr>
          <w:color w:val="000000" w:themeColor="text1"/>
        </w:rPr>
        <w:t xml:space="preserve"> the DL, report the result as less than the specified DL. For example, if the DL is 1.0 </w:t>
      </w:r>
      <w:r w:rsidR="00BF41A1" w:rsidRPr="00C476C6">
        <w:rPr>
          <w:color w:val="000000" w:themeColor="text1"/>
        </w:rPr>
        <w:t>µ</w:t>
      </w:r>
      <w:r w:rsidRPr="00C476C6">
        <w:rPr>
          <w:color w:val="000000" w:themeColor="text1"/>
        </w:rPr>
        <w:t xml:space="preserve">g/L and the result is non-detect, report “&lt;1.0 </w:t>
      </w:r>
      <w:r w:rsidR="00BF41A1" w:rsidRPr="00C476C6">
        <w:rPr>
          <w:color w:val="000000" w:themeColor="text1"/>
        </w:rPr>
        <w:t>µ</w:t>
      </w:r>
      <w:r w:rsidRPr="00C476C6">
        <w:rPr>
          <w:color w:val="000000" w:themeColor="text1"/>
        </w:rPr>
        <w:t>g/L” on the discharge monitoring report (DMR).</w:t>
      </w:r>
    </w:p>
    <w:p w:rsidR="00796E03" w:rsidRPr="00FE4E98" w:rsidRDefault="00AB64BB" w:rsidP="00B8581C">
      <w:pPr>
        <w:pStyle w:val="ListParagraph"/>
        <w:numPr>
          <w:ilvl w:val="3"/>
          <w:numId w:val="4"/>
        </w:numPr>
        <w:rPr>
          <w:color w:val="000000" w:themeColor="text1"/>
        </w:rPr>
      </w:pPr>
      <w:r>
        <w:rPr>
          <w:color w:val="000000" w:themeColor="text1"/>
        </w:rPr>
        <w:t xml:space="preserve">For Compliance Monitoring (Table B.1), if a sample result is </w:t>
      </w:r>
      <w:r w:rsidR="00796E03">
        <w:rPr>
          <w:color w:val="000000" w:themeColor="text1"/>
        </w:rPr>
        <w:t xml:space="preserve">below the QL, report the result as less than the specified QL.  </w:t>
      </w:r>
    </w:p>
    <w:p w:rsidR="00BC487C" w:rsidRPr="00C476C6" w:rsidRDefault="00796E03" w:rsidP="00B8581C">
      <w:pPr>
        <w:pStyle w:val="ListParagraph"/>
        <w:numPr>
          <w:ilvl w:val="3"/>
          <w:numId w:val="4"/>
        </w:numPr>
        <w:rPr>
          <w:color w:val="000000" w:themeColor="text1"/>
        </w:rPr>
      </w:pPr>
      <w:r w:rsidRPr="00FE4E98">
        <w:rPr>
          <w:color w:val="000000" w:themeColor="text1"/>
        </w:rPr>
        <w:t>For Characterization Monitoring (Table B.2), if</w:t>
      </w:r>
      <w:r w:rsidR="00BC487C" w:rsidRPr="00FE4E98">
        <w:rPr>
          <w:color w:val="000000" w:themeColor="text1"/>
        </w:rPr>
        <w:t xml:space="preserve"> </w:t>
      </w:r>
      <w:proofErr w:type="gramStart"/>
      <w:r w:rsidR="00BC487C" w:rsidRPr="00FE4E98">
        <w:rPr>
          <w:color w:val="000000" w:themeColor="text1"/>
        </w:rPr>
        <w:t>a sample result</w:t>
      </w:r>
      <w:proofErr w:type="gramEnd"/>
      <w:r w:rsidR="00BC487C" w:rsidRPr="00FE4E98">
        <w:rPr>
          <w:color w:val="000000" w:themeColor="text1"/>
        </w:rPr>
        <w:t xml:space="preserve"> is </w:t>
      </w:r>
      <w:r w:rsidRPr="00FE4E98">
        <w:rPr>
          <w:color w:val="000000" w:themeColor="text1"/>
        </w:rPr>
        <w:t xml:space="preserve">at or </w:t>
      </w:r>
      <w:r w:rsidR="00BC487C" w:rsidRPr="00FE4E98">
        <w:rPr>
          <w:color w:val="000000" w:themeColor="text1"/>
        </w:rPr>
        <w:t>above the DL</w:t>
      </w:r>
      <w:r w:rsidR="00BC487C" w:rsidRPr="00C476C6">
        <w:rPr>
          <w:color w:val="000000" w:themeColor="text1"/>
        </w:rPr>
        <w:t xml:space="preserve"> but below the QL, report the result as the DL preceded by DEQ’s data code “e”. For example, if the DL is 1.0 </w:t>
      </w:r>
      <w:r w:rsidR="00BF41A1" w:rsidRPr="00C476C6">
        <w:rPr>
          <w:color w:val="000000" w:themeColor="text1"/>
        </w:rPr>
        <w:t>µ</w:t>
      </w:r>
      <w:r w:rsidR="00BC487C" w:rsidRPr="00C476C6">
        <w:rPr>
          <w:color w:val="000000" w:themeColor="text1"/>
        </w:rPr>
        <w:t xml:space="preserve">g/l, the QL is </w:t>
      </w:r>
      <w:proofErr w:type="gramStart"/>
      <w:r w:rsidR="00BC487C" w:rsidRPr="00C476C6">
        <w:rPr>
          <w:color w:val="000000" w:themeColor="text1"/>
        </w:rPr>
        <w:t xml:space="preserve">3.0 </w:t>
      </w:r>
      <w:r w:rsidR="00BF41A1" w:rsidRPr="00C476C6">
        <w:rPr>
          <w:color w:val="000000" w:themeColor="text1"/>
        </w:rPr>
        <w:t>µ</w:t>
      </w:r>
      <w:r w:rsidR="00BC487C" w:rsidRPr="00C476C6">
        <w:rPr>
          <w:color w:val="000000" w:themeColor="text1"/>
        </w:rPr>
        <w:t>g/L,</w:t>
      </w:r>
      <w:proofErr w:type="gramEnd"/>
      <w:r w:rsidR="00BC487C" w:rsidRPr="00C476C6">
        <w:rPr>
          <w:color w:val="000000" w:themeColor="text1"/>
        </w:rPr>
        <w:t xml:space="preserve"> and the result is estimated to be between the DL and QL, report “e1.0 </w:t>
      </w:r>
      <w:r w:rsidR="00BF41A1" w:rsidRPr="00C476C6">
        <w:rPr>
          <w:color w:val="000000" w:themeColor="text1"/>
        </w:rPr>
        <w:t>µ</w:t>
      </w:r>
      <w:r w:rsidR="00BC487C" w:rsidRPr="00C476C6">
        <w:rPr>
          <w:color w:val="000000" w:themeColor="text1"/>
        </w:rPr>
        <w:t>g/L” on the DMR.</w:t>
      </w:r>
    </w:p>
    <w:p w:rsidR="00BC487C" w:rsidRPr="00C476C6" w:rsidRDefault="00BC487C" w:rsidP="00B8581C">
      <w:pPr>
        <w:pStyle w:val="ListParagraph"/>
        <w:numPr>
          <w:ilvl w:val="3"/>
          <w:numId w:val="4"/>
        </w:numPr>
        <w:rPr>
          <w:color w:val="000000" w:themeColor="text1"/>
          <w:spacing w:val="-3"/>
        </w:rPr>
      </w:pPr>
      <w:r w:rsidRPr="00C476C6">
        <w:rPr>
          <w:color w:val="000000" w:themeColor="text1"/>
        </w:rPr>
        <w:t>If a sample result does not meet QA/QC requirements, the result must be included in the DMR along with a notation but must not be used in any calculation required by this permit.</w:t>
      </w:r>
    </w:p>
    <w:p w:rsidR="00246209" w:rsidRPr="00C476C6" w:rsidRDefault="00CC10B9" w:rsidP="002E581A">
      <w:pPr>
        <w:spacing w:before="60"/>
        <w:ind w:left="864"/>
        <w:rPr>
          <w:color w:val="000000" w:themeColor="text1"/>
          <w:spacing w:val="-3"/>
        </w:rPr>
      </w:pPr>
      <w:r>
        <w:rPr>
          <w:color w:val="000000" w:themeColor="text1"/>
          <w:spacing w:val="-3"/>
        </w:rPr>
        <w:t>R</w:t>
      </w:r>
      <w:r w:rsidR="00986D50" w:rsidRPr="00C476C6">
        <w:rPr>
          <w:color w:val="000000" w:themeColor="text1"/>
          <w:spacing w:val="-3"/>
        </w:rPr>
        <w:t>equirements</w:t>
      </w:r>
      <w:r>
        <w:rPr>
          <w:color w:val="000000" w:themeColor="text1"/>
          <w:spacing w:val="-3"/>
        </w:rPr>
        <w:t xml:space="preserve"> </w:t>
      </w:r>
      <w:proofErr w:type="spellStart"/>
      <w:r>
        <w:rPr>
          <w:color w:val="000000" w:themeColor="text1"/>
          <w:spacing w:val="-3"/>
        </w:rPr>
        <w:t>e.i</w:t>
      </w:r>
      <w:proofErr w:type="spellEnd"/>
      <w:r>
        <w:rPr>
          <w:color w:val="000000" w:themeColor="text1"/>
          <w:spacing w:val="-3"/>
        </w:rPr>
        <w:t xml:space="preserve">., </w:t>
      </w:r>
      <w:proofErr w:type="spellStart"/>
      <w:r>
        <w:rPr>
          <w:color w:val="000000" w:themeColor="text1"/>
          <w:spacing w:val="-3"/>
        </w:rPr>
        <w:t>e.ii</w:t>
      </w:r>
      <w:proofErr w:type="spellEnd"/>
      <w:r>
        <w:rPr>
          <w:color w:val="000000" w:themeColor="text1"/>
          <w:spacing w:val="-3"/>
        </w:rPr>
        <w:t>, and e.iii, above,</w:t>
      </w:r>
      <w:r w:rsidR="00986D50" w:rsidRPr="00C476C6">
        <w:rPr>
          <w:color w:val="000000" w:themeColor="text1"/>
          <w:spacing w:val="-3"/>
        </w:rPr>
        <w:t xml:space="preserve"> do not apply to the following parameters: </w:t>
      </w:r>
      <w:r w:rsidR="00FE4E98">
        <w:rPr>
          <w:color w:val="000000" w:themeColor="text1"/>
          <w:spacing w:val="-3"/>
        </w:rPr>
        <w:t xml:space="preserve">pH, </w:t>
      </w:r>
      <w:r w:rsidR="005152FE" w:rsidRPr="00C476C6">
        <w:rPr>
          <w:color w:val="000000" w:themeColor="text1"/>
        </w:rPr>
        <w:t>volume discharged, temperature and hardness.</w:t>
      </w:r>
    </w:p>
    <w:p w:rsidR="00004D2C" w:rsidRDefault="00004D2C">
      <w:pPr>
        <w:rPr>
          <w:color w:val="000000" w:themeColor="text1"/>
          <w:spacing w:val="-3"/>
        </w:rPr>
      </w:pPr>
      <w:r>
        <w:rPr>
          <w:color w:val="000000" w:themeColor="text1"/>
          <w:spacing w:val="-3"/>
        </w:rPr>
        <w:br w:type="page"/>
      </w:r>
    </w:p>
    <w:p w:rsidR="00BA443F" w:rsidRPr="00C476C6" w:rsidRDefault="00DA5CFD" w:rsidP="00957295">
      <w:pPr>
        <w:pStyle w:val="Heading2"/>
        <w:keepNext w:val="0"/>
        <w:keepLines w:val="0"/>
        <w:numPr>
          <w:ilvl w:val="1"/>
          <w:numId w:val="2"/>
        </w:numPr>
        <w:suppressAutoHyphens/>
        <w:spacing w:after="120"/>
        <w:rPr>
          <w:color w:val="000000" w:themeColor="text1"/>
        </w:rPr>
      </w:pPr>
      <w:bookmarkStart w:id="16" w:name="_Toc334185236"/>
      <w:r w:rsidRPr="00C476C6">
        <w:rPr>
          <w:color w:val="000000" w:themeColor="text1"/>
        </w:rPr>
        <w:lastRenderedPageBreak/>
        <w:t xml:space="preserve">Effluent </w:t>
      </w:r>
      <w:r w:rsidR="008B4725" w:rsidRPr="00C476C6">
        <w:rPr>
          <w:color w:val="000000" w:themeColor="text1"/>
        </w:rPr>
        <w:t xml:space="preserve">Compliance </w:t>
      </w:r>
      <w:r w:rsidRPr="00C476C6">
        <w:rPr>
          <w:color w:val="000000" w:themeColor="text1"/>
        </w:rPr>
        <w:t>Monitoring</w:t>
      </w:r>
      <w:bookmarkEnd w:id="16"/>
      <w:r w:rsidR="00F93EF3">
        <w:rPr>
          <w:color w:val="000000" w:themeColor="text1"/>
        </w:rPr>
        <w:t xml:space="preserve"> Requirements</w:t>
      </w:r>
    </w:p>
    <w:p w:rsidR="00DA5CFD" w:rsidRPr="00C476C6" w:rsidRDefault="00DA5CFD" w:rsidP="000E721E">
      <w:pPr>
        <w:keepNext/>
        <w:suppressAutoHyphens/>
        <w:ind w:left="432"/>
        <w:rPr>
          <w:color w:val="000000" w:themeColor="text1"/>
        </w:rPr>
      </w:pPr>
      <w:r w:rsidRPr="00C476C6">
        <w:rPr>
          <w:color w:val="000000" w:themeColor="text1"/>
        </w:rPr>
        <w:t xml:space="preserve">The permittee must monitor effluent for </w:t>
      </w:r>
      <w:r w:rsidRPr="00DE5C9C">
        <w:rPr>
          <w:color w:val="000000" w:themeColor="text1"/>
        </w:rPr>
        <w:t>Outfall 001 at</w:t>
      </w:r>
      <w:r w:rsidRPr="00C476C6">
        <w:rPr>
          <w:color w:val="000000" w:themeColor="text1"/>
        </w:rPr>
        <w:t xml:space="preserve"> </w:t>
      </w:r>
      <w:r w:rsidR="00DE5C9C">
        <w:rPr>
          <w:color w:val="000000" w:themeColor="text1"/>
        </w:rPr>
        <w:t xml:space="preserve">a location after the treatment system and prior to the outfall </w:t>
      </w:r>
      <w:r w:rsidRPr="00C476C6">
        <w:rPr>
          <w:color w:val="000000" w:themeColor="text1"/>
        </w:rPr>
        <w:t>and in acc</w:t>
      </w:r>
      <w:r w:rsidR="00C476C6">
        <w:rPr>
          <w:color w:val="000000" w:themeColor="text1"/>
        </w:rPr>
        <w:t>ordance w</w:t>
      </w:r>
      <w:r w:rsidR="002E581A">
        <w:rPr>
          <w:color w:val="000000" w:themeColor="text1"/>
        </w:rPr>
        <w:t>ith the table below.</w:t>
      </w:r>
    </w:p>
    <w:p w:rsidR="00C476C6" w:rsidRDefault="00C476C6">
      <w:pPr>
        <w:rPr>
          <w:color w:val="000000" w:themeColor="text1"/>
        </w:rPr>
      </w:pPr>
    </w:p>
    <w:p w:rsidR="00DA5CFD" w:rsidRPr="00C476C6" w:rsidRDefault="00DA5CFD" w:rsidP="00337397">
      <w:pPr>
        <w:rPr>
          <w:color w:val="000000" w:themeColor="text1"/>
        </w:rPr>
      </w:pPr>
    </w:p>
    <w:tbl>
      <w:tblPr>
        <w:tblW w:w="10479" w:type="dxa"/>
        <w:jc w:val="center"/>
        <w:tblInd w:w="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180"/>
        <w:gridCol w:w="990"/>
        <w:gridCol w:w="709"/>
        <w:gridCol w:w="2531"/>
        <w:gridCol w:w="1789"/>
        <w:gridCol w:w="2280"/>
      </w:tblGrid>
      <w:tr w:rsidR="00D22033" w:rsidRPr="00CE43D3" w:rsidTr="005E2B55">
        <w:trPr>
          <w:trHeight w:hRule="exact" w:val="390"/>
          <w:jc w:val="center"/>
        </w:trPr>
        <w:tc>
          <w:tcPr>
            <w:tcW w:w="10479" w:type="dxa"/>
            <w:gridSpan w:val="6"/>
            <w:shd w:val="clear" w:color="auto" w:fill="D9D9D9" w:themeFill="background1" w:themeFillShade="D9"/>
            <w:vAlign w:val="center"/>
          </w:tcPr>
          <w:p w:rsidR="00D22033" w:rsidRPr="00CE43D3" w:rsidRDefault="00C476C6" w:rsidP="00940F47">
            <w:pPr>
              <w:jc w:val="center"/>
              <w:rPr>
                <w:rFonts w:ascii="Arial" w:hAnsi="Arial" w:cs="Arial"/>
                <w:b/>
                <w:sz w:val="20"/>
                <w:szCs w:val="20"/>
              </w:rPr>
            </w:pPr>
            <w:r w:rsidRPr="00CE43D3">
              <w:rPr>
                <w:rFonts w:ascii="Arial" w:hAnsi="Arial" w:cs="Arial"/>
                <w:b/>
                <w:sz w:val="20"/>
                <w:szCs w:val="20"/>
              </w:rPr>
              <w:t>Table B</w:t>
            </w:r>
            <w:r w:rsidR="00B70020" w:rsidRPr="00CE43D3">
              <w:rPr>
                <w:rFonts w:ascii="Arial" w:hAnsi="Arial" w:cs="Arial"/>
                <w:b/>
                <w:sz w:val="20"/>
                <w:szCs w:val="20"/>
              </w:rPr>
              <w:fldChar w:fldCharType="begin"/>
            </w:r>
            <w:r w:rsidRPr="00CE43D3">
              <w:rPr>
                <w:rFonts w:ascii="Arial" w:hAnsi="Arial" w:cs="Arial"/>
                <w:b/>
                <w:sz w:val="20"/>
                <w:szCs w:val="20"/>
              </w:rPr>
              <w:instrText xml:space="preserve"> SEQ Table \* ARABIC \n </w:instrText>
            </w:r>
            <w:r w:rsidR="00B70020" w:rsidRPr="00CE43D3">
              <w:rPr>
                <w:rFonts w:ascii="Arial" w:hAnsi="Arial" w:cs="Arial"/>
                <w:b/>
                <w:sz w:val="20"/>
                <w:szCs w:val="20"/>
              </w:rPr>
              <w:fldChar w:fldCharType="separate"/>
            </w:r>
            <w:r w:rsidR="00045ABB">
              <w:rPr>
                <w:rFonts w:ascii="Arial" w:hAnsi="Arial" w:cs="Arial"/>
                <w:b/>
                <w:noProof/>
                <w:sz w:val="20"/>
                <w:szCs w:val="20"/>
              </w:rPr>
              <w:t>1</w:t>
            </w:r>
            <w:r w:rsidR="00B70020" w:rsidRPr="00CE43D3">
              <w:rPr>
                <w:rFonts w:ascii="Arial" w:hAnsi="Arial" w:cs="Arial"/>
                <w:b/>
                <w:sz w:val="20"/>
                <w:szCs w:val="20"/>
              </w:rPr>
              <w:fldChar w:fldCharType="end"/>
            </w:r>
            <w:r w:rsidRPr="00CE43D3">
              <w:rPr>
                <w:rFonts w:ascii="Arial" w:hAnsi="Arial" w:cs="Arial"/>
                <w:b/>
                <w:sz w:val="20"/>
                <w:szCs w:val="20"/>
              </w:rPr>
              <w:t xml:space="preserve">: </w:t>
            </w:r>
            <w:r w:rsidR="00D22033" w:rsidRPr="00CE43D3">
              <w:rPr>
                <w:rFonts w:ascii="Arial" w:hAnsi="Arial" w:cs="Arial"/>
                <w:b/>
                <w:sz w:val="20"/>
                <w:szCs w:val="20"/>
              </w:rPr>
              <w:t xml:space="preserve">Outfall 001 </w:t>
            </w:r>
            <w:r w:rsidR="00940F47" w:rsidRPr="00CE43D3">
              <w:rPr>
                <w:rFonts w:ascii="Arial" w:hAnsi="Arial" w:cs="Arial"/>
                <w:b/>
                <w:sz w:val="20"/>
                <w:szCs w:val="20"/>
              </w:rPr>
              <w:t>Compliance</w:t>
            </w:r>
            <w:r w:rsidRPr="00CE43D3">
              <w:rPr>
                <w:rFonts w:ascii="Arial" w:hAnsi="Arial" w:cs="Arial"/>
                <w:b/>
                <w:sz w:val="20"/>
                <w:szCs w:val="20"/>
              </w:rPr>
              <w:t xml:space="preserve"> </w:t>
            </w:r>
            <w:r w:rsidR="00D22033" w:rsidRPr="00CE43D3">
              <w:rPr>
                <w:rFonts w:ascii="Arial" w:hAnsi="Arial" w:cs="Arial"/>
                <w:b/>
                <w:sz w:val="20"/>
                <w:szCs w:val="20"/>
              </w:rPr>
              <w:t>Monitoring Requirements</w:t>
            </w:r>
          </w:p>
        </w:tc>
      </w:tr>
      <w:tr w:rsidR="00025DEA" w:rsidRPr="00CE43D3" w:rsidTr="0080675D">
        <w:trPr>
          <w:trHeight w:val="323"/>
          <w:jc w:val="center"/>
        </w:trPr>
        <w:tc>
          <w:tcPr>
            <w:tcW w:w="2180" w:type="dxa"/>
            <w:shd w:val="clear" w:color="auto" w:fill="D9D9D9" w:themeFill="background1" w:themeFillShade="D9"/>
            <w:vAlign w:val="center"/>
          </w:tcPr>
          <w:p w:rsidR="00025DEA" w:rsidRPr="00CE43D3" w:rsidRDefault="00025DEA" w:rsidP="00025DEA">
            <w:pPr>
              <w:spacing w:before="80" w:after="80"/>
              <w:jc w:val="center"/>
              <w:rPr>
                <w:rFonts w:ascii="Arial" w:hAnsi="Arial" w:cs="Arial"/>
                <w:b/>
                <w:sz w:val="18"/>
                <w:szCs w:val="18"/>
                <w:u w:val="single"/>
              </w:rPr>
            </w:pPr>
            <w:r w:rsidRPr="00CE43D3">
              <w:rPr>
                <w:rFonts w:ascii="Arial" w:hAnsi="Arial" w:cs="Arial"/>
                <w:b/>
                <w:sz w:val="18"/>
                <w:szCs w:val="18"/>
                <w:u w:val="single"/>
              </w:rPr>
              <w:t>Parameter</w:t>
            </w:r>
          </w:p>
        </w:tc>
        <w:tc>
          <w:tcPr>
            <w:tcW w:w="990" w:type="dxa"/>
            <w:shd w:val="clear" w:color="auto" w:fill="D9D9D9" w:themeFill="background1" w:themeFillShade="D9"/>
            <w:vAlign w:val="center"/>
          </w:tcPr>
          <w:p w:rsidR="00025DEA" w:rsidRPr="00CE43D3" w:rsidRDefault="00025DEA" w:rsidP="00756BE5">
            <w:pPr>
              <w:spacing w:before="80" w:after="80"/>
              <w:jc w:val="center"/>
              <w:rPr>
                <w:rFonts w:ascii="Arial" w:hAnsi="Arial" w:cs="Arial"/>
                <w:b/>
                <w:sz w:val="18"/>
                <w:szCs w:val="18"/>
                <w:u w:val="single"/>
              </w:rPr>
            </w:pPr>
            <w:r w:rsidRPr="00CE43D3">
              <w:rPr>
                <w:rFonts w:ascii="Arial" w:hAnsi="Arial" w:cs="Arial"/>
                <w:b/>
                <w:sz w:val="18"/>
                <w:szCs w:val="18"/>
                <w:u w:val="single"/>
              </w:rPr>
              <w:t>CAS</w:t>
            </w:r>
            <w:r w:rsidR="00756BE5" w:rsidRPr="00CE43D3">
              <w:rPr>
                <w:rFonts w:ascii="Arial" w:hAnsi="Arial" w:cs="Arial"/>
                <w:b/>
                <w:sz w:val="18"/>
                <w:szCs w:val="18"/>
                <w:u w:val="single"/>
                <w:vertAlign w:val="superscript"/>
              </w:rPr>
              <w:t>1</w:t>
            </w:r>
          </w:p>
        </w:tc>
        <w:tc>
          <w:tcPr>
            <w:tcW w:w="709" w:type="dxa"/>
            <w:shd w:val="clear" w:color="auto" w:fill="D9D9D9" w:themeFill="background1" w:themeFillShade="D9"/>
            <w:vAlign w:val="center"/>
          </w:tcPr>
          <w:p w:rsidR="00025DEA" w:rsidRPr="00CE43D3" w:rsidRDefault="00025DEA" w:rsidP="00025DEA">
            <w:pPr>
              <w:spacing w:before="80" w:after="80"/>
              <w:jc w:val="center"/>
              <w:rPr>
                <w:rFonts w:ascii="Arial" w:hAnsi="Arial" w:cs="Arial"/>
                <w:b/>
                <w:sz w:val="18"/>
                <w:szCs w:val="18"/>
                <w:u w:val="single"/>
                <w:vertAlign w:val="superscript"/>
              </w:rPr>
            </w:pPr>
            <w:r w:rsidRPr="00CE43D3">
              <w:rPr>
                <w:rFonts w:ascii="Arial" w:hAnsi="Arial" w:cs="Arial"/>
                <w:b/>
                <w:sz w:val="18"/>
                <w:szCs w:val="18"/>
                <w:u w:val="single"/>
              </w:rPr>
              <w:t>QL</w:t>
            </w:r>
            <w:r w:rsidR="00DE5C9C" w:rsidRPr="00CE43D3">
              <w:rPr>
                <w:rFonts w:ascii="Arial" w:hAnsi="Arial" w:cs="Arial"/>
                <w:b/>
                <w:sz w:val="18"/>
                <w:szCs w:val="18"/>
                <w:u w:val="single"/>
                <w:vertAlign w:val="superscript"/>
              </w:rPr>
              <w:t>2</w:t>
            </w:r>
          </w:p>
        </w:tc>
        <w:tc>
          <w:tcPr>
            <w:tcW w:w="2531" w:type="dxa"/>
            <w:shd w:val="clear" w:color="auto" w:fill="D9D9D9" w:themeFill="background1" w:themeFillShade="D9"/>
            <w:vAlign w:val="center"/>
          </w:tcPr>
          <w:p w:rsidR="00025DEA" w:rsidRPr="00CE43D3" w:rsidRDefault="00025DEA" w:rsidP="00025DEA">
            <w:pPr>
              <w:spacing w:before="80" w:after="80"/>
              <w:jc w:val="center"/>
              <w:rPr>
                <w:rFonts w:ascii="Arial" w:hAnsi="Arial" w:cs="Arial"/>
                <w:b/>
                <w:sz w:val="18"/>
                <w:szCs w:val="18"/>
                <w:u w:val="single"/>
                <w:vertAlign w:val="superscript"/>
              </w:rPr>
            </w:pPr>
            <w:r w:rsidRPr="00CE43D3">
              <w:rPr>
                <w:rFonts w:ascii="Arial" w:hAnsi="Arial" w:cs="Arial"/>
                <w:b/>
                <w:sz w:val="18"/>
                <w:szCs w:val="18"/>
                <w:u w:val="single"/>
              </w:rPr>
              <w:t>Minimum Frequency</w:t>
            </w:r>
            <w:r w:rsidR="00CD5C97" w:rsidRPr="00CE43D3">
              <w:rPr>
                <w:rFonts w:ascii="Arial" w:hAnsi="Arial" w:cs="Arial"/>
                <w:b/>
                <w:sz w:val="18"/>
                <w:szCs w:val="18"/>
                <w:u w:val="single"/>
                <w:vertAlign w:val="superscript"/>
              </w:rPr>
              <w:t>4</w:t>
            </w:r>
          </w:p>
        </w:tc>
        <w:tc>
          <w:tcPr>
            <w:tcW w:w="1789" w:type="dxa"/>
            <w:shd w:val="clear" w:color="auto" w:fill="D9D9D9" w:themeFill="background1" w:themeFillShade="D9"/>
            <w:vAlign w:val="center"/>
          </w:tcPr>
          <w:p w:rsidR="00025DEA" w:rsidRPr="00CE43D3" w:rsidRDefault="00025DEA" w:rsidP="00025DEA">
            <w:pPr>
              <w:spacing w:before="80" w:after="80"/>
              <w:jc w:val="center"/>
              <w:rPr>
                <w:rFonts w:ascii="Arial" w:hAnsi="Arial" w:cs="Arial"/>
                <w:b/>
                <w:sz w:val="18"/>
                <w:szCs w:val="18"/>
                <w:u w:val="single"/>
              </w:rPr>
            </w:pPr>
            <w:r w:rsidRPr="00CE43D3">
              <w:rPr>
                <w:rFonts w:ascii="Arial" w:hAnsi="Arial" w:cs="Arial"/>
                <w:b/>
                <w:sz w:val="18"/>
                <w:szCs w:val="18"/>
                <w:u w:val="single"/>
              </w:rPr>
              <w:t>Sample Type/Action</w:t>
            </w:r>
          </w:p>
        </w:tc>
        <w:tc>
          <w:tcPr>
            <w:tcW w:w="2280" w:type="dxa"/>
            <w:shd w:val="clear" w:color="auto" w:fill="D9D9D9" w:themeFill="background1" w:themeFillShade="D9"/>
            <w:vAlign w:val="center"/>
          </w:tcPr>
          <w:p w:rsidR="00025DEA" w:rsidRPr="00CE43D3" w:rsidRDefault="00025DEA" w:rsidP="00025DEA">
            <w:pPr>
              <w:spacing w:before="80" w:after="80"/>
              <w:jc w:val="center"/>
              <w:rPr>
                <w:rFonts w:ascii="Arial" w:hAnsi="Arial" w:cs="Arial"/>
                <w:b/>
                <w:sz w:val="18"/>
                <w:szCs w:val="18"/>
                <w:u w:val="single"/>
              </w:rPr>
            </w:pPr>
            <w:r w:rsidRPr="00CE43D3">
              <w:rPr>
                <w:rFonts w:ascii="Arial" w:hAnsi="Arial" w:cs="Arial"/>
                <w:b/>
                <w:sz w:val="18"/>
                <w:szCs w:val="18"/>
                <w:u w:val="single"/>
              </w:rPr>
              <w:t>Report</w:t>
            </w:r>
          </w:p>
        </w:tc>
      </w:tr>
      <w:tr w:rsidR="00D87ADC" w:rsidRPr="00CE43D3" w:rsidTr="0080675D">
        <w:trPr>
          <w:trHeight w:val="288"/>
          <w:jc w:val="center"/>
        </w:trPr>
        <w:tc>
          <w:tcPr>
            <w:tcW w:w="2180" w:type="dxa"/>
            <w:vAlign w:val="center"/>
          </w:tcPr>
          <w:p w:rsidR="00D87ADC" w:rsidRPr="00CE43D3" w:rsidRDefault="00CC53F1" w:rsidP="00380B5E">
            <w:pPr>
              <w:jc w:val="center"/>
              <w:rPr>
                <w:rFonts w:ascii="Arial" w:hAnsi="Arial" w:cs="Arial"/>
                <w:sz w:val="18"/>
                <w:szCs w:val="18"/>
              </w:rPr>
            </w:pPr>
            <w:r w:rsidRPr="00CE43D3">
              <w:rPr>
                <w:rFonts w:ascii="Arial" w:hAnsi="Arial" w:cs="Arial"/>
                <w:sz w:val="18"/>
                <w:szCs w:val="18"/>
              </w:rPr>
              <w:t>Benz(a)</w:t>
            </w:r>
            <w:proofErr w:type="spellStart"/>
            <w:r w:rsidRPr="00CE43D3">
              <w:rPr>
                <w:rFonts w:ascii="Arial" w:hAnsi="Arial" w:cs="Arial"/>
                <w:sz w:val="18"/>
                <w:szCs w:val="18"/>
              </w:rPr>
              <w:t>a</w:t>
            </w:r>
            <w:r w:rsidR="00D87ADC" w:rsidRPr="00CE43D3">
              <w:rPr>
                <w:rFonts w:ascii="Arial" w:hAnsi="Arial" w:cs="Arial"/>
                <w:sz w:val="18"/>
                <w:szCs w:val="18"/>
              </w:rPr>
              <w:t>nthracene</w:t>
            </w:r>
            <w:proofErr w:type="spellEnd"/>
          </w:p>
        </w:tc>
        <w:tc>
          <w:tcPr>
            <w:tcW w:w="990" w:type="dxa"/>
            <w:vAlign w:val="center"/>
          </w:tcPr>
          <w:p w:rsidR="00D87ADC" w:rsidRPr="00CE43D3" w:rsidRDefault="00D87ADC" w:rsidP="00380B5E">
            <w:pPr>
              <w:keepNext/>
              <w:keepLines/>
              <w:jc w:val="center"/>
              <w:rPr>
                <w:rFonts w:ascii="Arial" w:hAnsi="Arial" w:cs="Arial"/>
                <w:sz w:val="18"/>
                <w:szCs w:val="18"/>
              </w:rPr>
            </w:pPr>
            <w:r w:rsidRPr="00CE43D3">
              <w:rPr>
                <w:rFonts w:ascii="Arial" w:hAnsi="Arial" w:cs="Arial"/>
                <w:sz w:val="18"/>
                <w:szCs w:val="18"/>
              </w:rPr>
              <w:t>56553</w:t>
            </w:r>
          </w:p>
        </w:tc>
        <w:tc>
          <w:tcPr>
            <w:tcW w:w="709" w:type="dxa"/>
            <w:vAlign w:val="center"/>
          </w:tcPr>
          <w:p w:rsidR="00D87ADC" w:rsidRPr="00CE43D3" w:rsidRDefault="00D87ADC" w:rsidP="00380B5E">
            <w:pPr>
              <w:keepNext/>
              <w:keepLines/>
              <w:jc w:val="center"/>
              <w:rPr>
                <w:rFonts w:ascii="Arial" w:hAnsi="Arial" w:cs="Arial"/>
                <w:sz w:val="18"/>
                <w:szCs w:val="18"/>
              </w:rPr>
            </w:pPr>
            <w:r w:rsidRPr="00CE43D3">
              <w:rPr>
                <w:rFonts w:ascii="Arial" w:hAnsi="Arial" w:cs="Arial"/>
                <w:sz w:val="18"/>
                <w:szCs w:val="18"/>
              </w:rPr>
              <w:t>1.0</w:t>
            </w:r>
          </w:p>
        </w:tc>
        <w:tc>
          <w:tcPr>
            <w:tcW w:w="2531" w:type="dxa"/>
            <w:vAlign w:val="center"/>
          </w:tcPr>
          <w:p w:rsidR="00D87ADC" w:rsidRPr="00CE43D3" w:rsidRDefault="00FE4E98" w:rsidP="00380B5E">
            <w:pPr>
              <w:jc w:val="center"/>
              <w:rPr>
                <w:rFonts w:ascii="Arial" w:hAnsi="Arial" w:cs="Arial"/>
                <w:sz w:val="18"/>
                <w:szCs w:val="18"/>
              </w:rPr>
            </w:pPr>
            <w:r w:rsidRPr="00CE43D3">
              <w:rPr>
                <w:rFonts w:ascii="Arial" w:hAnsi="Arial" w:cs="Arial"/>
                <w:sz w:val="18"/>
                <w:szCs w:val="18"/>
              </w:rPr>
              <w:t>1/Week</w:t>
            </w:r>
            <w:r w:rsidR="00D87ADC" w:rsidRPr="00CE43D3">
              <w:rPr>
                <w:rFonts w:ascii="Arial" w:hAnsi="Arial" w:cs="Arial"/>
                <w:sz w:val="18"/>
                <w:szCs w:val="18"/>
              </w:rPr>
              <w:t>, when discharging</w:t>
            </w:r>
          </w:p>
        </w:tc>
        <w:tc>
          <w:tcPr>
            <w:tcW w:w="1789" w:type="dxa"/>
            <w:vAlign w:val="center"/>
          </w:tcPr>
          <w:p w:rsidR="00D87ADC" w:rsidRPr="00CE43D3" w:rsidRDefault="00FE4E98"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280" w:type="dxa"/>
            <w:vAlign w:val="center"/>
          </w:tcPr>
          <w:p w:rsidR="00004D2C" w:rsidRPr="00CE43D3" w:rsidRDefault="00004D2C" w:rsidP="00806B7A">
            <w:pPr>
              <w:pStyle w:val="ListParagraph"/>
              <w:numPr>
                <w:ilvl w:val="0"/>
                <w:numId w:val="23"/>
              </w:numPr>
              <w:suppressAutoHyphens/>
              <w:rPr>
                <w:rFonts w:ascii="Arial" w:hAnsi="Arial" w:cs="Arial"/>
                <w:sz w:val="18"/>
                <w:szCs w:val="18"/>
              </w:rPr>
            </w:pPr>
            <w:r w:rsidRPr="00CE43D3">
              <w:rPr>
                <w:rFonts w:ascii="Arial" w:hAnsi="Arial" w:cs="Arial"/>
                <w:sz w:val="18"/>
                <w:szCs w:val="18"/>
              </w:rPr>
              <w:t>Daily values</w:t>
            </w:r>
          </w:p>
          <w:p w:rsidR="00004D2C" w:rsidRPr="00CE43D3" w:rsidRDefault="00004D2C" w:rsidP="00806B7A">
            <w:pPr>
              <w:pStyle w:val="ListParagraph"/>
              <w:numPr>
                <w:ilvl w:val="0"/>
                <w:numId w:val="23"/>
              </w:numPr>
              <w:suppressAutoHyphens/>
              <w:rPr>
                <w:rFonts w:ascii="Arial" w:hAnsi="Arial" w:cs="Arial"/>
                <w:sz w:val="18"/>
                <w:szCs w:val="18"/>
              </w:rPr>
            </w:pPr>
            <w:r w:rsidRPr="00CE43D3">
              <w:rPr>
                <w:rFonts w:ascii="Arial" w:hAnsi="Arial" w:cs="Arial"/>
                <w:sz w:val="18"/>
                <w:szCs w:val="18"/>
              </w:rPr>
              <w:t>Monthly average</w:t>
            </w:r>
          </w:p>
          <w:p w:rsidR="00D87ADC" w:rsidRPr="00CE43D3" w:rsidRDefault="00004D2C" w:rsidP="00806B7A">
            <w:pPr>
              <w:pStyle w:val="ListParagraph"/>
              <w:numPr>
                <w:ilvl w:val="0"/>
                <w:numId w:val="23"/>
              </w:numPr>
              <w:rPr>
                <w:rFonts w:ascii="Arial" w:hAnsi="Arial" w:cs="Arial"/>
                <w:sz w:val="18"/>
                <w:szCs w:val="18"/>
              </w:rPr>
            </w:pPr>
            <w:r w:rsidRPr="00CE43D3">
              <w:rPr>
                <w:rFonts w:ascii="Arial" w:hAnsi="Arial" w:cs="Arial"/>
                <w:sz w:val="18"/>
                <w:szCs w:val="18"/>
              </w:rPr>
              <w:t>Maximum daily value</w:t>
            </w:r>
          </w:p>
        </w:tc>
      </w:tr>
      <w:tr w:rsidR="00D87ADC" w:rsidRPr="00CE43D3" w:rsidTr="0080675D">
        <w:trPr>
          <w:trHeight w:val="288"/>
          <w:jc w:val="center"/>
        </w:trPr>
        <w:tc>
          <w:tcPr>
            <w:tcW w:w="2180" w:type="dxa"/>
            <w:vAlign w:val="center"/>
          </w:tcPr>
          <w:p w:rsidR="00D87ADC" w:rsidRPr="00CE43D3" w:rsidRDefault="00CC53F1" w:rsidP="00380B5E">
            <w:pPr>
              <w:jc w:val="center"/>
              <w:rPr>
                <w:rFonts w:ascii="Arial" w:hAnsi="Arial" w:cs="Arial"/>
                <w:sz w:val="18"/>
                <w:szCs w:val="18"/>
              </w:rPr>
            </w:pPr>
            <w:proofErr w:type="spellStart"/>
            <w:r w:rsidRPr="00CE43D3">
              <w:rPr>
                <w:rFonts w:ascii="Arial" w:hAnsi="Arial" w:cs="Arial"/>
                <w:sz w:val="18"/>
                <w:szCs w:val="18"/>
              </w:rPr>
              <w:t>Benzo</w:t>
            </w:r>
            <w:proofErr w:type="spellEnd"/>
            <w:r w:rsidRPr="00CE43D3">
              <w:rPr>
                <w:rFonts w:ascii="Arial" w:hAnsi="Arial" w:cs="Arial"/>
                <w:sz w:val="18"/>
                <w:szCs w:val="18"/>
              </w:rPr>
              <w:t>(a)</w:t>
            </w:r>
            <w:proofErr w:type="spellStart"/>
            <w:r w:rsidRPr="00CE43D3">
              <w:rPr>
                <w:rFonts w:ascii="Arial" w:hAnsi="Arial" w:cs="Arial"/>
                <w:sz w:val="18"/>
                <w:szCs w:val="18"/>
              </w:rPr>
              <w:t>p</w:t>
            </w:r>
            <w:r w:rsidR="00D87ADC" w:rsidRPr="00CE43D3">
              <w:rPr>
                <w:rFonts w:ascii="Arial" w:hAnsi="Arial" w:cs="Arial"/>
                <w:sz w:val="18"/>
                <w:szCs w:val="18"/>
              </w:rPr>
              <w:t>yrene</w:t>
            </w:r>
            <w:proofErr w:type="spellEnd"/>
          </w:p>
        </w:tc>
        <w:tc>
          <w:tcPr>
            <w:tcW w:w="990" w:type="dxa"/>
            <w:vAlign w:val="center"/>
          </w:tcPr>
          <w:p w:rsidR="00D87ADC" w:rsidRPr="00CE43D3" w:rsidRDefault="00D87ADC" w:rsidP="00380B5E">
            <w:pPr>
              <w:keepNext/>
              <w:keepLines/>
              <w:jc w:val="center"/>
              <w:rPr>
                <w:rFonts w:ascii="Arial" w:hAnsi="Arial" w:cs="Arial"/>
                <w:sz w:val="18"/>
                <w:szCs w:val="18"/>
              </w:rPr>
            </w:pPr>
            <w:r w:rsidRPr="00CE43D3">
              <w:rPr>
                <w:rFonts w:ascii="Arial" w:hAnsi="Arial" w:cs="Arial"/>
                <w:sz w:val="18"/>
                <w:szCs w:val="18"/>
              </w:rPr>
              <w:t>50328</w:t>
            </w:r>
          </w:p>
        </w:tc>
        <w:tc>
          <w:tcPr>
            <w:tcW w:w="709" w:type="dxa"/>
            <w:vAlign w:val="center"/>
          </w:tcPr>
          <w:p w:rsidR="00D87ADC" w:rsidRPr="00CE43D3" w:rsidRDefault="00D87ADC" w:rsidP="00380B5E">
            <w:pPr>
              <w:keepNext/>
              <w:keepLines/>
              <w:jc w:val="center"/>
              <w:rPr>
                <w:rFonts w:ascii="Arial" w:hAnsi="Arial" w:cs="Arial"/>
                <w:sz w:val="18"/>
                <w:szCs w:val="18"/>
              </w:rPr>
            </w:pPr>
            <w:r w:rsidRPr="00CE43D3">
              <w:rPr>
                <w:rFonts w:ascii="Arial" w:hAnsi="Arial" w:cs="Arial"/>
                <w:sz w:val="18"/>
                <w:szCs w:val="18"/>
              </w:rPr>
              <w:t>1.0</w:t>
            </w:r>
          </w:p>
        </w:tc>
        <w:tc>
          <w:tcPr>
            <w:tcW w:w="2531" w:type="dxa"/>
            <w:vAlign w:val="center"/>
          </w:tcPr>
          <w:p w:rsidR="00D87ADC" w:rsidRPr="00CE43D3" w:rsidRDefault="00FE4E98" w:rsidP="00380B5E">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D87ADC" w:rsidRPr="00CE43D3" w:rsidRDefault="00FE4E98" w:rsidP="00380B5E">
            <w:pPr>
              <w:jc w:val="center"/>
              <w:rPr>
                <w:rFonts w:ascii="Arial" w:hAnsi="Arial" w:cs="Arial"/>
                <w:sz w:val="18"/>
                <w:szCs w:val="18"/>
              </w:rPr>
            </w:pPr>
            <w:r w:rsidRPr="00CE43D3">
              <w:rPr>
                <w:rFonts w:ascii="Arial" w:hAnsi="Arial" w:cs="Arial"/>
                <w:sz w:val="18"/>
                <w:szCs w:val="18"/>
              </w:rPr>
              <w:t>24-hour Composite</w:t>
            </w:r>
          </w:p>
        </w:tc>
        <w:tc>
          <w:tcPr>
            <w:tcW w:w="2280" w:type="dxa"/>
            <w:vAlign w:val="center"/>
          </w:tcPr>
          <w:p w:rsidR="00D87ADC" w:rsidRPr="00CE43D3" w:rsidRDefault="00D87ADC" w:rsidP="00806B7A">
            <w:pPr>
              <w:jc w:val="center"/>
              <w:rPr>
                <w:rFonts w:ascii="Arial" w:hAnsi="Arial" w:cs="Arial"/>
                <w:sz w:val="18"/>
                <w:szCs w:val="18"/>
              </w:rPr>
            </w:pPr>
            <w:r w:rsidRPr="00CE43D3">
              <w:rPr>
                <w:rFonts w:ascii="Arial" w:hAnsi="Arial" w:cs="Arial"/>
                <w:sz w:val="18"/>
                <w:szCs w:val="18"/>
              </w:rPr>
              <w:t xml:space="preserve">Same as </w:t>
            </w:r>
            <w:r w:rsidR="00806B7A" w:rsidRPr="00CE43D3">
              <w:rPr>
                <w:rFonts w:ascii="Arial" w:hAnsi="Arial" w:cs="Arial"/>
                <w:sz w:val="18"/>
                <w:szCs w:val="18"/>
              </w:rPr>
              <w:t>above</w:t>
            </w:r>
          </w:p>
        </w:tc>
      </w:tr>
      <w:tr w:rsidR="004C67AE" w:rsidRPr="00CE43D3" w:rsidTr="0080675D">
        <w:trPr>
          <w:trHeight w:val="288"/>
          <w:jc w:val="center"/>
        </w:trPr>
        <w:tc>
          <w:tcPr>
            <w:tcW w:w="218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 xml:space="preserve">Copper </w:t>
            </w:r>
            <w:r w:rsidRPr="00CE43D3">
              <w:rPr>
                <w:rFonts w:ascii="Arial" w:hAnsi="Arial" w:cs="Arial"/>
                <w:sz w:val="18"/>
                <w:szCs w:val="18"/>
                <w:vertAlign w:val="superscript"/>
              </w:rPr>
              <w:t>3</w:t>
            </w:r>
          </w:p>
        </w:tc>
        <w:tc>
          <w:tcPr>
            <w:tcW w:w="990" w:type="dxa"/>
            <w:vAlign w:val="center"/>
          </w:tcPr>
          <w:p w:rsidR="004C67AE" w:rsidRPr="00CE43D3" w:rsidRDefault="004C67AE" w:rsidP="004C67AE">
            <w:pPr>
              <w:keepNext/>
              <w:keepLines/>
              <w:jc w:val="center"/>
              <w:rPr>
                <w:rFonts w:ascii="Arial" w:hAnsi="Arial" w:cs="Arial"/>
                <w:sz w:val="18"/>
                <w:szCs w:val="18"/>
              </w:rPr>
            </w:pPr>
            <w:r w:rsidRPr="00CE43D3">
              <w:rPr>
                <w:rFonts w:ascii="Arial" w:hAnsi="Arial" w:cs="Arial"/>
                <w:sz w:val="18"/>
                <w:szCs w:val="18"/>
              </w:rPr>
              <w:t>7440508</w:t>
            </w:r>
          </w:p>
        </w:tc>
        <w:tc>
          <w:tcPr>
            <w:tcW w:w="709" w:type="dxa"/>
            <w:vAlign w:val="center"/>
          </w:tcPr>
          <w:p w:rsidR="004C67AE" w:rsidRPr="00CE43D3" w:rsidRDefault="004C67AE" w:rsidP="004C67AE">
            <w:pPr>
              <w:keepNext/>
              <w:keepLines/>
              <w:jc w:val="center"/>
              <w:rPr>
                <w:rFonts w:ascii="Arial" w:hAnsi="Arial" w:cs="Arial"/>
                <w:sz w:val="18"/>
                <w:szCs w:val="18"/>
              </w:rPr>
            </w:pPr>
            <w:r w:rsidRPr="00CE43D3">
              <w:rPr>
                <w:rFonts w:ascii="Arial" w:hAnsi="Arial" w:cs="Arial"/>
                <w:sz w:val="18"/>
                <w:szCs w:val="18"/>
              </w:rPr>
              <w:t>10</w:t>
            </w:r>
          </w:p>
        </w:tc>
        <w:tc>
          <w:tcPr>
            <w:tcW w:w="2531" w:type="dxa"/>
            <w:vAlign w:val="center"/>
          </w:tcPr>
          <w:p w:rsidR="004C67AE" w:rsidRPr="00CE43D3" w:rsidRDefault="00FE4E98" w:rsidP="004C67AE">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4C67AE" w:rsidRPr="00CE43D3" w:rsidRDefault="00FE4E98" w:rsidP="004C67AE">
            <w:pPr>
              <w:jc w:val="center"/>
              <w:rPr>
                <w:rFonts w:ascii="Arial" w:hAnsi="Arial" w:cs="Arial"/>
                <w:sz w:val="18"/>
                <w:szCs w:val="18"/>
              </w:rPr>
            </w:pPr>
            <w:r w:rsidRPr="00CE43D3">
              <w:rPr>
                <w:rFonts w:ascii="Arial" w:hAnsi="Arial" w:cs="Arial"/>
                <w:sz w:val="18"/>
                <w:szCs w:val="18"/>
              </w:rPr>
              <w:t>24-hour Composite</w:t>
            </w:r>
          </w:p>
        </w:tc>
        <w:tc>
          <w:tcPr>
            <w:tcW w:w="2280" w:type="dxa"/>
            <w:vAlign w:val="center"/>
          </w:tcPr>
          <w:p w:rsidR="004C67AE" w:rsidRPr="00CE43D3" w:rsidRDefault="00806B7A" w:rsidP="004C67AE">
            <w:pPr>
              <w:suppressAutoHyphens/>
              <w:jc w:val="center"/>
              <w:rPr>
                <w:rFonts w:ascii="Arial" w:hAnsi="Arial" w:cs="Arial"/>
                <w:sz w:val="18"/>
                <w:szCs w:val="18"/>
              </w:rPr>
            </w:pPr>
            <w:r w:rsidRPr="00CE43D3">
              <w:rPr>
                <w:rFonts w:ascii="Arial" w:hAnsi="Arial" w:cs="Arial"/>
                <w:sz w:val="18"/>
                <w:szCs w:val="18"/>
              </w:rPr>
              <w:t>Same as above</w:t>
            </w:r>
          </w:p>
        </w:tc>
      </w:tr>
      <w:tr w:rsidR="00FE4E98" w:rsidRPr="00CE43D3" w:rsidTr="0080675D">
        <w:trPr>
          <w:trHeight w:val="288"/>
          <w:jc w:val="center"/>
        </w:trPr>
        <w:tc>
          <w:tcPr>
            <w:tcW w:w="2180" w:type="dxa"/>
            <w:vAlign w:val="center"/>
          </w:tcPr>
          <w:p w:rsidR="00FE4E98" w:rsidRPr="00CE43D3" w:rsidRDefault="00FE4E98" w:rsidP="00380B5E">
            <w:pPr>
              <w:jc w:val="center"/>
              <w:rPr>
                <w:rFonts w:ascii="Arial" w:hAnsi="Arial" w:cs="Arial"/>
                <w:sz w:val="18"/>
                <w:szCs w:val="18"/>
              </w:rPr>
            </w:pPr>
            <w:proofErr w:type="spellStart"/>
            <w:r w:rsidRPr="00CE43D3">
              <w:rPr>
                <w:rFonts w:ascii="Arial" w:hAnsi="Arial" w:cs="Arial"/>
                <w:sz w:val="18"/>
                <w:szCs w:val="18"/>
              </w:rPr>
              <w:t>Dibenz</w:t>
            </w:r>
            <w:r w:rsidR="0080675D">
              <w:rPr>
                <w:rFonts w:ascii="Arial" w:hAnsi="Arial" w:cs="Arial"/>
                <w:sz w:val="18"/>
                <w:szCs w:val="18"/>
              </w:rPr>
              <w:t>o</w:t>
            </w:r>
            <w:proofErr w:type="spellEnd"/>
            <w:r w:rsidRPr="00CE43D3">
              <w:rPr>
                <w:rFonts w:ascii="Arial" w:hAnsi="Arial" w:cs="Arial"/>
                <w:sz w:val="18"/>
                <w:szCs w:val="18"/>
              </w:rPr>
              <w:t>(</w:t>
            </w:r>
            <w:proofErr w:type="spellStart"/>
            <w:r w:rsidRPr="00CE43D3">
              <w:rPr>
                <w:rFonts w:ascii="Arial" w:hAnsi="Arial" w:cs="Arial"/>
                <w:sz w:val="18"/>
                <w:szCs w:val="18"/>
              </w:rPr>
              <w:t>a,h</w:t>
            </w:r>
            <w:proofErr w:type="spellEnd"/>
            <w:r w:rsidRPr="00CE43D3">
              <w:rPr>
                <w:rFonts w:ascii="Arial" w:hAnsi="Arial" w:cs="Arial"/>
                <w:sz w:val="18"/>
                <w:szCs w:val="18"/>
              </w:rPr>
              <w:t>)</w:t>
            </w:r>
            <w:proofErr w:type="spellStart"/>
            <w:r w:rsidRPr="00CE43D3">
              <w:rPr>
                <w:rFonts w:ascii="Arial" w:hAnsi="Arial" w:cs="Arial"/>
                <w:sz w:val="18"/>
                <w:szCs w:val="18"/>
              </w:rPr>
              <w:t>anthracene</w:t>
            </w:r>
            <w:proofErr w:type="spellEnd"/>
          </w:p>
        </w:tc>
        <w:tc>
          <w:tcPr>
            <w:tcW w:w="990" w:type="dxa"/>
            <w:vAlign w:val="center"/>
          </w:tcPr>
          <w:p w:rsidR="00FE4E98" w:rsidRPr="00CE43D3" w:rsidRDefault="00FE4E98" w:rsidP="00380B5E">
            <w:pPr>
              <w:keepNext/>
              <w:keepLines/>
              <w:jc w:val="center"/>
              <w:rPr>
                <w:rFonts w:ascii="Arial" w:hAnsi="Arial" w:cs="Arial"/>
                <w:sz w:val="18"/>
                <w:szCs w:val="18"/>
              </w:rPr>
            </w:pPr>
            <w:r w:rsidRPr="00CE43D3">
              <w:rPr>
                <w:rFonts w:ascii="Arial" w:hAnsi="Arial" w:cs="Arial"/>
                <w:sz w:val="18"/>
                <w:szCs w:val="18"/>
              </w:rPr>
              <w:t>53703</w:t>
            </w:r>
          </w:p>
        </w:tc>
        <w:tc>
          <w:tcPr>
            <w:tcW w:w="709" w:type="dxa"/>
            <w:vAlign w:val="center"/>
          </w:tcPr>
          <w:p w:rsidR="00FE4E98" w:rsidRPr="00CE43D3" w:rsidRDefault="00FE4E98" w:rsidP="00380B5E">
            <w:pPr>
              <w:keepNext/>
              <w:keepLines/>
              <w:jc w:val="center"/>
              <w:rPr>
                <w:rFonts w:ascii="Arial" w:hAnsi="Arial" w:cs="Arial"/>
                <w:sz w:val="18"/>
                <w:szCs w:val="18"/>
              </w:rPr>
            </w:pPr>
            <w:r w:rsidRPr="00CE43D3">
              <w:rPr>
                <w:rFonts w:ascii="Arial" w:hAnsi="Arial" w:cs="Arial"/>
                <w:sz w:val="18"/>
                <w:szCs w:val="18"/>
              </w:rPr>
              <w:t>1.0</w:t>
            </w:r>
          </w:p>
        </w:tc>
        <w:tc>
          <w:tcPr>
            <w:tcW w:w="2531" w:type="dxa"/>
            <w:vAlign w:val="center"/>
          </w:tcPr>
          <w:p w:rsidR="00FE4E98" w:rsidRPr="00CE43D3" w:rsidRDefault="00FE4E98" w:rsidP="00380B5E">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FE4E98" w:rsidRPr="00CE43D3" w:rsidRDefault="00FE4E98"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280" w:type="dxa"/>
            <w:vAlign w:val="center"/>
          </w:tcPr>
          <w:p w:rsidR="00FE4E98" w:rsidRPr="00CE43D3" w:rsidRDefault="00FE4E98" w:rsidP="00380B5E">
            <w:pPr>
              <w:jc w:val="center"/>
              <w:rPr>
                <w:rFonts w:ascii="Arial" w:hAnsi="Arial" w:cs="Arial"/>
                <w:sz w:val="18"/>
                <w:szCs w:val="18"/>
              </w:rPr>
            </w:pPr>
            <w:r w:rsidRPr="00CE43D3">
              <w:rPr>
                <w:rFonts w:ascii="Arial" w:hAnsi="Arial" w:cs="Arial"/>
                <w:sz w:val="18"/>
                <w:szCs w:val="18"/>
              </w:rPr>
              <w:t>Same as above</w:t>
            </w:r>
          </w:p>
        </w:tc>
      </w:tr>
      <w:tr w:rsidR="00FE4E98" w:rsidRPr="00CE43D3" w:rsidTr="0080675D">
        <w:trPr>
          <w:trHeight w:val="288"/>
          <w:jc w:val="center"/>
        </w:trPr>
        <w:tc>
          <w:tcPr>
            <w:tcW w:w="2180" w:type="dxa"/>
            <w:vAlign w:val="center"/>
          </w:tcPr>
          <w:p w:rsidR="00FE4E98" w:rsidRPr="00CE43D3" w:rsidRDefault="00FE4E98" w:rsidP="00380B5E">
            <w:pPr>
              <w:jc w:val="center"/>
              <w:rPr>
                <w:rFonts w:ascii="Arial" w:hAnsi="Arial" w:cs="Arial"/>
                <w:sz w:val="18"/>
                <w:szCs w:val="18"/>
              </w:rPr>
            </w:pPr>
            <w:proofErr w:type="spellStart"/>
            <w:r w:rsidRPr="00CE43D3">
              <w:rPr>
                <w:rFonts w:ascii="Arial" w:hAnsi="Arial" w:cs="Arial"/>
                <w:sz w:val="18"/>
                <w:szCs w:val="18"/>
              </w:rPr>
              <w:t>Indeno</w:t>
            </w:r>
            <w:proofErr w:type="spellEnd"/>
            <w:r w:rsidRPr="00CE43D3">
              <w:rPr>
                <w:rFonts w:ascii="Arial" w:hAnsi="Arial" w:cs="Arial"/>
                <w:sz w:val="18"/>
                <w:szCs w:val="18"/>
              </w:rPr>
              <w:t xml:space="preserve">(1,2,3-cd) </w:t>
            </w:r>
            <w:proofErr w:type="spellStart"/>
            <w:r w:rsidRPr="00CE43D3">
              <w:rPr>
                <w:rFonts w:ascii="Arial" w:hAnsi="Arial" w:cs="Arial"/>
                <w:sz w:val="18"/>
                <w:szCs w:val="18"/>
              </w:rPr>
              <w:t>pyrene</w:t>
            </w:r>
            <w:proofErr w:type="spellEnd"/>
          </w:p>
        </w:tc>
        <w:tc>
          <w:tcPr>
            <w:tcW w:w="990" w:type="dxa"/>
            <w:vAlign w:val="center"/>
          </w:tcPr>
          <w:p w:rsidR="00FE4E98" w:rsidRPr="00CE43D3" w:rsidRDefault="00FE4E98" w:rsidP="00380B5E">
            <w:pPr>
              <w:keepNext/>
              <w:keepLines/>
              <w:jc w:val="center"/>
              <w:rPr>
                <w:rFonts w:ascii="Arial" w:hAnsi="Arial" w:cs="Arial"/>
                <w:sz w:val="18"/>
                <w:szCs w:val="18"/>
              </w:rPr>
            </w:pPr>
            <w:r w:rsidRPr="00CE43D3">
              <w:rPr>
                <w:rFonts w:ascii="Arial" w:hAnsi="Arial" w:cs="Arial"/>
                <w:sz w:val="18"/>
                <w:szCs w:val="18"/>
              </w:rPr>
              <w:t>193395</w:t>
            </w:r>
          </w:p>
        </w:tc>
        <w:tc>
          <w:tcPr>
            <w:tcW w:w="709" w:type="dxa"/>
            <w:vAlign w:val="center"/>
          </w:tcPr>
          <w:p w:rsidR="00FE4E98" w:rsidRPr="00CE43D3" w:rsidRDefault="00FE4E98" w:rsidP="00380B5E">
            <w:pPr>
              <w:keepNext/>
              <w:keepLines/>
              <w:jc w:val="center"/>
              <w:rPr>
                <w:rFonts w:ascii="Arial" w:hAnsi="Arial" w:cs="Arial"/>
                <w:sz w:val="18"/>
                <w:szCs w:val="18"/>
              </w:rPr>
            </w:pPr>
            <w:r w:rsidRPr="00CE43D3">
              <w:rPr>
                <w:rFonts w:ascii="Arial" w:hAnsi="Arial" w:cs="Arial"/>
                <w:sz w:val="18"/>
                <w:szCs w:val="18"/>
              </w:rPr>
              <w:t>1.0</w:t>
            </w:r>
          </w:p>
        </w:tc>
        <w:tc>
          <w:tcPr>
            <w:tcW w:w="2531" w:type="dxa"/>
            <w:vAlign w:val="center"/>
          </w:tcPr>
          <w:p w:rsidR="00FE4E98" w:rsidRPr="00CE43D3" w:rsidRDefault="00FE4E98" w:rsidP="00380B5E">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FE4E98" w:rsidRPr="00CE43D3" w:rsidRDefault="00FE4E98" w:rsidP="00FE4E98">
            <w:pPr>
              <w:jc w:val="center"/>
              <w:rPr>
                <w:rFonts w:ascii="Arial" w:hAnsi="Arial" w:cs="Arial"/>
                <w:sz w:val="18"/>
                <w:szCs w:val="18"/>
              </w:rPr>
            </w:pPr>
            <w:r w:rsidRPr="00CE43D3">
              <w:rPr>
                <w:rFonts w:ascii="Arial" w:hAnsi="Arial" w:cs="Arial"/>
                <w:sz w:val="18"/>
                <w:szCs w:val="18"/>
              </w:rPr>
              <w:t>24-hour Composite</w:t>
            </w:r>
          </w:p>
        </w:tc>
        <w:tc>
          <w:tcPr>
            <w:tcW w:w="2280" w:type="dxa"/>
            <w:vAlign w:val="center"/>
          </w:tcPr>
          <w:p w:rsidR="00FE4E98" w:rsidRPr="00CE43D3" w:rsidRDefault="00FE4E98" w:rsidP="00806B7A">
            <w:pPr>
              <w:suppressAutoHyphens/>
              <w:jc w:val="center"/>
              <w:rPr>
                <w:rFonts w:ascii="Arial" w:hAnsi="Arial" w:cs="Arial"/>
                <w:sz w:val="18"/>
                <w:szCs w:val="18"/>
              </w:rPr>
            </w:pPr>
            <w:r w:rsidRPr="00CE43D3">
              <w:rPr>
                <w:rFonts w:ascii="Arial" w:hAnsi="Arial" w:cs="Arial"/>
                <w:sz w:val="18"/>
                <w:szCs w:val="18"/>
              </w:rPr>
              <w:t>Same as above</w:t>
            </w:r>
          </w:p>
        </w:tc>
      </w:tr>
      <w:tr w:rsidR="00FE4E98" w:rsidRPr="00CE43D3" w:rsidTr="0080675D">
        <w:trPr>
          <w:trHeight w:val="288"/>
          <w:jc w:val="center"/>
        </w:trPr>
        <w:tc>
          <w:tcPr>
            <w:tcW w:w="2180" w:type="dxa"/>
            <w:vAlign w:val="center"/>
          </w:tcPr>
          <w:p w:rsidR="00FE4E98" w:rsidRPr="00CE43D3" w:rsidRDefault="00FE4E98" w:rsidP="00940F47">
            <w:pPr>
              <w:jc w:val="center"/>
              <w:rPr>
                <w:rFonts w:ascii="Arial" w:hAnsi="Arial" w:cs="Arial"/>
                <w:sz w:val="18"/>
                <w:szCs w:val="18"/>
              </w:rPr>
            </w:pPr>
            <w:r w:rsidRPr="00CE43D3">
              <w:rPr>
                <w:rFonts w:ascii="Arial" w:hAnsi="Arial" w:cs="Arial"/>
                <w:sz w:val="18"/>
                <w:szCs w:val="18"/>
              </w:rPr>
              <w:t xml:space="preserve">Iron </w:t>
            </w:r>
            <w:r w:rsidRPr="00CE43D3">
              <w:rPr>
                <w:rFonts w:ascii="Arial" w:hAnsi="Arial" w:cs="Arial"/>
                <w:sz w:val="18"/>
                <w:szCs w:val="18"/>
                <w:vertAlign w:val="superscript"/>
              </w:rPr>
              <w:t>3</w:t>
            </w:r>
          </w:p>
        </w:tc>
        <w:tc>
          <w:tcPr>
            <w:tcW w:w="990"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7439896</w:t>
            </w:r>
          </w:p>
        </w:tc>
        <w:tc>
          <w:tcPr>
            <w:tcW w:w="709"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100</w:t>
            </w:r>
          </w:p>
        </w:tc>
        <w:tc>
          <w:tcPr>
            <w:tcW w:w="2531" w:type="dxa"/>
            <w:vAlign w:val="center"/>
          </w:tcPr>
          <w:p w:rsidR="00FE4E98" w:rsidRPr="00CE43D3" w:rsidRDefault="00FE4E98" w:rsidP="00FE4E98">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FE4E98" w:rsidRPr="00CE43D3" w:rsidRDefault="00FE4E98"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280" w:type="dxa"/>
            <w:vAlign w:val="center"/>
          </w:tcPr>
          <w:p w:rsidR="00FE4E98" w:rsidRPr="00CE43D3" w:rsidRDefault="00FE4E98" w:rsidP="00806B7A">
            <w:pPr>
              <w:jc w:val="center"/>
              <w:rPr>
                <w:rFonts w:ascii="Arial" w:hAnsi="Arial" w:cs="Arial"/>
                <w:sz w:val="18"/>
                <w:szCs w:val="18"/>
              </w:rPr>
            </w:pPr>
            <w:r w:rsidRPr="00CE43D3">
              <w:rPr>
                <w:rFonts w:ascii="Arial" w:hAnsi="Arial" w:cs="Arial"/>
                <w:sz w:val="18"/>
                <w:szCs w:val="18"/>
              </w:rPr>
              <w:t>Same as above</w:t>
            </w:r>
          </w:p>
        </w:tc>
      </w:tr>
      <w:tr w:rsidR="00FE4E98" w:rsidRPr="00CE43D3" w:rsidTr="0080675D">
        <w:trPr>
          <w:trHeight w:val="288"/>
          <w:jc w:val="center"/>
        </w:trPr>
        <w:tc>
          <w:tcPr>
            <w:tcW w:w="2180" w:type="dxa"/>
            <w:vAlign w:val="center"/>
          </w:tcPr>
          <w:p w:rsidR="00FE4E98" w:rsidRPr="00CE43D3" w:rsidRDefault="00FE4E98" w:rsidP="00940F47">
            <w:pPr>
              <w:jc w:val="center"/>
              <w:rPr>
                <w:rFonts w:ascii="Arial" w:hAnsi="Arial" w:cs="Arial"/>
                <w:sz w:val="18"/>
                <w:szCs w:val="18"/>
              </w:rPr>
            </w:pPr>
            <w:r w:rsidRPr="00CE43D3">
              <w:rPr>
                <w:rFonts w:ascii="Arial" w:hAnsi="Arial" w:cs="Arial"/>
                <w:sz w:val="18"/>
                <w:szCs w:val="18"/>
              </w:rPr>
              <w:t xml:space="preserve">Lead </w:t>
            </w:r>
            <w:r w:rsidRPr="00CE43D3">
              <w:rPr>
                <w:rFonts w:ascii="Arial" w:hAnsi="Arial" w:cs="Arial"/>
                <w:sz w:val="18"/>
                <w:szCs w:val="18"/>
                <w:vertAlign w:val="superscript"/>
              </w:rPr>
              <w:t>3</w:t>
            </w:r>
          </w:p>
        </w:tc>
        <w:tc>
          <w:tcPr>
            <w:tcW w:w="990"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7439921</w:t>
            </w:r>
          </w:p>
        </w:tc>
        <w:tc>
          <w:tcPr>
            <w:tcW w:w="709"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5</w:t>
            </w:r>
          </w:p>
        </w:tc>
        <w:tc>
          <w:tcPr>
            <w:tcW w:w="2531" w:type="dxa"/>
            <w:vAlign w:val="center"/>
          </w:tcPr>
          <w:p w:rsidR="00FE4E98" w:rsidRPr="00CE43D3" w:rsidRDefault="00FE4E98" w:rsidP="00FE4E98">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FE4E98" w:rsidRPr="00CE43D3" w:rsidRDefault="00FE4E98" w:rsidP="00FE4E98">
            <w:pPr>
              <w:jc w:val="center"/>
              <w:rPr>
                <w:rFonts w:ascii="Arial" w:hAnsi="Arial" w:cs="Arial"/>
                <w:sz w:val="18"/>
                <w:szCs w:val="18"/>
              </w:rPr>
            </w:pPr>
            <w:r w:rsidRPr="00CE43D3">
              <w:rPr>
                <w:rFonts w:ascii="Arial" w:hAnsi="Arial" w:cs="Arial"/>
                <w:sz w:val="18"/>
                <w:szCs w:val="18"/>
              </w:rPr>
              <w:t>24-hour Composite</w:t>
            </w:r>
          </w:p>
        </w:tc>
        <w:tc>
          <w:tcPr>
            <w:tcW w:w="2280" w:type="dxa"/>
            <w:vAlign w:val="center"/>
          </w:tcPr>
          <w:p w:rsidR="00FE4E98" w:rsidRPr="00CE43D3" w:rsidRDefault="00FE4E98" w:rsidP="00806B7A">
            <w:pPr>
              <w:jc w:val="center"/>
              <w:rPr>
                <w:rFonts w:ascii="Arial" w:hAnsi="Arial" w:cs="Arial"/>
                <w:sz w:val="18"/>
                <w:szCs w:val="18"/>
              </w:rPr>
            </w:pPr>
            <w:r w:rsidRPr="00CE43D3">
              <w:rPr>
                <w:rFonts w:ascii="Arial" w:hAnsi="Arial" w:cs="Arial"/>
                <w:sz w:val="18"/>
                <w:szCs w:val="18"/>
              </w:rPr>
              <w:t>Same as above</w:t>
            </w:r>
          </w:p>
        </w:tc>
      </w:tr>
      <w:tr w:rsidR="00FE4E98" w:rsidRPr="00CE43D3" w:rsidTr="0080675D">
        <w:trPr>
          <w:trHeight w:val="288"/>
          <w:jc w:val="center"/>
        </w:trPr>
        <w:tc>
          <w:tcPr>
            <w:tcW w:w="2180" w:type="dxa"/>
            <w:vAlign w:val="center"/>
          </w:tcPr>
          <w:p w:rsidR="00FE4E98" w:rsidRPr="00CE43D3" w:rsidRDefault="00FE4E98" w:rsidP="00940F47">
            <w:pPr>
              <w:jc w:val="center"/>
              <w:rPr>
                <w:rFonts w:ascii="Arial" w:hAnsi="Arial" w:cs="Arial"/>
                <w:sz w:val="18"/>
                <w:szCs w:val="18"/>
              </w:rPr>
            </w:pPr>
            <w:r w:rsidRPr="00CE43D3">
              <w:rPr>
                <w:rFonts w:ascii="Arial" w:hAnsi="Arial" w:cs="Arial"/>
                <w:sz w:val="18"/>
                <w:szCs w:val="18"/>
              </w:rPr>
              <w:t xml:space="preserve">Mercury </w:t>
            </w:r>
            <w:r w:rsidRPr="00CE43D3">
              <w:rPr>
                <w:rFonts w:ascii="Arial" w:hAnsi="Arial" w:cs="Arial"/>
                <w:sz w:val="18"/>
                <w:szCs w:val="18"/>
                <w:vertAlign w:val="superscript"/>
              </w:rPr>
              <w:t>3</w:t>
            </w:r>
          </w:p>
        </w:tc>
        <w:tc>
          <w:tcPr>
            <w:tcW w:w="990"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7439976</w:t>
            </w:r>
          </w:p>
        </w:tc>
        <w:tc>
          <w:tcPr>
            <w:tcW w:w="709"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0.005</w:t>
            </w:r>
          </w:p>
        </w:tc>
        <w:tc>
          <w:tcPr>
            <w:tcW w:w="2531" w:type="dxa"/>
            <w:vAlign w:val="center"/>
          </w:tcPr>
          <w:p w:rsidR="00FE4E98" w:rsidRPr="00CE43D3" w:rsidRDefault="00FE4E98" w:rsidP="00FE4E98">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FE4E98" w:rsidRPr="00CE43D3" w:rsidRDefault="00FE4E98"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280" w:type="dxa"/>
            <w:vAlign w:val="center"/>
          </w:tcPr>
          <w:p w:rsidR="00FE4E98" w:rsidRPr="00CE43D3" w:rsidRDefault="00FE4E98" w:rsidP="00806B7A">
            <w:pPr>
              <w:suppressAutoHyphens/>
              <w:jc w:val="center"/>
              <w:rPr>
                <w:rFonts w:ascii="Arial" w:hAnsi="Arial" w:cs="Arial"/>
                <w:sz w:val="18"/>
                <w:szCs w:val="18"/>
              </w:rPr>
            </w:pPr>
            <w:r w:rsidRPr="00CE43D3">
              <w:rPr>
                <w:rFonts w:ascii="Arial" w:hAnsi="Arial" w:cs="Arial"/>
                <w:sz w:val="18"/>
                <w:szCs w:val="18"/>
              </w:rPr>
              <w:t>Same as above</w:t>
            </w:r>
          </w:p>
        </w:tc>
      </w:tr>
      <w:tr w:rsidR="00FE4E98" w:rsidRPr="00CE43D3" w:rsidTr="0080675D">
        <w:trPr>
          <w:trHeight w:val="288"/>
          <w:jc w:val="center"/>
        </w:trPr>
        <w:tc>
          <w:tcPr>
            <w:tcW w:w="2180" w:type="dxa"/>
            <w:vAlign w:val="center"/>
          </w:tcPr>
          <w:p w:rsidR="00FE4E98" w:rsidRPr="00CE43D3" w:rsidRDefault="00FE4E98" w:rsidP="00940F47">
            <w:pPr>
              <w:jc w:val="center"/>
              <w:rPr>
                <w:rFonts w:ascii="Arial" w:hAnsi="Arial" w:cs="Arial"/>
                <w:sz w:val="18"/>
                <w:szCs w:val="18"/>
              </w:rPr>
            </w:pPr>
            <w:r w:rsidRPr="00CE43D3">
              <w:rPr>
                <w:rFonts w:ascii="Arial" w:hAnsi="Arial" w:cs="Arial"/>
                <w:sz w:val="18"/>
                <w:szCs w:val="18"/>
              </w:rPr>
              <w:t>pH</w:t>
            </w:r>
          </w:p>
        </w:tc>
        <w:tc>
          <w:tcPr>
            <w:tcW w:w="990" w:type="dxa"/>
            <w:vAlign w:val="center"/>
          </w:tcPr>
          <w:p w:rsidR="00FE4E98" w:rsidRPr="00CE43D3" w:rsidRDefault="00FE4E98" w:rsidP="00940F47">
            <w:pPr>
              <w:jc w:val="center"/>
              <w:rPr>
                <w:rFonts w:ascii="Arial" w:hAnsi="Arial" w:cs="Arial"/>
                <w:sz w:val="18"/>
                <w:szCs w:val="18"/>
              </w:rPr>
            </w:pPr>
            <w:r w:rsidRPr="00CE43D3">
              <w:rPr>
                <w:rFonts w:ascii="Arial" w:hAnsi="Arial" w:cs="Arial"/>
                <w:sz w:val="18"/>
                <w:szCs w:val="18"/>
              </w:rPr>
              <w:t>N/A</w:t>
            </w:r>
          </w:p>
        </w:tc>
        <w:tc>
          <w:tcPr>
            <w:tcW w:w="709" w:type="dxa"/>
            <w:vAlign w:val="center"/>
          </w:tcPr>
          <w:p w:rsidR="00FE4E98" w:rsidRPr="00CE43D3" w:rsidRDefault="00FE4E98" w:rsidP="00940F47">
            <w:pPr>
              <w:jc w:val="center"/>
              <w:rPr>
                <w:rFonts w:ascii="Arial" w:hAnsi="Arial" w:cs="Arial"/>
                <w:sz w:val="18"/>
                <w:szCs w:val="18"/>
              </w:rPr>
            </w:pPr>
            <w:r w:rsidRPr="00CE43D3">
              <w:rPr>
                <w:rFonts w:ascii="Arial" w:hAnsi="Arial" w:cs="Arial"/>
                <w:sz w:val="18"/>
                <w:szCs w:val="18"/>
              </w:rPr>
              <w:t>-</w:t>
            </w:r>
          </w:p>
        </w:tc>
        <w:tc>
          <w:tcPr>
            <w:tcW w:w="2531" w:type="dxa"/>
            <w:vAlign w:val="center"/>
          </w:tcPr>
          <w:p w:rsidR="00FE4E98" w:rsidRPr="00CE43D3" w:rsidRDefault="00FE4E98" w:rsidP="00FE4E98">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FE4E98" w:rsidRPr="00CE43D3" w:rsidRDefault="00E67CC9" w:rsidP="00FE4E98">
            <w:pPr>
              <w:jc w:val="center"/>
              <w:rPr>
                <w:rFonts w:ascii="Arial" w:hAnsi="Arial" w:cs="Arial"/>
                <w:sz w:val="18"/>
                <w:szCs w:val="18"/>
              </w:rPr>
            </w:pPr>
            <w:r w:rsidRPr="00CE43D3">
              <w:rPr>
                <w:rFonts w:ascii="Arial" w:hAnsi="Arial" w:cs="Arial"/>
                <w:sz w:val="18"/>
                <w:szCs w:val="18"/>
              </w:rPr>
              <w:t>Grab</w:t>
            </w:r>
          </w:p>
        </w:tc>
        <w:tc>
          <w:tcPr>
            <w:tcW w:w="2280" w:type="dxa"/>
            <w:vAlign w:val="center"/>
          </w:tcPr>
          <w:p w:rsidR="00FE4E98" w:rsidRPr="00CE43D3" w:rsidRDefault="00FE4E98" w:rsidP="00806B7A">
            <w:pPr>
              <w:jc w:val="center"/>
              <w:rPr>
                <w:rFonts w:ascii="Arial" w:hAnsi="Arial" w:cs="Arial"/>
                <w:sz w:val="18"/>
                <w:szCs w:val="18"/>
              </w:rPr>
            </w:pPr>
            <w:r w:rsidRPr="00CE43D3">
              <w:rPr>
                <w:rFonts w:ascii="Arial" w:hAnsi="Arial" w:cs="Arial"/>
                <w:sz w:val="18"/>
                <w:szCs w:val="18"/>
              </w:rPr>
              <w:t>Same as above</w:t>
            </w:r>
          </w:p>
        </w:tc>
      </w:tr>
      <w:tr w:rsidR="00FE4E98" w:rsidRPr="00CE43D3" w:rsidTr="0080675D">
        <w:trPr>
          <w:trHeight w:val="288"/>
          <w:jc w:val="center"/>
        </w:trPr>
        <w:tc>
          <w:tcPr>
            <w:tcW w:w="2180" w:type="dxa"/>
            <w:vAlign w:val="center"/>
          </w:tcPr>
          <w:p w:rsidR="00FE4E98" w:rsidRPr="000B1151" w:rsidRDefault="00FE4E98" w:rsidP="00940F47">
            <w:pPr>
              <w:jc w:val="center"/>
              <w:rPr>
                <w:rFonts w:ascii="Arial" w:hAnsi="Arial" w:cs="Arial"/>
                <w:sz w:val="18"/>
                <w:szCs w:val="18"/>
                <w:vertAlign w:val="superscript"/>
              </w:rPr>
            </w:pPr>
            <w:r w:rsidRPr="00CE43D3">
              <w:rPr>
                <w:rFonts w:ascii="Arial" w:hAnsi="Arial" w:cs="Arial"/>
                <w:sz w:val="18"/>
                <w:szCs w:val="18"/>
              </w:rPr>
              <w:t>Total Cyanide</w:t>
            </w:r>
          </w:p>
        </w:tc>
        <w:tc>
          <w:tcPr>
            <w:tcW w:w="990"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57125</w:t>
            </w:r>
          </w:p>
        </w:tc>
        <w:tc>
          <w:tcPr>
            <w:tcW w:w="709" w:type="dxa"/>
            <w:vAlign w:val="center"/>
          </w:tcPr>
          <w:p w:rsidR="00FE4E98" w:rsidRPr="00CE43D3" w:rsidRDefault="00FE4E98" w:rsidP="00940F47">
            <w:pPr>
              <w:keepNext/>
              <w:keepLines/>
              <w:jc w:val="center"/>
              <w:rPr>
                <w:rFonts w:ascii="Arial" w:hAnsi="Arial" w:cs="Arial"/>
                <w:sz w:val="18"/>
                <w:szCs w:val="18"/>
              </w:rPr>
            </w:pPr>
            <w:r w:rsidRPr="00CE43D3">
              <w:rPr>
                <w:rFonts w:ascii="Arial" w:hAnsi="Arial" w:cs="Arial"/>
                <w:sz w:val="18"/>
                <w:szCs w:val="18"/>
              </w:rPr>
              <w:t>5.0</w:t>
            </w:r>
          </w:p>
        </w:tc>
        <w:tc>
          <w:tcPr>
            <w:tcW w:w="2531" w:type="dxa"/>
            <w:vAlign w:val="center"/>
          </w:tcPr>
          <w:p w:rsidR="00FE4E98" w:rsidRPr="00CE43D3" w:rsidRDefault="00FE4E98" w:rsidP="00FE4E98">
            <w:pPr>
              <w:jc w:val="center"/>
              <w:rPr>
                <w:rFonts w:ascii="Arial" w:hAnsi="Arial" w:cs="Arial"/>
                <w:sz w:val="18"/>
                <w:szCs w:val="18"/>
              </w:rPr>
            </w:pPr>
            <w:r w:rsidRPr="00CE43D3">
              <w:rPr>
                <w:rFonts w:ascii="Arial" w:hAnsi="Arial" w:cs="Arial"/>
                <w:sz w:val="18"/>
                <w:szCs w:val="18"/>
              </w:rPr>
              <w:t>1/Week, when discharging</w:t>
            </w:r>
          </w:p>
        </w:tc>
        <w:tc>
          <w:tcPr>
            <w:tcW w:w="1789" w:type="dxa"/>
            <w:vAlign w:val="center"/>
          </w:tcPr>
          <w:p w:rsidR="00FE4E98" w:rsidRPr="000B1151" w:rsidRDefault="000B1151" w:rsidP="00FE4E98">
            <w:pPr>
              <w:jc w:val="center"/>
              <w:rPr>
                <w:rFonts w:ascii="Arial" w:hAnsi="Arial" w:cs="Arial"/>
                <w:sz w:val="18"/>
                <w:szCs w:val="18"/>
                <w:vertAlign w:val="superscript"/>
              </w:rPr>
            </w:pPr>
            <w:r>
              <w:rPr>
                <w:rFonts w:ascii="Arial" w:hAnsi="Arial" w:cs="Arial"/>
                <w:sz w:val="18"/>
                <w:szCs w:val="18"/>
              </w:rPr>
              <w:t>See Note 5</w:t>
            </w:r>
          </w:p>
        </w:tc>
        <w:tc>
          <w:tcPr>
            <w:tcW w:w="2280" w:type="dxa"/>
            <w:vAlign w:val="center"/>
          </w:tcPr>
          <w:p w:rsidR="00FE4E98" w:rsidRPr="00CE43D3" w:rsidRDefault="00FE4E98" w:rsidP="00806B7A">
            <w:pPr>
              <w:suppressAutoHyphens/>
              <w:jc w:val="center"/>
              <w:rPr>
                <w:rFonts w:ascii="Arial" w:hAnsi="Arial" w:cs="Arial"/>
                <w:sz w:val="18"/>
                <w:szCs w:val="18"/>
              </w:rPr>
            </w:pPr>
            <w:r w:rsidRPr="00CE43D3">
              <w:rPr>
                <w:rFonts w:ascii="Arial" w:hAnsi="Arial" w:cs="Arial"/>
                <w:sz w:val="18"/>
                <w:szCs w:val="18"/>
              </w:rPr>
              <w:t>Same as above</w:t>
            </w:r>
          </w:p>
        </w:tc>
      </w:tr>
    </w:tbl>
    <w:p w:rsidR="00756BE5" w:rsidRDefault="00756BE5" w:rsidP="007872A5">
      <w:pPr>
        <w:rPr>
          <w:color w:val="00B050"/>
        </w:rPr>
      </w:pPr>
    </w:p>
    <w:p w:rsidR="00DE5C9C" w:rsidRPr="000B1151" w:rsidRDefault="00DE5C9C" w:rsidP="00940F47">
      <w:pPr>
        <w:rPr>
          <w:sz w:val="20"/>
          <w:szCs w:val="20"/>
          <w:u w:val="single"/>
        </w:rPr>
      </w:pPr>
      <w:r w:rsidRPr="000B1151">
        <w:rPr>
          <w:sz w:val="20"/>
          <w:szCs w:val="20"/>
          <w:u w:val="single"/>
        </w:rPr>
        <w:t>Table B1 Notes:</w:t>
      </w:r>
    </w:p>
    <w:p w:rsidR="00DE5C9C" w:rsidRPr="000B1151" w:rsidRDefault="00DE5C9C" w:rsidP="00B8581C">
      <w:pPr>
        <w:pStyle w:val="ListParagraph"/>
        <w:keepNext/>
        <w:keepLines/>
        <w:numPr>
          <w:ilvl w:val="0"/>
          <w:numId w:val="12"/>
        </w:numPr>
        <w:rPr>
          <w:sz w:val="20"/>
          <w:szCs w:val="20"/>
        </w:rPr>
      </w:pPr>
      <w:r w:rsidRPr="000B1151">
        <w:rPr>
          <w:sz w:val="20"/>
          <w:szCs w:val="20"/>
        </w:rPr>
        <w:t>Chemical Abstract Service</w:t>
      </w:r>
    </w:p>
    <w:p w:rsidR="00DE5C9C" w:rsidRPr="000B1151" w:rsidRDefault="00DE5C9C" w:rsidP="00B8581C">
      <w:pPr>
        <w:pStyle w:val="BodyText"/>
        <w:numPr>
          <w:ilvl w:val="0"/>
          <w:numId w:val="12"/>
        </w:numPr>
        <w:tabs>
          <w:tab w:val="left" w:pos="0"/>
        </w:tabs>
        <w:ind w:right="450"/>
        <w:outlineLvl w:val="0"/>
        <w:rPr>
          <w:rFonts w:ascii="Times New Roman" w:hAnsi="Times New Roman"/>
          <w:color w:val="000000" w:themeColor="text1"/>
          <w:sz w:val="20"/>
        </w:rPr>
      </w:pPr>
      <w:r w:rsidRPr="000B1151">
        <w:rPr>
          <w:rFonts w:ascii="Times New Roman" w:hAnsi="Times New Roman"/>
          <w:color w:val="000000" w:themeColor="text1"/>
          <w:sz w:val="20"/>
        </w:rPr>
        <w:t xml:space="preserve">Some QL’s may need methods with modification allowed by EPA’s Solutions for Analytical Chemistry Problems w/Clean Water Methods, March 2007.  </w:t>
      </w:r>
      <w:r w:rsidR="0080675D" w:rsidRPr="000B1151">
        <w:rPr>
          <w:rFonts w:ascii="Times New Roman" w:hAnsi="Times New Roman"/>
          <w:sz w:val="20"/>
        </w:rPr>
        <w:t xml:space="preserve">The units for the QL’s shown are µg/L.  </w:t>
      </w:r>
    </w:p>
    <w:p w:rsidR="00DE5C9C" w:rsidRPr="000B1151" w:rsidRDefault="00DE5C9C" w:rsidP="00B8581C">
      <w:pPr>
        <w:pStyle w:val="BodyText"/>
        <w:numPr>
          <w:ilvl w:val="0"/>
          <w:numId w:val="12"/>
        </w:numPr>
        <w:tabs>
          <w:tab w:val="left" w:pos="0"/>
        </w:tabs>
        <w:ind w:right="450"/>
        <w:outlineLvl w:val="0"/>
        <w:rPr>
          <w:rFonts w:ascii="Times New Roman" w:hAnsi="Times New Roman"/>
          <w:color w:val="000000" w:themeColor="text1"/>
          <w:sz w:val="20"/>
        </w:rPr>
      </w:pPr>
      <w:r w:rsidRPr="000B1151">
        <w:rPr>
          <w:rFonts w:ascii="Times New Roman" w:hAnsi="Times New Roman"/>
          <w:color w:val="000000" w:themeColor="text1"/>
          <w:sz w:val="20"/>
        </w:rPr>
        <w:t xml:space="preserve">Total Recoverable </w:t>
      </w:r>
    </w:p>
    <w:p w:rsidR="00756BE5" w:rsidRPr="000B1151" w:rsidRDefault="00F7004F" w:rsidP="00B8581C">
      <w:pPr>
        <w:pStyle w:val="BodyText"/>
        <w:numPr>
          <w:ilvl w:val="0"/>
          <w:numId w:val="12"/>
        </w:numPr>
        <w:tabs>
          <w:tab w:val="left" w:pos="0"/>
        </w:tabs>
        <w:ind w:right="450"/>
        <w:outlineLvl w:val="0"/>
        <w:rPr>
          <w:rFonts w:ascii="Times New Roman" w:hAnsi="Times New Roman"/>
          <w:color w:val="000000" w:themeColor="text1"/>
          <w:sz w:val="20"/>
        </w:rPr>
      </w:pPr>
      <w:r w:rsidRPr="000B1151">
        <w:rPr>
          <w:rFonts w:ascii="Times New Roman" w:hAnsi="Times New Roman"/>
          <w:color w:val="000000" w:themeColor="text1"/>
          <w:sz w:val="20"/>
        </w:rPr>
        <w:t>Monitoring is only required during weeks when discharges occur.</w:t>
      </w:r>
    </w:p>
    <w:p w:rsidR="000B1151" w:rsidRPr="000B1151" w:rsidRDefault="000B1151" w:rsidP="00B8581C">
      <w:pPr>
        <w:pStyle w:val="BodyText"/>
        <w:numPr>
          <w:ilvl w:val="0"/>
          <w:numId w:val="12"/>
        </w:numPr>
        <w:tabs>
          <w:tab w:val="left" w:pos="0"/>
        </w:tabs>
        <w:ind w:right="450"/>
        <w:outlineLvl w:val="0"/>
        <w:rPr>
          <w:rFonts w:ascii="Times New Roman" w:hAnsi="Times New Roman"/>
          <w:color w:val="000000" w:themeColor="text1"/>
          <w:sz w:val="20"/>
        </w:rPr>
      </w:pPr>
      <w:r w:rsidRPr="000B1151">
        <w:rPr>
          <w:rFonts w:ascii="Times New Roman" w:hAnsi="Times New Roman"/>
          <w:color w:val="000000" w:themeColor="text1"/>
          <w:sz w:val="20"/>
        </w:rPr>
        <w:t xml:space="preserve">When sampling for Cyanide, at least six discrete grab samples must be collected over the operating day with samples collected no less than one hour apart. The aliquot must be at least 100 </w:t>
      </w:r>
      <w:proofErr w:type="spellStart"/>
      <w:r w:rsidRPr="000B1151">
        <w:rPr>
          <w:rFonts w:ascii="Times New Roman" w:hAnsi="Times New Roman"/>
          <w:color w:val="000000" w:themeColor="text1"/>
          <w:sz w:val="20"/>
        </w:rPr>
        <w:t>mL</w:t>
      </w:r>
      <w:proofErr w:type="spellEnd"/>
      <w:r w:rsidRPr="000B1151">
        <w:rPr>
          <w:rFonts w:ascii="Times New Roman" w:hAnsi="Times New Roman"/>
          <w:color w:val="000000" w:themeColor="text1"/>
          <w:sz w:val="20"/>
        </w:rPr>
        <w:t xml:space="preserve"> and collected and composited into a larger container that has been preserved with sodium hydroxide to insure sample integrity.</w:t>
      </w:r>
    </w:p>
    <w:p w:rsidR="00004D2C" w:rsidRDefault="00004D2C">
      <w:pPr>
        <w:rPr>
          <w:color w:val="000000" w:themeColor="text1"/>
        </w:rPr>
      </w:pPr>
      <w:r>
        <w:rPr>
          <w:color w:val="000000" w:themeColor="text1"/>
        </w:rPr>
        <w:br w:type="page"/>
      </w:r>
    </w:p>
    <w:p w:rsidR="004C67AE" w:rsidRPr="00C476C6" w:rsidRDefault="004C67AE" w:rsidP="00957295">
      <w:pPr>
        <w:pStyle w:val="Heading2"/>
        <w:keepNext w:val="0"/>
        <w:keepLines w:val="0"/>
        <w:numPr>
          <w:ilvl w:val="1"/>
          <w:numId w:val="2"/>
        </w:numPr>
        <w:suppressAutoHyphens/>
        <w:spacing w:after="120"/>
        <w:rPr>
          <w:color w:val="000000" w:themeColor="text1"/>
        </w:rPr>
      </w:pPr>
      <w:r w:rsidRPr="00C476C6">
        <w:rPr>
          <w:color w:val="000000" w:themeColor="text1"/>
        </w:rPr>
        <w:lastRenderedPageBreak/>
        <w:t xml:space="preserve">Effluent </w:t>
      </w:r>
      <w:r w:rsidR="008B4725">
        <w:rPr>
          <w:color w:val="000000" w:themeColor="text1"/>
        </w:rPr>
        <w:t xml:space="preserve">Characterization </w:t>
      </w:r>
      <w:r w:rsidRPr="00C476C6">
        <w:rPr>
          <w:color w:val="000000" w:themeColor="text1"/>
        </w:rPr>
        <w:t>Monitoring</w:t>
      </w:r>
      <w:r w:rsidR="00F93EF3">
        <w:rPr>
          <w:color w:val="000000" w:themeColor="text1"/>
        </w:rPr>
        <w:t xml:space="preserve"> Requirements</w:t>
      </w:r>
    </w:p>
    <w:p w:rsidR="004C67AE" w:rsidRPr="00C476C6" w:rsidRDefault="004C67AE" w:rsidP="004C67AE">
      <w:pPr>
        <w:keepNext/>
        <w:suppressAutoHyphens/>
        <w:ind w:left="432"/>
        <w:rPr>
          <w:color w:val="000000" w:themeColor="text1"/>
        </w:rPr>
      </w:pPr>
      <w:r w:rsidRPr="00C476C6">
        <w:rPr>
          <w:color w:val="000000" w:themeColor="text1"/>
        </w:rPr>
        <w:t xml:space="preserve">The permittee must monitor effluent for </w:t>
      </w:r>
      <w:r w:rsidRPr="00DE5C9C">
        <w:rPr>
          <w:color w:val="000000" w:themeColor="text1"/>
        </w:rPr>
        <w:t>Outfall 001 at</w:t>
      </w:r>
      <w:r w:rsidRPr="00C476C6">
        <w:rPr>
          <w:color w:val="000000" w:themeColor="text1"/>
        </w:rPr>
        <w:t xml:space="preserve"> </w:t>
      </w:r>
      <w:r>
        <w:rPr>
          <w:color w:val="000000" w:themeColor="text1"/>
        </w:rPr>
        <w:t xml:space="preserve">a location after the treatment system and prior to the outfall </w:t>
      </w:r>
      <w:r w:rsidRPr="00C476C6">
        <w:rPr>
          <w:color w:val="000000" w:themeColor="text1"/>
        </w:rPr>
        <w:t>and in acc</w:t>
      </w:r>
      <w:r w:rsidR="002E581A">
        <w:rPr>
          <w:color w:val="000000" w:themeColor="text1"/>
        </w:rPr>
        <w:t>ordance with the table below.</w:t>
      </w:r>
    </w:p>
    <w:p w:rsidR="00F532C2" w:rsidRDefault="00F532C2" w:rsidP="007872A5"/>
    <w:tbl>
      <w:tblPr>
        <w:tblW w:w="10560" w:type="dxa"/>
        <w:jc w:val="center"/>
        <w:tblInd w:w="48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310"/>
        <w:gridCol w:w="1020"/>
        <w:gridCol w:w="540"/>
        <w:gridCol w:w="2520"/>
        <w:gridCol w:w="1800"/>
        <w:gridCol w:w="2370"/>
      </w:tblGrid>
      <w:tr w:rsidR="004C67AE" w:rsidRPr="00CE43D3" w:rsidTr="00334A53">
        <w:trPr>
          <w:trHeight w:hRule="exact" w:val="390"/>
          <w:jc w:val="center"/>
        </w:trPr>
        <w:tc>
          <w:tcPr>
            <w:tcW w:w="10560" w:type="dxa"/>
            <w:gridSpan w:val="6"/>
            <w:shd w:val="clear" w:color="auto" w:fill="D9D9D9" w:themeFill="background1" w:themeFillShade="D9"/>
            <w:vAlign w:val="center"/>
          </w:tcPr>
          <w:p w:rsidR="004C67AE" w:rsidRPr="00CE43D3" w:rsidRDefault="004C67AE" w:rsidP="004E3A14">
            <w:pPr>
              <w:jc w:val="center"/>
              <w:rPr>
                <w:rFonts w:ascii="Arial" w:hAnsi="Arial" w:cs="Arial"/>
                <w:b/>
                <w:sz w:val="20"/>
                <w:szCs w:val="20"/>
              </w:rPr>
            </w:pPr>
            <w:r w:rsidRPr="00CE43D3">
              <w:rPr>
                <w:rFonts w:ascii="Arial" w:hAnsi="Arial" w:cs="Arial"/>
                <w:b/>
                <w:sz w:val="20"/>
                <w:szCs w:val="20"/>
              </w:rPr>
              <w:t>Table B</w:t>
            </w:r>
            <w:r w:rsidR="00B70020" w:rsidRPr="00CE43D3">
              <w:rPr>
                <w:rFonts w:ascii="Arial" w:hAnsi="Arial" w:cs="Arial"/>
                <w:b/>
                <w:sz w:val="20"/>
                <w:szCs w:val="20"/>
              </w:rPr>
              <w:fldChar w:fldCharType="begin"/>
            </w:r>
            <w:r w:rsidRPr="00CE43D3">
              <w:rPr>
                <w:rFonts w:ascii="Arial" w:hAnsi="Arial" w:cs="Arial"/>
                <w:b/>
                <w:sz w:val="20"/>
                <w:szCs w:val="20"/>
              </w:rPr>
              <w:instrText xml:space="preserve"> SEQ Table \* ARABIC \n </w:instrText>
            </w:r>
            <w:r w:rsidR="00B70020" w:rsidRPr="00CE43D3">
              <w:rPr>
                <w:rFonts w:ascii="Arial" w:hAnsi="Arial" w:cs="Arial"/>
                <w:b/>
                <w:sz w:val="20"/>
                <w:szCs w:val="20"/>
              </w:rPr>
              <w:fldChar w:fldCharType="separate"/>
            </w:r>
            <w:r w:rsidR="00045ABB">
              <w:rPr>
                <w:rFonts w:ascii="Arial" w:hAnsi="Arial" w:cs="Arial"/>
                <w:b/>
                <w:noProof/>
                <w:sz w:val="20"/>
                <w:szCs w:val="20"/>
              </w:rPr>
              <w:t>2</w:t>
            </w:r>
            <w:r w:rsidR="00B70020" w:rsidRPr="00CE43D3">
              <w:rPr>
                <w:rFonts w:ascii="Arial" w:hAnsi="Arial" w:cs="Arial"/>
                <w:b/>
                <w:sz w:val="20"/>
                <w:szCs w:val="20"/>
              </w:rPr>
              <w:fldChar w:fldCharType="end"/>
            </w:r>
            <w:r w:rsidRPr="00CE43D3">
              <w:rPr>
                <w:rFonts w:ascii="Arial" w:hAnsi="Arial" w:cs="Arial"/>
                <w:b/>
                <w:sz w:val="20"/>
                <w:szCs w:val="20"/>
              </w:rPr>
              <w:t xml:space="preserve">: Outfall 001 </w:t>
            </w:r>
            <w:r w:rsidR="004E3A14" w:rsidRPr="00CE43D3">
              <w:rPr>
                <w:rFonts w:ascii="Arial" w:hAnsi="Arial" w:cs="Arial"/>
                <w:b/>
                <w:sz w:val="20"/>
                <w:szCs w:val="20"/>
              </w:rPr>
              <w:t>Characterization</w:t>
            </w:r>
            <w:r w:rsidRPr="00CE43D3">
              <w:rPr>
                <w:rFonts w:ascii="Arial" w:hAnsi="Arial" w:cs="Arial"/>
                <w:b/>
                <w:sz w:val="20"/>
                <w:szCs w:val="20"/>
              </w:rPr>
              <w:t xml:space="preserve"> Monitoring Requirements</w:t>
            </w:r>
          </w:p>
        </w:tc>
      </w:tr>
      <w:tr w:rsidR="004C67AE" w:rsidRPr="00CE43D3" w:rsidTr="00334A53">
        <w:trPr>
          <w:trHeight w:val="323"/>
          <w:jc w:val="center"/>
        </w:trPr>
        <w:tc>
          <w:tcPr>
            <w:tcW w:w="2310" w:type="dxa"/>
            <w:shd w:val="clear" w:color="auto" w:fill="D9D9D9" w:themeFill="background1" w:themeFillShade="D9"/>
            <w:vAlign w:val="center"/>
          </w:tcPr>
          <w:p w:rsidR="004C67AE" w:rsidRPr="00CE43D3" w:rsidRDefault="004C67AE" w:rsidP="004C67AE">
            <w:pPr>
              <w:spacing w:before="80" w:after="80"/>
              <w:jc w:val="center"/>
              <w:rPr>
                <w:rFonts w:ascii="Arial" w:hAnsi="Arial" w:cs="Arial"/>
                <w:b/>
                <w:sz w:val="18"/>
                <w:szCs w:val="18"/>
                <w:u w:val="single"/>
              </w:rPr>
            </w:pPr>
            <w:r w:rsidRPr="00CE43D3">
              <w:rPr>
                <w:rFonts w:ascii="Arial" w:hAnsi="Arial" w:cs="Arial"/>
                <w:b/>
                <w:sz w:val="18"/>
                <w:szCs w:val="18"/>
                <w:u w:val="single"/>
              </w:rPr>
              <w:t>Parameter</w:t>
            </w:r>
          </w:p>
        </w:tc>
        <w:tc>
          <w:tcPr>
            <w:tcW w:w="1020" w:type="dxa"/>
            <w:shd w:val="clear" w:color="auto" w:fill="D9D9D9" w:themeFill="background1" w:themeFillShade="D9"/>
            <w:vAlign w:val="center"/>
          </w:tcPr>
          <w:p w:rsidR="004C67AE" w:rsidRPr="00CE43D3" w:rsidRDefault="004C67AE" w:rsidP="004C67AE">
            <w:pPr>
              <w:spacing w:before="80" w:after="80"/>
              <w:jc w:val="center"/>
              <w:rPr>
                <w:rFonts w:ascii="Arial" w:hAnsi="Arial" w:cs="Arial"/>
                <w:b/>
                <w:sz w:val="18"/>
                <w:szCs w:val="18"/>
                <w:u w:val="single"/>
              </w:rPr>
            </w:pPr>
            <w:r w:rsidRPr="00CE43D3">
              <w:rPr>
                <w:rFonts w:ascii="Arial" w:hAnsi="Arial" w:cs="Arial"/>
                <w:b/>
                <w:sz w:val="18"/>
                <w:szCs w:val="18"/>
                <w:u w:val="single"/>
              </w:rPr>
              <w:t>CAS</w:t>
            </w:r>
            <w:r w:rsidRPr="00CE43D3">
              <w:rPr>
                <w:rFonts w:ascii="Arial" w:hAnsi="Arial" w:cs="Arial"/>
                <w:b/>
                <w:sz w:val="18"/>
                <w:szCs w:val="18"/>
                <w:u w:val="single"/>
                <w:vertAlign w:val="superscript"/>
              </w:rPr>
              <w:t>1</w:t>
            </w:r>
          </w:p>
        </w:tc>
        <w:tc>
          <w:tcPr>
            <w:tcW w:w="540" w:type="dxa"/>
            <w:shd w:val="clear" w:color="auto" w:fill="D9D9D9" w:themeFill="background1" w:themeFillShade="D9"/>
            <w:vAlign w:val="center"/>
          </w:tcPr>
          <w:p w:rsidR="004C67AE" w:rsidRPr="00CE43D3" w:rsidRDefault="004C67AE" w:rsidP="004C67AE">
            <w:pPr>
              <w:spacing w:before="80" w:after="80"/>
              <w:jc w:val="center"/>
              <w:rPr>
                <w:rFonts w:ascii="Arial" w:hAnsi="Arial" w:cs="Arial"/>
                <w:b/>
                <w:sz w:val="18"/>
                <w:szCs w:val="18"/>
                <w:u w:val="single"/>
                <w:vertAlign w:val="superscript"/>
              </w:rPr>
            </w:pPr>
            <w:r w:rsidRPr="00CE43D3">
              <w:rPr>
                <w:rFonts w:ascii="Arial" w:hAnsi="Arial" w:cs="Arial"/>
                <w:b/>
                <w:sz w:val="18"/>
                <w:szCs w:val="18"/>
                <w:u w:val="single"/>
              </w:rPr>
              <w:t>QL</w:t>
            </w:r>
            <w:r w:rsidRPr="00CE43D3">
              <w:rPr>
                <w:rFonts w:ascii="Arial" w:hAnsi="Arial" w:cs="Arial"/>
                <w:b/>
                <w:sz w:val="18"/>
                <w:szCs w:val="18"/>
                <w:u w:val="single"/>
                <w:vertAlign w:val="superscript"/>
              </w:rPr>
              <w:t>2</w:t>
            </w:r>
          </w:p>
        </w:tc>
        <w:tc>
          <w:tcPr>
            <w:tcW w:w="2520" w:type="dxa"/>
            <w:shd w:val="clear" w:color="auto" w:fill="D9D9D9" w:themeFill="background1" w:themeFillShade="D9"/>
            <w:vAlign w:val="center"/>
          </w:tcPr>
          <w:p w:rsidR="004C67AE" w:rsidRPr="00CE43D3" w:rsidRDefault="004C67AE" w:rsidP="004C67AE">
            <w:pPr>
              <w:spacing w:before="80" w:after="80"/>
              <w:jc w:val="center"/>
              <w:rPr>
                <w:rFonts w:ascii="Arial" w:hAnsi="Arial" w:cs="Arial"/>
                <w:b/>
                <w:sz w:val="18"/>
                <w:szCs w:val="18"/>
                <w:u w:val="single"/>
              </w:rPr>
            </w:pPr>
            <w:r w:rsidRPr="00CE43D3">
              <w:rPr>
                <w:rFonts w:ascii="Arial" w:hAnsi="Arial" w:cs="Arial"/>
                <w:b/>
                <w:sz w:val="18"/>
                <w:szCs w:val="18"/>
                <w:u w:val="single"/>
              </w:rPr>
              <w:t>Minimum Frequency</w:t>
            </w:r>
          </w:p>
        </w:tc>
        <w:tc>
          <w:tcPr>
            <w:tcW w:w="1800" w:type="dxa"/>
            <w:shd w:val="clear" w:color="auto" w:fill="D9D9D9" w:themeFill="background1" w:themeFillShade="D9"/>
            <w:vAlign w:val="center"/>
          </w:tcPr>
          <w:p w:rsidR="004C67AE" w:rsidRPr="00CE43D3" w:rsidRDefault="004C67AE" w:rsidP="004C67AE">
            <w:pPr>
              <w:spacing w:before="80" w:after="80"/>
              <w:jc w:val="center"/>
              <w:rPr>
                <w:rFonts w:ascii="Arial" w:hAnsi="Arial" w:cs="Arial"/>
                <w:b/>
                <w:sz w:val="18"/>
                <w:szCs w:val="18"/>
                <w:u w:val="single"/>
              </w:rPr>
            </w:pPr>
            <w:r w:rsidRPr="00CE43D3">
              <w:rPr>
                <w:rFonts w:ascii="Arial" w:hAnsi="Arial" w:cs="Arial"/>
                <w:b/>
                <w:sz w:val="18"/>
                <w:szCs w:val="18"/>
                <w:u w:val="single"/>
              </w:rPr>
              <w:t>Sample Type/Action</w:t>
            </w:r>
          </w:p>
        </w:tc>
        <w:tc>
          <w:tcPr>
            <w:tcW w:w="2370" w:type="dxa"/>
            <w:shd w:val="clear" w:color="auto" w:fill="D9D9D9" w:themeFill="background1" w:themeFillShade="D9"/>
            <w:vAlign w:val="center"/>
          </w:tcPr>
          <w:p w:rsidR="004C67AE" w:rsidRPr="00CE43D3" w:rsidRDefault="004C67AE" w:rsidP="004C67AE">
            <w:pPr>
              <w:spacing w:before="80" w:after="80"/>
              <w:jc w:val="center"/>
              <w:rPr>
                <w:rFonts w:ascii="Arial" w:hAnsi="Arial" w:cs="Arial"/>
                <w:b/>
                <w:sz w:val="18"/>
                <w:szCs w:val="18"/>
                <w:u w:val="single"/>
              </w:rPr>
            </w:pPr>
            <w:r w:rsidRPr="00CE43D3">
              <w:rPr>
                <w:rFonts w:ascii="Arial" w:hAnsi="Arial" w:cs="Arial"/>
                <w:b/>
                <w:sz w:val="18"/>
                <w:szCs w:val="18"/>
                <w:u w:val="single"/>
              </w:rPr>
              <w:t>Report</w:t>
            </w:r>
          </w:p>
        </w:tc>
      </w:tr>
      <w:tr w:rsidR="004C67AE" w:rsidRPr="00CE43D3" w:rsidTr="00334A53">
        <w:trPr>
          <w:trHeight w:val="259"/>
          <w:jc w:val="center"/>
        </w:trPr>
        <w:tc>
          <w:tcPr>
            <w:tcW w:w="231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Volume Discharged</w:t>
            </w:r>
          </w:p>
        </w:tc>
        <w:tc>
          <w:tcPr>
            <w:tcW w:w="102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N/A</w:t>
            </w:r>
          </w:p>
        </w:tc>
        <w:tc>
          <w:tcPr>
            <w:tcW w:w="54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Daily, when discharging</w:t>
            </w:r>
          </w:p>
        </w:tc>
        <w:tc>
          <w:tcPr>
            <w:tcW w:w="180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Metering</w:t>
            </w:r>
          </w:p>
        </w:tc>
        <w:tc>
          <w:tcPr>
            <w:tcW w:w="2370" w:type="dxa"/>
            <w:vAlign w:val="center"/>
          </w:tcPr>
          <w:p w:rsidR="004C67AE" w:rsidRPr="00CE43D3" w:rsidRDefault="004C67AE" w:rsidP="00004D2C">
            <w:pPr>
              <w:pStyle w:val="ListParagraph"/>
              <w:numPr>
                <w:ilvl w:val="0"/>
                <w:numId w:val="20"/>
              </w:numPr>
              <w:suppressAutoHyphens/>
              <w:rPr>
                <w:rFonts w:ascii="Arial" w:hAnsi="Arial" w:cs="Arial"/>
                <w:sz w:val="18"/>
                <w:szCs w:val="18"/>
              </w:rPr>
            </w:pPr>
            <w:r w:rsidRPr="00CE43D3">
              <w:rPr>
                <w:rFonts w:ascii="Arial" w:hAnsi="Arial" w:cs="Arial"/>
                <w:sz w:val="18"/>
                <w:szCs w:val="18"/>
              </w:rPr>
              <w:t>Daily values</w:t>
            </w:r>
          </w:p>
          <w:p w:rsidR="004C67AE" w:rsidRPr="00CE43D3" w:rsidRDefault="004C67AE" w:rsidP="00004D2C">
            <w:pPr>
              <w:pStyle w:val="ListParagraph"/>
              <w:numPr>
                <w:ilvl w:val="0"/>
                <w:numId w:val="20"/>
              </w:numPr>
              <w:suppressAutoHyphens/>
              <w:rPr>
                <w:rFonts w:ascii="Arial" w:hAnsi="Arial" w:cs="Arial"/>
                <w:sz w:val="18"/>
                <w:szCs w:val="18"/>
              </w:rPr>
            </w:pPr>
            <w:r w:rsidRPr="00CE43D3">
              <w:rPr>
                <w:rFonts w:ascii="Arial" w:hAnsi="Arial" w:cs="Arial"/>
                <w:sz w:val="18"/>
                <w:szCs w:val="18"/>
              </w:rPr>
              <w:t>Monthly average</w:t>
            </w:r>
          </w:p>
          <w:p w:rsidR="004C67AE" w:rsidRPr="00CE43D3" w:rsidRDefault="004C67AE" w:rsidP="00004D2C">
            <w:pPr>
              <w:pStyle w:val="ListParagraph"/>
              <w:numPr>
                <w:ilvl w:val="0"/>
                <w:numId w:val="20"/>
              </w:numPr>
              <w:suppressAutoHyphens/>
              <w:rPr>
                <w:rFonts w:ascii="Arial" w:hAnsi="Arial" w:cs="Arial"/>
                <w:sz w:val="18"/>
                <w:szCs w:val="18"/>
              </w:rPr>
            </w:pPr>
            <w:r w:rsidRPr="00CE43D3">
              <w:rPr>
                <w:rFonts w:ascii="Arial" w:hAnsi="Arial" w:cs="Arial"/>
                <w:sz w:val="18"/>
                <w:szCs w:val="18"/>
              </w:rPr>
              <w:t>Maximum daily value</w:t>
            </w:r>
          </w:p>
        </w:tc>
      </w:tr>
      <w:tr w:rsidR="004C67AE" w:rsidRPr="00CE43D3" w:rsidTr="00334A53">
        <w:trPr>
          <w:trHeight w:val="259"/>
          <w:jc w:val="center"/>
        </w:trPr>
        <w:tc>
          <w:tcPr>
            <w:tcW w:w="231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Temperature</w:t>
            </w:r>
          </w:p>
        </w:tc>
        <w:tc>
          <w:tcPr>
            <w:tcW w:w="102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N/A</w:t>
            </w:r>
          </w:p>
        </w:tc>
        <w:tc>
          <w:tcPr>
            <w:tcW w:w="54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Daily, when discharging</w:t>
            </w:r>
          </w:p>
        </w:tc>
        <w:tc>
          <w:tcPr>
            <w:tcW w:w="180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Recorder</w:t>
            </w:r>
          </w:p>
        </w:tc>
        <w:tc>
          <w:tcPr>
            <w:tcW w:w="2370" w:type="dxa"/>
            <w:vAlign w:val="center"/>
          </w:tcPr>
          <w:p w:rsidR="004C67AE" w:rsidRPr="00CE43D3" w:rsidRDefault="004C67AE" w:rsidP="00B8581C">
            <w:pPr>
              <w:pStyle w:val="ListParagraph"/>
              <w:numPr>
                <w:ilvl w:val="0"/>
                <w:numId w:val="9"/>
              </w:numPr>
              <w:suppressAutoHyphens/>
              <w:rPr>
                <w:rFonts w:ascii="Arial" w:hAnsi="Arial" w:cs="Arial"/>
                <w:sz w:val="18"/>
                <w:szCs w:val="18"/>
              </w:rPr>
            </w:pPr>
            <w:r w:rsidRPr="00CE43D3">
              <w:rPr>
                <w:rFonts w:ascii="Arial" w:hAnsi="Arial" w:cs="Arial"/>
                <w:sz w:val="18"/>
                <w:szCs w:val="18"/>
              </w:rPr>
              <w:t>Daily values</w:t>
            </w:r>
          </w:p>
          <w:p w:rsidR="004C67AE" w:rsidRPr="00CE43D3" w:rsidRDefault="004C67AE" w:rsidP="00B8581C">
            <w:pPr>
              <w:pStyle w:val="ListParagraph"/>
              <w:numPr>
                <w:ilvl w:val="0"/>
                <w:numId w:val="9"/>
              </w:numPr>
              <w:suppressAutoHyphens/>
              <w:rPr>
                <w:rFonts w:ascii="Arial" w:hAnsi="Arial" w:cs="Arial"/>
                <w:sz w:val="18"/>
                <w:szCs w:val="18"/>
              </w:rPr>
            </w:pPr>
            <w:r w:rsidRPr="00CE43D3">
              <w:rPr>
                <w:rFonts w:ascii="Arial" w:hAnsi="Arial" w:cs="Arial"/>
                <w:sz w:val="18"/>
                <w:szCs w:val="18"/>
              </w:rPr>
              <w:t>Maximum daily value</w:t>
            </w:r>
          </w:p>
          <w:p w:rsidR="004C67AE" w:rsidRPr="00CE43D3" w:rsidRDefault="004C67AE" w:rsidP="00B8581C">
            <w:pPr>
              <w:pStyle w:val="ListParagraph"/>
              <w:numPr>
                <w:ilvl w:val="0"/>
                <w:numId w:val="9"/>
              </w:numPr>
              <w:suppressAutoHyphens/>
              <w:rPr>
                <w:rFonts w:ascii="Arial" w:hAnsi="Arial" w:cs="Arial"/>
                <w:sz w:val="18"/>
                <w:szCs w:val="18"/>
              </w:rPr>
            </w:pPr>
            <w:r w:rsidRPr="00CE43D3">
              <w:rPr>
                <w:rFonts w:ascii="Arial" w:hAnsi="Arial" w:cs="Arial"/>
                <w:sz w:val="18"/>
                <w:szCs w:val="18"/>
              </w:rPr>
              <w:t xml:space="preserve">7 day moving average of daily maxima </w:t>
            </w:r>
            <w:r w:rsidR="00865571">
              <w:rPr>
                <w:rFonts w:ascii="Arial" w:hAnsi="Arial" w:cs="Arial"/>
                <w:sz w:val="18"/>
                <w:szCs w:val="18"/>
              </w:rPr>
              <w:t xml:space="preserve">       </w:t>
            </w:r>
            <w:r w:rsidRPr="00CE43D3">
              <w:rPr>
                <w:rFonts w:ascii="Arial" w:hAnsi="Arial" w:cs="Arial"/>
                <w:sz w:val="18"/>
                <w:szCs w:val="18"/>
              </w:rPr>
              <w:t>(7 DADM)</w:t>
            </w:r>
          </w:p>
          <w:p w:rsidR="004C67AE" w:rsidRPr="00CE43D3" w:rsidRDefault="004C67AE" w:rsidP="00B8581C">
            <w:pPr>
              <w:pStyle w:val="ListParagraph"/>
              <w:numPr>
                <w:ilvl w:val="0"/>
                <w:numId w:val="9"/>
              </w:numPr>
              <w:suppressAutoHyphens/>
              <w:rPr>
                <w:rFonts w:ascii="Arial" w:hAnsi="Arial" w:cs="Arial"/>
                <w:sz w:val="18"/>
                <w:szCs w:val="18"/>
              </w:rPr>
            </w:pPr>
            <w:r w:rsidRPr="00CE43D3">
              <w:rPr>
                <w:rFonts w:ascii="Arial" w:hAnsi="Arial" w:cs="Arial"/>
                <w:sz w:val="18"/>
                <w:szCs w:val="18"/>
              </w:rPr>
              <w:t>Maximum 7 DADM</w:t>
            </w:r>
          </w:p>
        </w:tc>
      </w:tr>
      <w:tr w:rsidR="004C67AE" w:rsidRPr="00CE43D3" w:rsidTr="00334A53">
        <w:trPr>
          <w:trHeight w:val="259"/>
          <w:jc w:val="center"/>
        </w:trPr>
        <w:tc>
          <w:tcPr>
            <w:tcW w:w="2310" w:type="dxa"/>
            <w:vAlign w:val="center"/>
          </w:tcPr>
          <w:p w:rsidR="004C67AE" w:rsidRPr="00CE43D3" w:rsidRDefault="004C67AE" w:rsidP="004C67AE">
            <w:pPr>
              <w:jc w:val="center"/>
              <w:rPr>
                <w:rFonts w:ascii="Arial" w:hAnsi="Arial" w:cs="Arial"/>
                <w:snapToGrid w:val="0"/>
                <w:sz w:val="18"/>
                <w:szCs w:val="18"/>
              </w:rPr>
            </w:pPr>
            <w:r w:rsidRPr="00CE43D3">
              <w:rPr>
                <w:rFonts w:ascii="Arial" w:hAnsi="Arial" w:cs="Arial"/>
                <w:snapToGrid w:val="0"/>
                <w:sz w:val="18"/>
                <w:szCs w:val="18"/>
              </w:rPr>
              <w:t>Outfall Pipe</w:t>
            </w:r>
          </w:p>
        </w:tc>
        <w:tc>
          <w:tcPr>
            <w:tcW w:w="102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N/A</w:t>
            </w:r>
          </w:p>
        </w:tc>
        <w:tc>
          <w:tcPr>
            <w:tcW w:w="54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Annual</w:t>
            </w:r>
          </w:p>
        </w:tc>
        <w:tc>
          <w:tcPr>
            <w:tcW w:w="180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Inspection</w:t>
            </w:r>
          </w:p>
        </w:tc>
        <w:tc>
          <w:tcPr>
            <w:tcW w:w="2370" w:type="dxa"/>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Narrative report of outfall condition</w:t>
            </w:r>
          </w:p>
        </w:tc>
      </w:tr>
      <w:tr w:rsidR="00FE4E98" w:rsidRPr="00CE43D3" w:rsidTr="00334A53">
        <w:trPr>
          <w:trHeight w:val="259"/>
          <w:jc w:val="center"/>
        </w:trPr>
        <w:tc>
          <w:tcPr>
            <w:tcW w:w="2310" w:type="dxa"/>
            <w:vAlign w:val="center"/>
          </w:tcPr>
          <w:p w:rsidR="00FE4E98" w:rsidRPr="00CE43D3" w:rsidRDefault="00FE4E98" w:rsidP="004C67AE">
            <w:pPr>
              <w:jc w:val="center"/>
              <w:rPr>
                <w:rFonts w:ascii="Arial" w:hAnsi="Arial" w:cs="Arial"/>
                <w:sz w:val="18"/>
                <w:szCs w:val="18"/>
              </w:rPr>
            </w:pPr>
            <w:r w:rsidRPr="00CE43D3">
              <w:rPr>
                <w:rFonts w:ascii="Arial" w:hAnsi="Arial" w:cs="Arial"/>
                <w:sz w:val="18"/>
                <w:szCs w:val="18"/>
              </w:rPr>
              <w:t>Hardness</w:t>
            </w:r>
          </w:p>
        </w:tc>
        <w:tc>
          <w:tcPr>
            <w:tcW w:w="1020" w:type="dxa"/>
            <w:vAlign w:val="center"/>
          </w:tcPr>
          <w:p w:rsidR="00FE4E98" w:rsidRPr="00CE43D3" w:rsidRDefault="00FE4E98" w:rsidP="004C67AE">
            <w:pPr>
              <w:jc w:val="center"/>
              <w:rPr>
                <w:rFonts w:ascii="Arial" w:hAnsi="Arial" w:cs="Arial"/>
                <w:sz w:val="18"/>
                <w:szCs w:val="18"/>
              </w:rPr>
            </w:pPr>
            <w:r w:rsidRPr="00CE43D3">
              <w:rPr>
                <w:rFonts w:ascii="Arial" w:hAnsi="Arial" w:cs="Arial"/>
                <w:sz w:val="18"/>
                <w:szCs w:val="18"/>
              </w:rPr>
              <w:t>N/A</w:t>
            </w:r>
          </w:p>
        </w:tc>
        <w:tc>
          <w:tcPr>
            <w:tcW w:w="540" w:type="dxa"/>
            <w:vAlign w:val="center"/>
          </w:tcPr>
          <w:p w:rsidR="00FE4E98" w:rsidRPr="00CE43D3" w:rsidRDefault="00FE4E98"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FE4E98" w:rsidRPr="00CE43D3" w:rsidRDefault="00FE4E98"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FE4E98" w:rsidRPr="00CE43D3" w:rsidRDefault="00FE4E98"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FE4E98" w:rsidRPr="00CE43D3" w:rsidRDefault="00FE4E98" w:rsidP="004C67AE">
            <w:pPr>
              <w:jc w:val="center"/>
              <w:rPr>
                <w:rFonts w:ascii="Arial" w:hAnsi="Arial" w:cs="Arial"/>
                <w:sz w:val="18"/>
                <w:szCs w:val="18"/>
              </w:rPr>
            </w:pPr>
            <w:r w:rsidRPr="00CE43D3">
              <w:rPr>
                <w:rFonts w:ascii="Arial" w:hAnsi="Arial" w:cs="Arial"/>
                <w:sz w:val="18"/>
                <w:szCs w:val="18"/>
              </w:rPr>
              <w:t>Daily Values</w:t>
            </w:r>
          </w:p>
        </w:tc>
      </w:tr>
      <w:tr w:rsidR="00D14464" w:rsidRPr="00CE43D3" w:rsidTr="00334A53">
        <w:trPr>
          <w:trHeight w:val="259"/>
          <w:jc w:val="center"/>
        </w:trPr>
        <w:tc>
          <w:tcPr>
            <w:tcW w:w="2310" w:type="dxa"/>
            <w:vAlign w:val="center"/>
          </w:tcPr>
          <w:p w:rsidR="00D14464" w:rsidRPr="000B1151" w:rsidRDefault="00D14464" w:rsidP="00FB3BE4">
            <w:pPr>
              <w:jc w:val="center"/>
              <w:rPr>
                <w:rFonts w:ascii="Arial" w:hAnsi="Arial" w:cs="Arial"/>
                <w:sz w:val="18"/>
                <w:szCs w:val="18"/>
                <w:vertAlign w:val="superscript"/>
              </w:rPr>
            </w:pPr>
            <w:r w:rsidRPr="00CE43D3">
              <w:rPr>
                <w:rFonts w:ascii="Arial" w:hAnsi="Arial" w:cs="Arial"/>
                <w:sz w:val="18"/>
                <w:szCs w:val="18"/>
              </w:rPr>
              <w:t>Free Cyanide</w:t>
            </w:r>
            <w:r w:rsidR="000B1151">
              <w:rPr>
                <w:rFonts w:ascii="Arial" w:hAnsi="Arial" w:cs="Arial"/>
                <w:sz w:val="18"/>
                <w:szCs w:val="18"/>
              </w:rPr>
              <w:t xml:space="preserve"> </w:t>
            </w:r>
          </w:p>
        </w:tc>
        <w:tc>
          <w:tcPr>
            <w:tcW w:w="1020" w:type="dxa"/>
            <w:vAlign w:val="center"/>
          </w:tcPr>
          <w:p w:rsidR="00D14464" w:rsidRPr="00CE43D3" w:rsidRDefault="00D14464" w:rsidP="00FB3BE4">
            <w:pPr>
              <w:keepNext/>
              <w:keepLines/>
              <w:jc w:val="center"/>
              <w:rPr>
                <w:rFonts w:ascii="Arial" w:hAnsi="Arial" w:cs="Arial"/>
                <w:sz w:val="18"/>
                <w:szCs w:val="18"/>
              </w:rPr>
            </w:pPr>
            <w:r w:rsidRPr="00CE43D3">
              <w:rPr>
                <w:rFonts w:ascii="Arial" w:hAnsi="Arial" w:cs="Arial"/>
                <w:sz w:val="18"/>
                <w:szCs w:val="18"/>
              </w:rPr>
              <w:t>57125</w:t>
            </w:r>
          </w:p>
        </w:tc>
        <w:tc>
          <w:tcPr>
            <w:tcW w:w="540" w:type="dxa"/>
            <w:vAlign w:val="center"/>
          </w:tcPr>
          <w:p w:rsidR="00D14464" w:rsidRPr="00CE43D3" w:rsidRDefault="00D14464" w:rsidP="00FB3BE4">
            <w:pPr>
              <w:keepNext/>
              <w:keepLines/>
              <w:jc w:val="center"/>
              <w:rPr>
                <w:rFonts w:ascii="Arial" w:hAnsi="Arial" w:cs="Arial"/>
                <w:sz w:val="18"/>
                <w:szCs w:val="18"/>
              </w:rPr>
            </w:pPr>
            <w:r w:rsidRPr="00CE43D3">
              <w:rPr>
                <w:rFonts w:ascii="Arial" w:hAnsi="Arial" w:cs="Arial"/>
                <w:sz w:val="18"/>
                <w:szCs w:val="18"/>
              </w:rPr>
              <w:t>10</w:t>
            </w:r>
          </w:p>
        </w:tc>
        <w:tc>
          <w:tcPr>
            <w:tcW w:w="2520" w:type="dxa"/>
            <w:vAlign w:val="center"/>
          </w:tcPr>
          <w:p w:rsidR="00D14464" w:rsidRPr="00CE43D3" w:rsidRDefault="00D14464" w:rsidP="00FB3BE4">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D14464" w:rsidRPr="000B1151" w:rsidRDefault="000B1151" w:rsidP="00FB3BE4">
            <w:pPr>
              <w:jc w:val="center"/>
              <w:rPr>
                <w:rFonts w:ascii="Arial" w:hAnsi="Arial" w:cs="Arial"/>
                <w:sz w:val="18"/>
                <w:szCs w:val="18"/>
                <w:vertAlign w:val="superscript"/>
              </w:rPr>
            </w:pPr>
            <w:r>
              <w:rPr>
                <w:rFonts w:ascii="Arial" w:hAnsi="Arial" w:cs="Arial"/>
                <w:sz w:val="18"/>
                <w:szCs w:val="18"/>
              </w:rPr>
              <w:t>See Note 7</w:t>
            </w:r>
          </w:p>
        </w:tc>
        <w:tc>
          <w:tcPr>
            <w:tcW w:w="2370" w:type="dxa"/>
            <w:vAlign w:val="center"/>
          </w:tcPr>
          <w:p w:rsidR="00D14464" w:rsidRPr="00CE43D3" w:rsidRDefault="00D14464" w:rsidP="00FB3BE4">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FB3BE4">
            <w:pPr>
              <w:jc w:val="center"/>
              <w:rPr>
                <w:rFonts w:ascii="Arial" w:hAnsi="Arial" w:cs="Arial"/>
                <w:sz w:val="18"/>
                <w:szCs w:val="18"/>
              </w:rPr>
            </w:pPr>
            <w:r>
              <w:rPr>
                <w:rFonts w:ascii="Arial" w:hAnsi="Arial" w:cs="Arial"/>
                <w:sz w:val="18"/>
                <w:szCs w:val="18"/>
              </w:rPr>
              <w:t>Available Cyanide</w:t>
            </w:r>
            <w:r w:rsidR="000B1151">
              <w:rPr>
                <w:rFonts w:ascii="Arial" w:hAnsi="Arial" w:cs="Arial"/>
                <w:sz w:val="18"/>
                <w:szCs w:val="18"/>
              </w:rPr>
              <w:t xml:space="preserve"> </w:t>
            </w:r>
          </w:p>
        </w:tc>
        <w:tc>
          <w:tcPr>
            <w:tcW w:w="1020" w:type="dxa"/>
            <w:vAlign w:val="center"/>
          </w:tcPr>
          <w:p w:rsidR="0080675D" w:rsidRPr="00150ADC" w:rsidRDefault="00150ADC" w:rsidP="00FB3BE4">
            <w:pPr>
              <w:keepNext/>
              <w:keepLines/>
              <w:jc w:val="center"/>
              <w:rPr>
                <w:rFonts w:ascii="Arial" w:hAnsi="Arial" w:cs="Arial"/>
                <w:color w:val="000000" w:themeColor="text1"/>
                <w:sz w:val="18"/>
                <w:szCs w:val="18"/>
              </w:rPr>
            </w:pPr>
            <w:r w:rsidRPr="00150ADC">
              <w:rPr>
                <w:rFonts w:ascii="Arial" w:hAnsi="Arial" w:cs="Arial"/>
                <w:color w:val="000000" w:themeColor="text1"/>
                <w:sz w:val="18"/>
                <w:szCs w:val="18"/>
              </w:rPr>
              <w:t>57125</w:t>
            </w:r>
          </w:p>
        </w:tc>
        <w:tc>
          <w:tcPr>
            <w:tcW w:w="540" w:type="dxa"/>
            <w:vAlign w:val="center"/>
          </w:tcPr>
          <w:p w:rsidR="0080675D" w:rsidRPr="00150ADC" w:rsidRDefault="00701995" w:rsidP="00FB3BE4">
            <w:pPr>
              <w:keepNext/>
              <w:keepLines/>
              <w:jc w:val="center"/>
              <w:rPr>
                <w:rFonts w:ascii="Arial" w:hAnsi="Arial" w:cs="Arial"/>
                <w:color w:val="000000" w:themeColor="text1"/>
                <w:sz w:val="18"/>
                <w:szCs w:val="18"/>
              </w:rPr>
            </w:pPr>
            <w:r w:rsidRPr="00150ADC">
              <w:rPr>
                <w:rFonts w:ascii="Arial" w:hAnsi="Arial" w:cs="Arial"/>
                <w:color w:val="000000" w:themeColor="text1"/>
                <w:sz w:val="18"/>
                <w:szCs w:val="18"/>
              </w:rPr>
              <w:t>-</w:t>
            </w:r>
          </w:p>
        </w:tc>
        <w:tc>
          <w:tcPr>
            <w:tcW w:w="252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0B1151" w:rsidRDefault="000B1151" w:rsidP="006360CC">
            <w:pPr>
              <w:jc w:val="center"/>
              <w:rPr>
                <w:rFonts w:ascii="Arial" w:hAnsi="Arial" w:cs="Arial"/>
                <w:sz w:val="18"/>
                <w:szCs w:val="18"/>
                <w:vertAlign w:val="superscript"/>
              </w:rPr>
            </w:pPr>
            <w:r>
              <w:rPr>
                <w:rFonts w:ascii="Arial" w:hAnsi="Arial" w:cs="Arial"/>
                <w:sz w:val="18"/>
                <w:szCs w:val="18"/>
              </w:rPr>
              <w:t>See Note 7</w:t>
            </w:r>
          </w:p>
        </w:tc>
        <w:tc>
          <w:tcPr>
            <w:tcW w:w="237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Daily Values</w:t>
            </w:r>
          </w:p>
        </w:tc>
      </w:tr>
      <w:tr w:rsidR="00D14464" w:rsidRPr="00CE43D3" w:rsidTr="00334A53">
        <w:trPr>
          <w:trHeight w:val="259"/>
          <w:jc w:val="center"/>
        </w:trPr>
        <w:tc>
          <w:tcPr>
            <w:tcW w:w="2310" w:type="dxa"/>
            <w:shd w:val="clear" w:color="auto" w:fill="D9D9D9" w:themeFill="background1" w:themeFillShade="D9"/>
            <w:vAlign w:val="center"/>
          </w:tcPr>
          <w:p w:rsidR="00D14464" w:rsidRPr="00CE43D3" w:rsidRDefault="00D14464" w:rsidP="004C67AE">
            <w:pPr>
              <w:jc w:val="center"/>
              <w:rPr>
                <w:rFonts w:ascii="Arial" w:hAnsi="Arial" w:cs="Arial"/>
                <w:sz w:val="18"/>
                <w:szCs w:val="18"/>
              </w:rPr>
            </w:pPr>
            <w:r w:rsidRPr="00CE43D3">
              <w:rPr>
                <w:rFonts w:ascii="Arial" w:hAnsi="Arial" w:cs="Arial"/>
                <w:sz w:val="18"/>
                <w:szCs w:val="18"/>
              </w:rPr>
              <w:t>PAHs</w:t>
            </w:r>
          </w:p>
        </w:tc>
        <w:tc>
          <w:tcPr>
            <w:tcW w:w="1020" w:type="dxa"/>
            <w:shd w:val="clear" w:color="auto" w:fill="D9D9D9" w:themeFill="background1" w:themeFillShade="D9"/>
            <w:vAlign w:val="center"/>
          </w:tcPr>
          <w:p w:rsidR="00D14464" w:rsidRPr="00CE43D3" w:rsidRDefault="00D14464" w:rsidP="004C67AE">
            <w:pPr>
              <w:jc w:val="center"/>
              <w:rPr>
                <w:rFonts w:ascii="Arial" w:hAnsi="Arial" w:cs="Arial"/>
                <w:sz w:val="18"/>
                <w:szCs w:val="18"/>
              </w:rPr>
            </w:pPr>
          </w:p>
        </w:tc>
        <w:tc>
          <w:tcPr>
            <w:tcW w:w="540" w:type="dxa"/>
            <w:shd w:val="clear" w:color="auto" w:fill="D9D9D9" w:themeFill="background1" w:themeFillShade="D9"/>
            <w:vAlign w:val="center"/>
          </w:tcPr>
          <w:p w:rsidR="00D14464" w:rsidRPr="00CE43D3" w:rsidRDefault="00D14464" w:rsidP="004C67AE">
            <w:pPr>
              <w:jc w:val="center"/>
              <w:rPr>
                <w:rFonts w:ascii="Arial" w:hAnsi="Arial" w:cs="Arial"/>
                <w:sz w:val="18"/>
                <w:szCs w:val="18"/>
              </w:rPr>
            </w:pPr>
          </w:p>
        </w:tc>
        <w:tc>
          <w:tcPr>
            <w:tcW w:w="2520" w:type="dxa"/>
            <w:shd w:val="clear" w:color="auto" w:fill="D9D9D9" w:themeFill="background1" w:themeFillShade="D9"/>
            <w:vAlign w:val="center"/>
          </w:tcPr>
          <w:p w:rsidR="00D14464" w:rsidRPr="00CE43D3" w:rsidRDefault="00D14464" w:rsidP="004C67AE">
            <w:pPr>
              <w:jc w:val="center"/>
              <w:rPr>
                <w:rFonts w:ascii="Arial" w:hAnsi="Arial" w:cs="Arial"/>
                <w:sz w:val="18"/>
                <w:szCs w:val="18"/>
              </w:rPr>
            </w:pPr>
          </w:p>
        </w:tc>
        <w:tc>
          <w:tcPr>
            <w:tcW w:w="1800" w:type="dxa"/>
            <w:shd w:val="clear" w:color="auto" w:fill="D9D9D9" w:themeFill="background1" w:themeFillShade="D9"/>
            <w:vAlign w:val="center"/>
          </w:tcPr>
          <w:p w:rsidR="00D14464" w:rsidRPr="00CE43D3" w:rsidRDefault="00D14464" w:rsidP="004C67AE">
            <w:pPr>
              <w:jc w:val="center"/>
              <w:rPr>
                <w:rFonts w:ascii="Arial" w:hAnsi="Arial" w:cs="Arial"/>
                <w:sz w:val="18"/>
                <w:szCs w:val="18"/>
              </w:rPr>
            </w:pPr>
          </w:p>
        </w:tc>
        <w:tc>
          <w:tcPr>
            <w:tcW w:w="2370" w:type="dxa"/>
            <w:shd w:val="clear" w:color="auto" w:fill="D9D9D9" w:themeFill="background1" w:themeFillShade="D9"/>
            <w:vAlign w:val="center"/>
          </w:tcPr>
          <w:p w:rsidR="00D14464" w:rsidRPr="00CE43D3" w:rsidRDefault="00D14464" w:rsidP="004C67AE">
            <w:pPr>
              <w:jc w:val="center"/>
              <w:rPr>
                <w:rFonts w:ascii="Arial" w:hAnsi="Arial" w:cs="Arial"/>
                <w:sz w:val="18"/>
                <w:szCs w:val="18"/>
              </w:rPr>
            </w:pPr>
          </w:p>
        </w:tc>
      </w:tr>
      <w:tr w:rsidR="00D14464" w:rsidRPr="00CE43D3" w:rsidTr="00334A53">
        <w:trPr>
          <w:trHeight w:val="259"/>
          <w:jc w:val="center"/>
        </w:trPr>
        <w:tc>
          <w:tcPr>
            <w:tcW w:w="2310" w:type="dxa"/>
            <w:vAlign w:val="center"/>
          </w:tcPr>
          <w:p w:rsidR="00D14464" w:rsidRPr="00CE43D3" w:rsidRDefault="00D14464" w:rsidP="004C67AE">
            <w:pPr>
              <w:jc w:val="center"/>
              <w:rPr>
                <w:rFonts w:ascii="Arial" w:hAnsi="Arial" w:cs="Arial"/>
                <w:sz w:val="18"/>
                <w:szCs w:val="18"/>
              </w:rPr>
            </w:pPr>
            <w:proofErr w:type="spellStart"/>
            <w:r w:rsidRPr="00CE43D3">
              <w:rPr>
                <w:rFonts w:ascii="Arial" w:hAnsi="Arial" w:cs="Arial"/>
                <w:sz w:val="18"/>
                <w:szCs w:val="18"/>
              </w:rPr>
              <w:t>Acenaphthene</w:t>
            </w:r>
            <w:proofErr w:type="spellEnd"/>
          </w:p>
        </w:tc>
        <w:tc>
          <w:tcPr>
            <w:tcW w:w="1020" w:type="dxa"/>
            <w:vAlign w:val="center"/>
          </w:tcPr>
          <w:p w:rsidR="00D14464" w:rsidRPr="00CE43D3" w:rsidRDefault="00D14464" w:rsidP="004C67AE">
            <w:pPr>
              <w:keepNext/>
              <w:keepLines/>
              <w:jc w:val="center"/>
              <w:rPr>
                <w:sz w:val="20"/>
              </w:rPr>
            </w:pPr>
            <w:r w:rsidRPr="00CE43D3">
              <w:rPr>
                <w:sz w:val="20"/>
              </w:rPr>
              <w:t>83329</w:t>
            </w:r>
          </w:p>
        </w:tc>
        <w:tc>
          <w:tcPr>
            <w:tcW w:w="540" w:type="dxa"/>
            <w:vAlign w:val="center"/>
          </w:tcPr>
          <w:p w:rsidR="00D14464" w:rsidRPr="00CE43D3" w:rsidRDefault="00D14464" w:rsidP="004C67AE">
            <w:pPr>
              <w:keepNext/>
              <w:keepLines/>
              <w:jc w:val="center"/>
              <w:rPr>
                <w:sz w:val="20"/>
              </w:rPr>
            </w:pPr>
            <w:r w:rsidRPr="00CE43D3">
              <w:rPr>
                <w:sz w:val="20"/>
              </w:rPr>
              <w:t>1.0</w:t>
            </w:r>
          </w:p>
        </w:tc>
        <w:tc>
          <w:tcPr>
            <w:tcW w:w="2520" w:type="dxa"/>
            <w:vAlign w:val="center"/>
          </w:tcPr>
          <w:p w:rsidR="00D14464" w:rsidRPr="00CE43D3" w:rsidRDefault="00D14464"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D14464" w:rsidRPr="00CE43D3" w:rsidRDefault="00D14464"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D14464" w:rsidRPr="00CE43D3" w:rsidRDefault="00D14464" w:rsidP="002E581A">
            <w:pPr>
              <w:jc w:val="center"/>
              <w:rPr>
                <w:rFonts w:ascii="Arial" w:hAnsi="Arial" w:cs="Arial"/>
                <w:sz w:val="18"/>
                <w:szCs w:val="18"/>
              </w:rPr>
            </w:pPr>
            <w:r w:rsidRPr="00CE43D3">
              <w:rPr>
                <w:rFonts w:ascii="Arial" w:hAnsi="Arial" w:cs="Arial"/>
                <w:sz w:val="18"/>
                <w:szCs w:val="18"/>
              </w:rPr>
              <w:t>Daily Values</w:t>
            </w:r>
          </w:p>
        </w:tc>
      </w:tr>
      <w:tr w:rsidR="00D14464" w:rsidRPr="00CE43D3" w:rsidTr="00334A53">
        <w:trPr>
          <w:trHeight w:val="259"/>
          <w:jc w:val="center"/>
        </w:trPr>
        <w:tc>
          <w:tcPr>
            <w:tcW w:w="2310" w:type="dxa"/>
            <w:vAlign w:val="center"/>
          </w:tcPr>
          <w:p w:rsidR="00D14464" w:rsidRPr="00CE43D3" w:rsidRDefault="00D14464" w:rsidP="004C67AE">
            <w:pPr>
              <w:jc w:val="center"/>
              <w:rPr>
                <w:rFonts w:ascii="Arial" w:hAnsi="Arial" w:cs="Arial"/>
                <w:sz w:val="18"/>
                <w:szCs w:val="18"/>
              </w:rPr>
            </w:pPr>
            <w:proofErr w:type="spellStart"/>
            <w:r w:rsidRPr="00CE43D3">
              <w:rPr>
                <w:rFonts w:ascii="Arial" w:hAnsi="Arial" w:cs="Arial"/>
                <w:sz w:val="18"/>
                <w:szCs w:val="18"/>
              </w:rPr>
              <w:t>Acenaphthylene</w:t>
            </w:r>
            <w:proofErr w:type="spellEnd"/>
          </w:p>
        </w:tc>
        <w:tc>
          <w:tcPr>
            <w:tcW w:w="1020" w:type="dxa"/>
            <w:vAlign w:val="center"/>
          </w:tcPr>
          <w:p w:rsidR="00D14464" w:rsidRPr="00CE43D3" w:rsidRDefault="00D14464" w:rsidP="004C67AE">
            <w:pPr>
              <w:keepNext/>
              <w:keepLines/>
              <w:jc w:val="center"/>
              <w:rPr>
                <w:sz w:val="20"/>
              </w:rPr>
            </w:pPr>
            <w:r w:rsidRPr="00CE43D3">
              <w:rPr>
                <w:sz w:val="20"/>
              </w:rPr>
              <w:t>208968</w:t>
            </w:r>
          </w:p>
        </w:tc>
        <w:tc>
          <w:tcPr>
            <w:tcW w:w="540" w:type="dxa"/>
            <w:vAlign w:val="center"/>
          </w:tcPr>
          <w:p w:rsidR="00D14464" w:rsidRPr="00CE43D3" w:rsidRDefault="00D14464" w:rsidP="004C67AE">
            <w:pPr>
              <w:keepNext/>
              <w:keepLines/>
              <w:jc w:val="center"/>
              <w:rPr>
                <w:sz w:val="20"/>
              </w:rPr>
            </w:pPr>
            <w:r w:rsidRPr="00CE43D3">
              <w:rPr>
                <w:sz w:val="20"/>
              </w:rPr>
              <w:t>1.0</w:t>
            </w:r>
          </w:p>
        </w:tc>
        <w:tc>
          <w:tcPr>
            <w:tcW w:w="2520" w:type="dxa"/>
            <w:vAlign w:val="center"/>
          </w:tcPr>
          <w:p w:rsidR="00D14464" w:rsidRPr="00CE43D3" w:rsidRDefault="00D14464"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D14464" w:rsidRPr="00CE43D3" w:rsidRDefault="00D14464"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D14464" w:rsidRPr="00CE43D3" w:rsidRDefault="00D14464" w:rsidP="002E581A">
            <w:pPr>
              <w:jc w:val="center"/>
              <w:rPr>
                <w:rFonts w:ascii="Arial" w:hAnsi="Arial" w:cs="Arial"/>
                <w:sz w:val="18"/>
                <w:szCs w:val="18"/>
              </w:rPr>
            </w:pPr>
            <w:r w:rsidRPr="00CE43D3">
              <w:rPr>
                <w:rFonts w:ascii="Arial" w:hAnsi="Arial" w:cs="Arial"/>
                <w:sz w:val="18"/>
                <w:szCs w:val="18"/>
              </w:rPr>
              <w:t>Daily Values</w:t>
            </w:r>
          </w:p>
        </w:tc>
      </w:tr>
      <w:tr w:rsidR="00D14464" w:rsidRPr="00CE43D3" w:rsidTr="00334A53">
        <w:trPr>
          <w:trHeight w:val="259"/>
          <w:jc w:val="center"/>
        </w:trPr>
        <w:tc>
          <w:tcPr>
            <w:tcW w:w="2310" w:type="dxa"/>
            <w:vAlign w:val="center"/>
          </w:tcPr>
          <w:p w:rsidR="00D14464" w:rsidRPr="00CE43D3" w:rsidRDefault="00D14464" w:rsidP="004C67AE">
            <w:pPr>
              <w:jc w:val="center"/>
              <w:rPr>
                <w:rFonts w:ascii="Arial" w:hAnsi="Arial" w:cs="Arial"/>
                <w:sz w:val="18"/>
                <w:szCs w:val="18"/>
              </w:rPr>
            </w:pPr>
            <w:proofErr w:type="spellStart"/>
            <w:r w:rsidRPr="00CE43D3">
              <w:rPr>
                <w:rFonts w:ascii="Arial" w:hAnsi="Arial" w:cs="Arial"/>
                <w:sz w:val="18"/>
                <w:szCs w:val="18"/>
              </w:rPr>
              <w:t>Anthracene</w:t>
            </w:r>
            <w:proofErr w:type="spellEnd"/>
          </w:p>
        </w:tc>
        <w:tc>
          <w:tcPr>
            <w:tcW w:w="1020" w:type="dxa"/>
            <w:vAlign w:val="center"/>
          </w:tcPr>
          <w:p w:rsidR="00D14464" w:rsidRPr="00CE43D3" w:rsidRDefault="00D14464" w:rsidP="004C67AE">
            <w:pPr>
              <w:keepNext/>
              <w:keepLines/>
              <w:jc w:val="center"/>
              <w:rPr>
                <w:sz w:val="20"/>
              </w:rPr>
            </w:pPr>
            <w:r w:rsidRPr="00CE43D3">
              <w:rPr>
                <w:sz w:val="20"/>
              </w:rPr>
              <w:t>120127</w:t>
            </w:r>
          </w:p>
        </w:tc>
        <w:tc>
          <w:tcPr>
            <w:tcW w:w="540" w:type="dxa"/>
            <w:vAlign w:val="center"/>
          </w:tcPr>
          <w:p w:rsidR="00D14464" w:rsidRPr="00CE43D3" w:rsidRDefault="00D14464" w:rsidP="004C67AE">
            <w:pPr>
              <w:keepNext/>
              <w:keepLines/>
              <w:jc w:val="center"/>
              <w:rPr>
                <w:sz w:val="20"/>
              </w:rPr>
            </w:pPr>
            <w:r w:rsidRPr="00CE43D3">
              <w:rPr>
                <w:sz w:val="20"/>
              </w:rPr>
              <w:t>1.0</w:t>
            </w:r>
          </w:p>
        </w:tc>
        <w:tc>
          <w:tcPr>
            <w:tcW w:w="2520" w:type="dxa"/>
            <w:vAlign w:val="center"/>
          </w:tcPr>
          <w:p w:rsidR="00D14464" w:rsidRPr="00CE43D3" w:rsidRDefault="00D14464"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D14464" w:rsidRPr="00CE43D3" w:rsidRDefault="00D14464"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D14464" w:rsidRPr="00CE43D3" w:rsidRDefault="00D14464" w:rsidP="002E581A">
            <w:pPr>
              <w:jc w:val="center"/>
              <w:rPr>
                <w:rFonts w:ascii="Arial" w:hAnsi="Arial" w:cs="Arial"/>
                <w:sz w:val="18"/>
                <w:szCs w:val="18"/>
              </w:rPr>
            </w:pPr>
            <w:r w:rsidRPr="00CE43D3">
              <w:rPr>
                <w:rFonts w:ascii="Arial" w:hAnsi="Arial" w:cs="Arial"/>
                <w:sz w:val="18"/>
                <w:szCs w:val="18"/>
              </w:rPr>
              <w:t>Daily Values</w:t>
            </w:r>
          </w:p>
        </w:tc>
      </w:tr>
      <w:tr w:rsidR="00D14464" w:rsidRPr="00CE43D3" w:rsidTr="00334A53">
        <w:trPr>
          <w:trHeight w:val="259"/>
          <w:jc w:val="center"/>
        </w:trPr>
        <w:tc>
          <w:tcPr>
            <w:tcW w:w="2310" w:type="dxa"/>
            <w:vAlign w:val="center"/>
          </w:tcPr>
          <w:p w:rsidR="00D14464" w:rsidRPr="00CE43D3" w:rsidRDefault="00D14464" w:rsidP="004C67AE">
            <w:pPr>
              <w:jc w:val="center"/>
              <w:rPr>
                <w:rFonts w:ascii="Arial" w:hAnsi="Arial" w:cs="Arial"/>
                <w:sz w:val="18"/>
                <w:szCs w:val="18"/>
              </w:rPr>
            </w:pPr>
            <w:proofErr w:type="spellStart"/>
            <w:r w:rsidRPr="00CE43D3">
              <w:rPr>
                <w:rFonts w:ascii="Arial" w:hAnsi="Arial" w:cs="Arial"/>
                <w:sz w:val="18"/>
                <w:szCs w:val="18"/>
              </w:rPr>
              <w:t>Benzo</w:t>
            </w:r>
            <w:proofErr w:type="spellEnd"/>
            <w:r w:rsidRPr="00CE43D3">
              <w:rPr>
                <w:rFonts w:ascii="Arial" w:hAnsi="Arial" w:cs="Arial"/>
                <w:sz w:val="18"/>
                <w:szCs w:val="18"/>
              </w:rPr>
              <w:t>(b)</w:t>
            </w:r>
            <w:proofErr w:type="spellStart"/>
            <w:r w:rsidRPr="00CE43D3">
              <w:rPr>
                <w:rFonts w:ascii="Arial" w:hAnsi="Arial" w:cs="Arial"/>
                <w:sz w:val="18"/>
                <w:szCs w:val="18"/>
              </w:rPr>
              <w:t>flouranthene</w:t>
            </w:r>
            <w:proofErr w:type="spellEnd"/>
            <w:r w:rsidRPr="00CE43D3">
              <w:rPr>
                <w:rFonts w:ascii="Arial" w:hAnsi="Arial" w:cs="Arial"/>
                <w:sz w:val="18"/>
                <w:szCs w:val="18"/>
              </w:rPr>
              <w:t xml:space="preserve"> 3,4</w:t>
            </w:r>
          </w:p>
        </w:tc>
        <w:tc>
          <w:tcPr>
            <w:tcW w:w="1020" w:type="dxa"/>
            <w:vAlign w:val="center"/>
          </w:tcPr>
          <w:p w:rsidR="00D14464" w:rsidRPr="00CE43D3" w:rsidRDefault="00D14464" w:rsidP="004C67AE">
            <w:pPr>
              <w:keepNext/>
              <w:keepLines/>
              <w:jc w:val="center"/>
              <w:rPr>
                <w:sz w:val="20"/>
              </w:rPr>
            </w:pPr>
            <w:r w:rsidRPr="00CE43D3">
              <w:rPr>
                <w:sz w:val="20"/>
              </w:rPr>
              <w:t>205992</w:t>
            </w:r>
          </w:p>
        </w:tc>
        <w:tc>
          <w:tcPr>
            <w:tcW w:w="540" w:type="dxa"/>
            <w:vAlign w:val="center"/>
          </w:tcPr>
          <w:p w:rsidR="00D14464" w:rsidRPr="00CE43D3" w:rsidRDefault="00D14464" w:rsidP="004C67AE">
            <w:pPr>
              <w:keepNext/>
              <w:keepLines/>
              <w:jc w:val="center"/>
              <w:rPr>
                <w:sz w:val="20"/>
              </w:rPr>
            </w:pPr>
            <w:r w:rsidRPr="00CE43D3">
              <w:rPr>
                <w:sz w:val="20"/>
              </w:rPr>
              <w:t>1.0</w:t>
            </w:r>
          </w:p>
        </w:tc>
        <w:tc>
          <w:tcPr>
            <w:tcW w:w="2520" w:type="dxa"/>
            <w:vAlign w:val="center"/>
          </w:tcPr>
          <w:p w:rsidR="00D14464" w:rsidRPr="00CE43D3" w:rsidRDefault="00D14464"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D14464" w:rsidRPr="00CE43D3" w:rsidRDefault="00D14464"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D14464" w:rsidRPr="00CE43D3" w:rsidRDefault="00D14464" w:rsidP="002E581A">
            <w:pPr>
              <w:jc w:val="center"/>
              <w:rPr>
                <w:rFonts w:ascii="Arial" w:hAnsi="Arial" w:cs="Arial"/>
                <w:sz w:val="18"/>
                <w:szCs w:val="18"/>
              </w:rPr>
            </w:pPr>
            <w:r w:rsidRPr="00CE43D3">
              <w:rPr>
                <w:rFonts w:ascii="Arial" w:hAnsi="Arial" w:cs="Arial"/>
                <w:sz w:val="18"/>
                <w:szCs w:val="18"/>
              </w:rPr>
              <w:t>Daily Values</w:t>
            </w:r>
          </w:p>
        </w:tc>
      </w:tr>
      <w:tr w:rsidR="00D14464" w:rsidRPr="00CE43D3" w:rsidTr="00334A53">
        <w:trPr>
          <w:trHeight w:val="259"/>
          <w:jc w:val="center"/>
        </w:trPr>
        <w:tc>
          <w:tcPr>
            <w:tcW w:w="2310" w:type="dxa"/>
            <w:vAlign w:val="center"/>
          </w:tcPr>
          <w:p w:rsidR="00D14464" w:rsidRPr="00CE43D3" w:rsidRDefault="00D14464" w:rsidP="004C67AE">
            <w:pPr>
              <w:jc w:val="center"/>
              <w:rPr>
                <w:rFonts w:ascii="Arial" w:hAnsi="Arial" w:cs="Arial"/>
                <w:sz w:val="18"/>
                <w:szCs w:val="18"/>
              </w:rPr>
            </w:pPr>
            <w:proofErr w:type="spellStart"/>
            <w:r w:rsidRPr="00CE43D3">
              <w:rPr>
                <w:rFonts w:ascii="Arial" w:hAnsi="Arial" w:cs="Arial"/>
                <w:sz w:val="18"/>
                <w:szCs w:val="18"/>
              </w:rPr>
              <w:t>Benzo</w:t>
            </w:r>
            <w:proofErr w:type="spellEnd"/>
            <w:r w:rsidRPr="00CE43D3">
              <w:rPr>
                <w:rFonts w:ascii="Arial" w:hAnsi="Arial" w:cs="Arial"/>
                <w:sz w:val="18"/>
                <w:szCs w:val="18"/>
              </w:rPr>
              <w:t>(k)</w:t>
            </w:r>
            <w:proofErr w:type="spellStart"/>
            <w:r w:rsidRPr="00CE43D3">
              <w:rPr>
                <w:rFonts w:ascii="Arial" w:hAnsi="Arial" w:cs="Arial"/>
                <w:sz w:val="18"/>
                <w:szCs w:val="18"/>
              </w:rPr>
              <w:t>flouranthene</w:t>
            </w:r>
            <w:proofErr w:type="spellEnd"/>
          </w:p>
        </w:tc>
        <w:tc>
          <w:tcPr>
            <w:tcW w:w="1020" w:type="dxa"/>
            <w:vAlign w:val="center"/>
          </w:tcPr>
          <w:p w:rsidR="00D14464" w:rsidRPr="00CE43D3" w:rsidRDefault="00D14464" w:rsidP="004C67AE">
            <w:pPr>
              <w:keepNext/>
              <w:keepLines/>
              <w:jc w:val="center"/>
              <w:rPr>
                <w:sz w:val="20"/>
              </w:rPr>
            </w:pPr>
            <w:r w:rsidRPr="00CE43D3">
              <w:rPr>
                <w:sz w:val="20"/>
              </w:rPr>
              <w:t>207089</w:t>
            </w:r>
          </w:p>
        </w:tc>
        <w:tc>
          <w:tcPr>
            <w:tcW w:w="540" w:type="dxa"/>
            <w:vAlign w:val="center"/>
          </w:tcPr>
          <w:p w:rsidR="00D14464" w:rsidRPr="00CE43D3" w:rsidRDefault="00D14464" w:rsidP="004C67AE">
            <w:pPr>
              <w:keepNext/>
              <w:keepLines/>
              <w:jc w:val="center"/>
              <w:rPr>
                <w:sz w:val="20"/>
              </w:rPr>
            </w:pPr>
            <w:r w:rsidRPr="00CE43D3">
              <w:rPr>
                <w:sz w:val="20"/>
              </w:rPr>
              <w:t>1.0</w:t>
            </w:r>
          </w:p>
        </w:tc>
        <w:tc>
          <w:tcPr>
            <w:tcW w:w="2520" w:type="dxa"/>
            <w:vAlign w:val="center"/>
          </w:tcPr>
          <w:p w:rsidR="00D14464" w:rsidRPr="00CE43D3" w:rsidRDefault="00D14464"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D14464" w:rsidRPr="00CE43D3" w:rsidRDefault="00D14464"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D14464" w:rsidRPr="00CE43D3" w:rsidRDefault="00D14464" w:rsidP="002E581A">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proofErr w:type="spellStart"/>
            <w:r>
              <w:rPr>
                <w:rFonts w:ascii="Arial" w:hAnsi="Arial" w:cs="Arial"/>
                <w:sz w:val="18"/>
                <w:szCs w:val="18"/>
              </w:rPr>
              <w:t>Benzo</w:t>
            </w:r>
            <w:proofErr w:type="spellEnd"/>
            <w:r>
              <w:rPr>
                <w:rFonts w:ascii="Arial" w:hAnsi="Arial" w:cs="Arial"/>
                <w:sz w:val="18"/>
                <w:szCs w:val="18"/>
              </w:rPr>
              <w:t>(</w:t>
            </w:r>
            <w:proofErr w:type="spellStart"/>
            <w:r>
              <w:rPr>
                <w:rFonts w:ascii="Arial" w:hAnsi="Arial" w:cs="Arial"/>
                <w:sz w:val="18"/>
                <w:szCs w:val="18"/>
              </w:rPr>
              <w:t>g,h,i</w:t>
            </w:r>
            <w:proofErr w:type="spellEnd"/>
            <w:r>
              <w:rPr>
                <w:rFonts w:ascii="Arial" w:hAnsi="Arial" w:cs="Arial"/>
                <w:sz w:val="18"/>
                <w:szCs w:val="18"/>
              </w:rPr>
              <w:t>)</w:t>
            </w:r>
            <w:proofErr w:type="spellStart"/>
            <w:r>
              <w:rPr>
                <w:rFonts w:ascii="Arial" w:hAnsi="Arial" w:cs="Arial"/>
                <w:sz w:val="18"/>
                <w:szCs w:val="18"/>
              </w:rPr>
              <w:t>perylene</w:t>
            </w:r>
            <w:proofErr w:type="spellEnd"/>
          </w:p>
        </w:tc>
        <w:tc>
          <w:tcPr>
            <w:tcW w:w="1020" w:type="dxa"/>
            <w:vAlign w:val="center"/>
          </w:tcPr>
          <w:p w:rsidR="0080675D" w:rsidRPr="00CE43D3" w:rsidRDefault="0080675D" w:rsidP="004C67AE">
            <w:pPr>
              <w:jc w:val="center"/>
              <w:rPr>
                <w:rFonts w:ascii="Arial" w:hAnsi="Arial" w:cs="Arial"/>
                <w:sz w:val="18"/>
                <w:szCs w:val="18"/>
              </w:rPr>
            </w:pPr>
            <w:r>
              <w:rPr>
                <w:rFonts w:ascii="Arial" w:hAnsi="Arial" w:cs="Arial"/>
                <w:sz w:val="18"/>
                <w:szCs w:val="18"/>
              </w:rPr>
              <w:t>191242</w:t>
            </w:r>
          </w:p>
        </w:tc>
        <w:tc>
          <w:tcPr>
            <w:tcW w:w="540" w:type="dxa"/>
            <w:vAlign w:val="center"/>
          </w:tcPr>
          <w:p w:rsidR="0080675D" w:rsidRPr="00CE43D3" w:rsidRDefault="0080675D" w:rsidP="004C67AE">
            <w:pPr>
              <w:jc w:val="center"/>
              <w:rPr>
                <w:rFonts w:ascii="Arial" w:hAnsi="Arial" w:cs="Arial"/>
                <w:sz w:val="18"/>
                <w:szCs w:val="18"/>
              </w:rPr>
            </w:pPr>
            <w:r w:rsidRPr="00CE43D3">
              <w:rPr>
                <w:sz w:val="20"/>
              </w:rPr>
              <w:t>1.0</w:t>
            </w:r>
          </w:p>
        </w:tc>
        <w:tc>
          <w:tcPr>
            <w:tcW w:w="252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proofErr w:type="spellStart"/>
            <w:r w:rsidRPr="00CE43D3">
              <w:rPr>
                <w:rFonts w:ascii="Arial" w:hAnsi="Arial" w:cs="Arial"/>
                <w:sz w:val="18"/>
                <w:szCs w:val="18"/>
              </w:rPr>
              <w:t>Carbazole</w:t>
            </w:r>
            <w:proofErr w:type="spellEnd"/>
          </w:p>
        </w:tc>
        <w:tc>
          <w:tcPr>
            <w:tcW w:w="10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86748</w:t>
            </w:r>
          </w:p>
        </w:tc>
        <w:tc>
          <w:tcPr>
            <w:tcW w:w="54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80675D" w:rsidRPr="00CE43D3" w:rsidRDefault="0080675D" w:rsidP="002E581A">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Chrysene</w:t>
            </w:r>
          </w:p>
        </w:tc>
        <w:tc>
          <w:tcPr>
            <w:tcW w:w="1020" w:type="dxa"/>
            <w:vAlign w:val="center"/>
          </w:tcPr>
          <w:p w:rsidR="0080675D" w:rsidRPr="00CE43D3" w:rsidRDefault="0080675D" w:rsidP="004C67AE">
            <w:pPr>
              <w:keepNext/>
              <w:keepLines/>
              <w:jc w:val="center"/>
              <w:rPr>
                <w:sz w:val="20"/>
              </w:rPr>
            </w:pPr>
            <w:r w:rsidRPr="00CE43D3">
              <w:rPr>
                <w:sz w:val="20"/>
              </w:rPr>
              <w:t>218019</w:t>
            </w:r>
          </w:p>
        </w:tc>
        <w:tc>
          <w:tcPr>
            <w:tcW w:w="540" w:type="dxa"/>
            <w:vAlign w:val="center"/>
          </w:tcPr>
          <w:p w:rsidR="0080675D" w:rsidRPr="00CE43D3" w:rsidRDefault="0080675D" w:rsidP="004C67AE">
            <w:pPr>
              <w:keepNext/>
              <w:keepLines/>
              <w:jc w:val="center"/>
              <w:rPr>
                <w:sz w:val="20"/>
              </w:rPr>
            </w:pPr>
            <w:r w:rsidRPr="00CE43D3">
              <w:rPr>
                <w:sz w:val="20"/>
              </w:rPr>
              <w:t>1.0</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80675D" w:rsidRPr="00CE43D3" w:rsidRDefault="0080675D" w:rsidP="002E581A">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proofErr w:type="spellStart"/>
            <w:r w:rsidRPr="00CE43D3">
              <w:rPr>
                <w:rFonts w:ascii="Arial" w:hAnsi="Arial" w:cs="Arial"/>
                <w:sz w:val="18"/>
                <w:szCs w:val="18"/>
              </w:rPr>
              <w:t>Dibenzofuran</w:t>
            </w:r>
            <w:proofErr w:type="spellEnd"/>
          </w:p>
        </w:tc>
        <w:tc>
          <w:tcPr>
            <w:tcW w:w="1020" w:type="dxa"/>
            <w:vAlign w:val="center"/>
          </w:tcPr>
          <w:p w:rsidR="0080675D" w:rsidRPr="00CE43D3" w:rsidRDefault="0080675D" w:rsidP="004C67AE">
            <w:pPr>
              <w:keepNext/>
              <w:keepLines/>
              <w:jc w:val="center"/>
              <w:rPr>
                <w:rFonts w:ascii="Arial" w:hAnsi="Arial" w:cs="Arial"/>
                <w:sz w:val="18"/>
                <w:szCs w:val="18"/>
              </w:rPr>
            </w:pPr>
            <w:r w:rsidRPr="00CE43D3">
              <w:rPr>
                <w:sz w:val="20"/>
              </w:rPr>
              <w:t>132649</w:t>
            </w:r>
          </w:p>
        </w:tc>
        <w:tc>
          <w:tcPr>
            <w:tcW w:w="54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80675D" w:rsidRPr="00CE43D3" w:rsidRDefault="0080675D" w:rsidP="00ED05DC">
            <w:pPr>
              <w:jc w:val="center"/>
              <w:rPr>
                <w:rFonts w:ascii="Arial" w:hAnsi="Arial" w:cs="Arial"/>
                <w:sz w:val="18"/>
                <w:szCs w:val="18"/>
              </w:rPr>
            </w:pPr>
            <w:r w:rsidRPr="00CE43D3">
              <w:rPr>
                <w:rFonts w:ascii="Arial" w:hAnsi="Arial" w:cs="Arial"/>
                <w:sz w:val="18"/>
                <w:szCs w:val="18"/>
              </w:rPr>
              <w:t>Daily Values</w:t>
            </w:r>
          </w:p>
        </w:tc>
      </w:tr>
      <w:tr w:rsidR="0080675D" w:rsidRPr="00CE43D3" w:rsidTr="00CF2171">
        <w:trPr>
          <w:trHeight w:val="291"/>
          <w:jc w:val="center"/>
        </w:trPr>
        <w:tc>
          <w:tcPr>
            <w:tcW w:w="2310" w:type="dxa"/>
            <w:vAlign w:val="center"/>
          </w:tcPr>
          <w:p w:rsidR="0080675D" w:rsidRPr="00CE43D3" w:rsidRDefault="0080675D" w:rsidP="004C67AE">
            <w:pPr>
              <w:jc w:val="center"/>
              <w:rPr>
                <w:rFonts w:ascii="Arial" w:hAnsi="Arial" w:cs="Arial"/>
                <w:sz w:val="18"/>
                <w:szCs w:val="18"/>
              </w:rPr>
            </w:pPr>
            <w:proofErr w:type="spellStart"/>
            <w:r w:rsidRPr="00CE43D3">
              <w:rPr>
                <w:rFonts w:ascii="Arial" w:hAnsi="Arial" w:cs="Arial"/>
                <w:sz w:val="18"/>
                <w:szCs w:val="18"/>
              </w:rPr>
              <w:t>Flouranthene</w:t>
            </w:r>
            <w:proofErr w:type="spellEnd"/>
          </w:p>
        </w:tc>
        <w:tc>
          <w:tcPr>
            <w:tcW w:w="1020" w:type="dxa"/>
            <w:vAlign w:val="center"/>
          </w:tcPr>
          <w:p w:rsidR="0080675D" w:rsidRPr="00CE43D3" w:rsidRDefault="0080675D" w:rsidP="004C67AE">
            <w:pPr>
              <w:keepNext/>
              <w:keepLines/>
              <w:jc w:val="center"/>
              <w:rPr>
                <w:sz w:val="20"/>
              </w:rPr>
            </w:pPr>
            <w:r w:rsidRPr="00CE43D3">
              <w:rPr>
                <w:sz w:val="20"/>
              </w:rPr>
              <w:t>206440</w:t>
            </w:r>
          </w:p>
        </w:tc>
        <w:tc>
          <w:tcPr>
            <w:tcW w:w="540" w:type="dxa"/>
            <w:vAlign w:val="center"/>
          </w:tcPr>
          <w:p w:rsidR="0080675D" w:rsidRPr="00CE43D3" w:rsidRDefault="0080675D" w:rsidP="004C67AE">
            <w:pPr>
              <w:keepNext/>
              <w:keepLines/>
              <w:jc w:val="center"/>
              <w:rPr>
                <w:sz w:val="20"/>
              </w:rPr>
            </w:pPr>
            <w:r w:rsidRPr="00CE43D3">
              <w:rPr>
                <w:sz w:val="20"/>
              </w:rPr>
              <w:t>2.0</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80675D" w:rsidRPr="00CE43D3" w:rsidRDefault="0080675D" w:rsidP="00ED05DC">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proofErr w:type="spellStart"/>
            <w:r w:rsidRPr="00CE43D3">
              <w:rPr>
                <w:rFonts w:ascii="Arial" w:hAnsi="Arial" w:cs="Arial"/>
                <w:sz w:val="18"/>
                <w:szCs w:val="18"/>
              </w:rPr>
              <w:t>Flourene</w:t>
            </w:r>
            <w:proofErr w:type="spellEnd"/>
          </w:p>
        </w:tc>
        <w:tc>
          <w:tcPr>
            <w:tcW w:w="1020" w:type="dxa"/>
            <w:vAlign w:val="center"/>
          </w:tcPr>
          <w:p w:rsidR="0080675D" w:rsidRPr="00CE43D3" w:rsidRDefault="0080675D" w:rsidP="004C67AE">
            <w:pPr>
              <w:keepNext/>
              <w:keepLines/>
              <w:jc w:val="center"/>
              <w:rPr>
                <w:sz w:val="20"/>
              </w:rPr>
            </w:pPr>
            <w:r w:rsidRPr="00CE43D3">
              <w:rPr>
                <w:sz w:val="20"/>
              </w:rPr>
              <w:t>86737</w:t>
            </w:r>
          </w:p>
        </w:tc>
        <w:tc>
          <w:tcPr>
            <w:tcW w:w="540" w:type="dxa"/>
            <w:vAlign w:val="center"/>
          </w:tcPr>
          <w:p w:rsidR="0080675D" w:rsidRPr="00CE43D3" w:rsidRDefault="0080675D" w:rsidP="004C67AE">
            <w:pPr>
              <w:keepNext/>
              <w:keepLines/>
              <w:jc w:val="center"/>
              <w:rPr>
                <w:sz w:val="20"/>
              </w:rPr>
            </w:pPr>
            <w:r w:rsidRPr="00CE43D3">
              <w:rPr>
                <w:sz w:val="20"/>
              </w:rPr>
              <w:t>1.0</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80675D" w:rsidRPr="00CE43D3" w:rsidRDefault="0080675D" w:rsidP="00ED05DC">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2-Methlynaphthalene</w:t>
            </w:r>
          </w:p>
        </w:tc>
        <w:tc>
          <w:tcPr>
            <w:tcW w:w="10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91576</w:t>
            </w:r>
          </w:p>
        </w:tc>
        <w:tc>
          <w:tcPr>
            <w:tcW w:w="54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80675D" w:rsidRPr="00CE43D3" w:rsidRDefault="0080675D" w:rsidP="00ED05DC">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Naphthalene</w:t>
            </w:r>
          </w:p>
        </w:tc>
        <w:tc>
          <w:tcPr>
            <w:tcW w:w="1020" w:type="dxa"/>
            <w:vAlign w:val="center"/>
          </w:tcPr>
          <w:p w:rsidR="0080675D" w:rsidRPr="00CE43D3" w:rsidRDefault="0080675D" w:rsidP="004C67AE">
            <w:pPr>
              <w:keepNext/>
              <w:keepLines/>
              <w:jc w:val="center"/>
              <w:rPr>
                <w:sz w:val="20"/>
              </w:rPr>
            </w:pPr>
            <w:r w:rsidRPr="00CE43D3">
              <w:rPr>
                <w:sz w:val="20"/>
              </w:rPr>
              <w:t>91203</w:t>
            </w:r>
          </w:p>
        </w:tc>
        <w:tc>
          <w:tcPr>
            <w:tcW w:w="540" w:type="dxa"/>
            <w:vAlign w:val="center"/>
          </w:tcPr>
          <w:p w:rsidR="0080675D" w:rsidRPr="00CE43D3" w:rsidRDefault="0080675D" w:rsidP="004C67AE">
            <w:pPr>
              <w:keepNext/>
              <w:keepLines/>
              <w:jc w:val="center"/>
              <w:rPr>
                <w:sz w:val="20"/>
              </w:rPr>
            </w:pPr>
            <w:r w:rsidRPr="00CE43D3">
              <w:rPr>
                <w:sz w:val="20"/>
              </w:rPr>
              <w:t>1.0</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80675D" w:rsidRPr="00CE43D3" w:rsidRDefault="0080675D" w:rsidP="00ED05DC">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proofErr w:type="spellStart"/>
            <w:r>
              <w:rPr>
                <w:rFonts w:ascii="Arial" w:hAnsi="Arial" w:cs="Arial"/>
                <w:sz w:val="18"/>
                <w:szCs w:val="18"/>
              </w:rPr>
              <w:t>Phenanthrene</w:t>
            </w:r>
            <w:proofErr w:type="spellEnd"/>
          </w:p>
        </w:tc>
        <w:tc>
          <w:tcPr>
            <w:tcW w:w="1020" w:type="dxa"/>
            <w:vAlign w:val="center"/>
          </w:tcPr>
          <w:p w:rsidR="0080675D" w:rsidRPr="00150ADC" w:rsidRDefault="00150ADC" w:rsidP="006360CC">
            <w:pPr>
              <w:keepNext/>
              <w:keepLines/>
              <w:jc w:val="center"/>
              <w:rPr>
                <w:rFonts w:ascii="Arial" w:hAnsi="Arial" w:cs="Arial"/>
                <w:color w:val="000000" w:themeColor="text1"/>
                <w:sz w:val="18"/>
                <w:szCs w:val="18"/>
              </w:rPr>
            </w:pPr>
            <w:r w:rsidRPr="00150ADC">
              <w:rPr>
                <w:rFonts w:ascii="Arial" w:hAnsi="Arial" w:cs="Arial"/>
                <w:color w:val="000000" w:themeColor="text1"/>
                <w:sz w:val="18"/>
                <w:szCs w:val="18"/>
              </w:rPr>
              <w:t>85018</w:t>
            </w:r>
          </w:p>
        </w:tc>
        <w:tc>
          <w:tcPr>
            <w:tcW w:w="540" w:type="dxa"/>
            <w:vAlign w:val="center"/>
          </w:tcPr>
          <w:p w:rsidR="0080675D" w:rsidRPr="00150ADC" w:rsidRDefault="00701995" w:rsidP="006360CC">
            <w:pPr>
              <w:keepNext/>
              <w:keepLines/>
              <w:jc w:val="center"/>
              <w:rPr>
                <w:rFonts w:ascii="Arial" w:hAnsi="Arial" w:cs="Arial"/>
                <w:color w:val="000000" w:themeColor="text1"/>
                <w:sz w:val="18"/>
                <w:szCs w:val="18"/>
              </w:rPr>
            </w:pPr>
            <w:r w:rsidRPr="00150ADC">
              <w:rPr>
                <w:rFonts w:ascii="Arial" w:hAnsi="Arial" w:cs="Arial"/>
                <w:color w:val="000000" w:themeColor="text1"/>
                <w:sz w:val="18"/>
                <w:szCs w:val="18"/>
              </w:rPr>
              <w:t>-</w:t>
            </w:r>
          </w:p>
        </w:tc>
        <w:tc>
          <w:tcPr>
            <w:tcW w:w="252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80675D" w:rsidRPr="00CE43D3" w:rsidRDefault="0080675D" w:rsidP="006360CC">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vAlign w:val="center"/>
          </w:tcPr>
          <w:p w:rsidR="0080675D" w:rsidRPr="00CE43D3" w:rsidRDefault="0080675D" w:rsidP="004C67AE">
            <w:pPr>
              <w:jc w:val="center"/>
              <w:rPr>
                <w:rFonts w:ascii="Arial" w:hAnsi="Arial" w:cs="Arial"/>
                <w:sz w:val="18"/>
                <w:szCs w:val="18"/>
              </w:rPr>
            </w:pPr>
            <w:proofErr w:type="spellStart"/>
            <w:r w:rsidRPr="00CE43D3">
              <w:rPr>
                <w:rFonts w:ascii="Arial" w:hAnsi="Arial" w:cs="Arial"/>
                <w:sz w:val="18"/>
                <w:szCs w:val="18"/>
              </w:rPr>
              <w:t>Pyrene</w:t>
            </w:r>
            <w:proofErr w:type="spellEnd"/>
          </w:p>
        </w:tc>
        <w:tc>
          <w:tcPr>
            <w:tcW w:w="1020" w:type="dxa"/>
            <w:vAlign w:val="center"/>
          </w:tcPr>
          <w:p w:rsidR="0080675D" w:rsidRPr="00CE43D3" w:rsidRDefault="0080675D" w:rsidP="004C67AE">
            <w:pPr>
              <w:keepNext/>
              <w:keepLines/>
              <w:jc w:val="center"/>
              <w:rPr>
                <w:sz w:val="20"/>
              </w:rPr>
            </w:pPr>
            <w:r w:rsidRPr="00CE43D3">
              <w:rPr>
                <w:sz w:val="20"/>
              </w:rPr>
              <w:t>129000</w:t>
            </w:r>
          </w:p>
        </w:tc>
        <w:tc>
          <w:tcPr>
            <w:tcW w:w="540" w:type="dxa"/>
            <w:vAlign w:val="center"/>
          </w:tcPr>
          <w:p w:rsidR="0080675D" w:rsidRPr="00CE43D3" w:rsidRDefault="0080675D" w:rsidP="004C67AE">
            <w:pPr>
              <w:keepNext/>
              <w:keepLines/>
              <w:jc w:val="center"/>
              <w:rPr>
                <w:sz w:val="20"/>
              </w:rPr>
            </w:pPr>
            <w:r w:rsidRPr="00CE43D3">
              <w:rPr>
                <w:sz w:val="20"/>
              </w:rPr>
              <w:t>1.0</w:t>
            </w:r>
          </w:p>
        </w:tc>
        <w:tc>
          <w:tcPr>
            <w:tcW w:w="2520" w:type="dxa"/>
            <w:vAlign w:val="center"/>
          </w:tcPr>
          <w:p w:rsidR="0080675D" w:rsidRPr="00CE43D3" w:rsidRDefault="0080675D" w:rsidP="004C67AE">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80675D" w:rsidRPr="00CE43D3" w:rsidRDefault="0080675D" w:rsidP="00ED05DC">
            <w:pPr>
              <w:jc w:val="center"/>
              <w:rPr>
                <w:rFonts w:ascii="Arial" w:hAnsi="Arial" w:cs="Arial"/>
                <w:sz w:val="18"/>
                <w:szCs w:val="18"/>
              </w:rPr>
            </w:pPr>
            <w:r w:rsidRPr="00CE43D3">
              <w:rPr>
                <w:rFonts w:ascii="Arial" w:hAnsi="Arial" w:cs="Arial"/>
                <w:sz w:val="18"/>
                <w:szCs w:val="18"/>
              </w:rPr>
              <w:t>Daily Values</w:t>
            </w:r>
          </w:p>
        </w:tc>
      </w:tr>
      <w:tr w:rsidR="0080675D" w:rsidRPr="00CE43D3" w:rsidTr="00334A53">
        <w:trPr>
          <w:trHeight w:val="259"/>
          <w:jc w:val="center"/>
        </w:trPr>
        <w:tc>
          <w:tcPr>
            <w:tcW w:w="2310" w:type="dxa"/>
            <w:shd w:val="clear" w:color="auto" w:fill="D9D9D9" w:themeFill="background1" w:themeFillShade="D9"/>
            <w:vAlign w:val="center"/>
          </w:tcPr>
          <w:p w:rsidR="0080675D" w:rsidRPr="00CE43D3" w:rsidRDefault="0080675D" w:rsidP="00004D2C">
            <w:pPr>
              <w:jc w:val="center"/>
              <w:rPr>
                <w:rFonts w:ascii="Arial" w:hAnsi="Arial" w:cs="Arial"/>
                <w:sz w:val="18"/>
                <w:szCs w:val="18"/>
                <w:vertAlign w:val="superscript"/>
              </w:rPr>
            </w:pPr>
            <w:r w:rsidRPr="00CE43D3">
              <w:rPr>
                <w:rFonts w:ascii="Arial" w:hAnsi="Arial" w:cs="Arial"/>
                <w:sz w:val="18"/>
                <w:szCs w:val="18"/>
              </w:rPr>
              <w:t>Metals</w:t>
            </w:r>
          </w:p>
        </w:tc>
        <w:tc>
          <w:tcPr>
            <w:tcW w:w="1020" w:type="dxa"/>
            <w:shd w:val="clear" w:color="auto" w:fill="D9D9D9" w:themeFill="background1" w:themeFillShade="D9"/>
            <w:vAlign w:val="center"/>
          </w:tcPr>
          <w:p w:rsidR="0080675D" w:rsidRPr="00CE43D3" w:rsidRDefault="0080675D" w:rsidP="00004D2C">
            <w:pPr>
              <w:keepNext/>
              <w:keepLines/>
              <w:jc w:val="center"/>
              <w:rPr>
                <w:sz w:val="20"/>
              </w:rPr>
            </w:pPr>
          </w:p>
        </w:tc>
        <w:tc>
          <w:tcPr>
            <w:tcW w:w="540" w:type="dxa"/>
            <w:shd w:val="clear" w:color="auto" w:fill="D9D9D9" w:themeFill="background1" w:themeFillShade="D9"/>
            <w:vAlign w:val="center"/>
          </w:tcPr>
          <w:p w:rsidR="0080675D" w:rsidRPr="00CE43D3" w:rsidRDefault="0080675D" w:rsidP="00004D2C">
            <w:pPr>
              <w:keepNext/>
              <w:keepLines/>
              <w:jc w:val="center"/>
              <w:rPr>
                <w:sz w:val="20"/>
              </w:rPr>
            </w:pPr>
          </w:p>
        </w:tc>
        <w:tc>
          <w:tcPr>
            <w:tcW w:w="2520" w:type="dxa"/>
            <w:shd w:val="clear" w:color="auto" w:fill="D9D9D9" w:themeFill="background1" w:themeFillShade="D9"/>
            <w:vAlign w:val="center"/>
          </w:tcPr>
          <w:p w:rsidR="0080675D" w:rsidRPr="00CE43D3" w:rsidRDefault="0080675D" w:rsidP="00004D2C">
            <w:pPr>
              <w:jc w:val="center"/>
              <w:rPr>
                <w:rFonts w:ascii="Arial" w:hAnsi="Arial" w:cs="Arial"/>
                <w:sz w:val="18"/>
                <w:szCs w:val="18"/>
              </w:rPr>
            </w:pPr>
          </w:p>
        </w:tc>
        <w:tc>
          <w:tcPr>
            <w:tcW w:w="1800" w:type="dxa"/>
            <w:shd w:val="clear" w:color="auto" w:fill="D9D9D9" w:themeFill="background1" w:themeFillShade="D9"/>
            <w:vAlign w:val="center"/>
          </w:tcPr>
          <w:p w:rsidR="0080675D" w:rsidRPr="00CE43D3" w:rsidRDefault="0080675D" w:rsidP="00004D2C">
            <w:pPr>
              <w:jc w:val="center"/>
              <w:rPr>
                <w:rFonts w:ascii="Arial" w:hAnsi="Arial" w:cs="Arial"/>
                <w:sz w:val="18"/>
                <w:szCs w:val="18"/>
              </w:rPr>
            </w:pPr>
          </w:p>
        </w:tc>
        <w:tc>
          <w:tcPr>
            <w:tcW w:w="2370" w:type="dxa"/>
            <w:shd w:val="clear" w:color="auto" w:fill="D9D9D9" w:themeFill="background1" w:themeFillShade="D9"/>
            <w:vAlign w:val="center"/>
          </w:tcPr>
          <w:p w:rsidR="0080675D" w:rsidRPr="00CE43D3" w:rsidRDefault="0080675D" w:rsidP="00004D2C">
            <w:pPr>
              <w:jc w:val="center"/>
              <w:rPr>
                <w:rFonts w:ascii="Arial" w:hAnsi="Arial" w:cs="Arial"/>
                <w:sz w:val="18"/>
                <w:szCs w:val="18"/>
              </w:rPr>
            </w:pPr>
          </w:p>
        </w:tc>
      </w:tr>
      <w:tr w:rsidR="0080675D" w:rsidRPr="00CE43D3" w:rsidTr="00334A53">
        <w:trPr>
          <w:trHeight w:val="259"/>
          <w:jc w:val="center"/>
        </w:trPr>
        <w:tc>
          <w:tcPr>
            <w:tcW w:w="2310" w:type="dxa"/>
            <w:vAlign w:val="center"/>
          </w:tcPr>
          <w:p w:rsidR="0080675D" w:rsidRPr="00CE43D3" w:rsidRDefault="0080675D" w:rsidP="00004D2C">
            <w:pPr>
              <w:jc w:val="center"/>
              <w:rPr>
                <w:rFonts w:ascii="Arial" w:hAnsi="Arial" w:cs="Arial"/>
                <w:sz w:val="18"/>
                <w:szCs w:val="18"/>
              </w:rPr>
            </w:pPr>
            <w:r w:rsidRPr="00CE43D3">
              <w:rPr>
                <w:rFonts w:ascii="Arial" w:hAnsi="Arial" w:cs="Arial"/>
                <w:sz w:val="18"/>
                <w:szCs w:val="18"/>
              </w:rPr>
              <w:t xml:space="preserve">Arsenic (inorganic) </w:t>
            </w:r>
            <w:r w:rsidRPr="00CE43D3">
              <w:rPr>
                <w:rFonts w:ascii="Arial" w:hAnsi="Arial" w:cs="Arial"/>
                <w:sz w:val="18"/>
                <w:szCs w:val="18"/>
                <w:vertAlign w:val="superscript"/>
              </w:rPr>
              <w:t>4</w:t>
            </w:r>
          </w:p>
        </w:tc>
        <w:tc>
          <w:tcPr>
            <w:tcW w:w="1020" w:type="dxa"/>
            <w:vAlign w:val="center"/>
          </w:tcPr>
          <w:p w:rsidR="0080675D" w:rsidRPr="00CE43D3" w:rsidRDefault="0080675D" w:rsidP="00004D2C">
            <w:pPr>
              <w:keepNext/>
              <w:keepLines/>
              <w:jc w:val="center"/>
              <w:rPr>
                <w:sz w:val="20"/>
              </w:rPr>
            </w:pPr>
            <w:r w:rsidRPr="00CE43D3">
              <w:rPr>
                <w:sz w:val="20"/>
              </w:rPr>
              <w:t>7440382</w:t>
            </w:r>
          </w:p>
        </w:tc>
        <w:tc>
          <w:tcPr>
            <w:tcW w:w="540" w:type="dxa"/>
            <w:vAlign w:val="center"/>
          </w:tcPr>
          <w:p w:rsidR="0080675D" w:rsidRPr="00CE43D3" w:rsidRDefault="0080675D" w:rsidP="00004D2C">
            <w:pPr>
              <w:keepNext/>
              <w:keepLines/>
              <w:jc w:val="center"/>
              <w:rPr>
                <w:sz w:val="20"/>
              </w:rPr>
            </w:pPr>
            <w:r w:rsidRPr="00CE43D3">
              <w:rPr>
                <w:sz w:val="20"/>
              </w:rPr>
              <w:t>1.0</w:t>
            </w:r>
          </w:p>
        </w:tc>
        <w:tc>
          <w:tcPr>
            <w:tcW w:w="2520" w:type="dxa"/>
            <w:vAlign w:val="center"/>
          </w:tcPr>
          <w:p w:rsidR="0080675D" w:rsidRPr="00CE43D3" w:rsidRDefault="0080675D"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80675D" w:rsidRPr="00CE43D3" w:rsidRDefault="0080675D"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80675D" w:rsidRPr="00CE43D3" w:rsidRDefault="0080675D" w:rsidP="00ED05DC">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CD6B29" w:rsidRDefault="00CD6B29" w:rsidP="00434311">
            <w:pPr>
              <w:jc w:val="center"/>
              <w:rPr>
                <w:rFonts w:ascii="Arial" w:hAnsi="Arial" w:cs="Arial"/>
                <w:sz w:val="18"/>
                <w:szCs w:val="18"/>
                <w:vertAlign w:val="superscript"/>
              </w:rPr>
            </w:pPr>
            <w:r>
              <w:rPr>
                <w:rFonts w:ascii="Arial" w:hAnsi="Arial" w:cs="Arial"/>
                <w:sz w:val="18"/>
                <w:szCs w:val="18"/>
              </w:rPr>
              <w:t>Cadmium</w:t>
            </w:r>
            <w:r w:rsidR="00434311">
              <w:rPr>
                <w:rFonts w:ascii="Arial" w:hAnsi="Arial" w:cs="Arial"/>
                <w:sz w:val="18"/>
                <w:szCs w:val="18"/>
              </w:rPr>
              <w:t xml:space="preserve"> </w:t>
            </w:r>
            <w:r w:rsidR="00434311">
              <w:rPr>
                <w:rFonts w:ascii="Arial" w:hAnsi="Arial" w:cs="Arial"/>
                <w:sz w:val="18"/>
                <w:szCs w:val="18"/>
                <w:vertAlign w:val="superscript"/>
              </w:rPr>
              <w:t>6</w:t>
            </w:r>
          </w:p>
        </w:tc>
        <w:tc>
          <w:tcPr>
            <w:tcW w:w="1020" w:type="dxa"/>
            <w:vAlign w:val="center"/>
          </w:tcPr>
          <w:p w:rsidR="00CD6B29" w:rsidRPr="00CE43D3" w:rsidRDefault="00CD6B29" w:rsidP="00004D2C">
            <w:pPr>
              <w:keepNext/>
              <w:keepLines/>
              <w:jc w:val="center"/>
              <w:rPr>
                <w:sz w:val="20"/>
              </w:rPr>
            </w:pPr>
            <w:r>
              <w:rPr>
                <w:sz w:val="20"/>
              </w:rPr>
              <w:t>7440439</w:t>
            </w:r>
          </w:p>
        </w:tc>
        <w:tc>
          <w:tcPr>
            <w:tcW w:w="540" w:type="dxa"/>
            <w:vAlign w:val="center"/>
          </w:tcPr>
          <w:p w:rsidR="00CD6B29" w:rsidRPr="00CE43D3" w:rsidRDefault="00CD6B29" w:rsidP="00004D2C">
            <w:pPr>
              <w:keepNext/>
              <w:keepLines/>
              <w:jc w:val="center"/>
              <w:rPr>
                <w:sz w:val="20"/>
              </w:rPr>
            </w:pPr>
            <w:r>
              <w:rPr>
                <w:sz w:val="20"/>
              </w:rPr>
              <w:t>0.1</w:t>
            </w:r>
          </w:p>
        </w:tc>
        <w:tc>
          <w:tcPr>
            <w:tcW w:w="252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CD6B29" w:rsidRPr="00CE43D3" w:rsidRDefault="00CD6B29" w:rsidP="00ED05DC">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CE43D3" w:rsidRDefault="00CD6B29" w:rsidP="00806B7A">
            <w:pPr>
              <w:jc w:val="center"/>
              <w:rPr>
                <w:rFonts w:ascii="Arial" w:hAnsi="Arial" w:cs="Arial"/>
                <w:sz w:val="18"/>
                <w:szCs w:val="18"/>
              </w:rPr>
            </w:pPr>
            <w:r w:rsidRPr="00CE43D3">
              <w:rPr>
                <w:rFonts w:ascii="Arial" w:hAnsi="Arial" w:cs="Arial"/>
                <w:sz w:val="18"/>
                <w:szCs w:val="18"/>
              </w:rPr>
              <w:t xml:space="preserve">Chromium (total) </w:t>
            </w:r>
            <w:r w:rsidRPr="00CE43D3">
              <w:rPr>
                <w:rFonts w:ascii="Arial" w:hAnsi="Arial" w:cs="Arial"/>
                <w:sz w:val="18"/>
                <w:szCs w:val="18"/>
                <w:vertAlign w:val="superscript"/>
              </w:rPr>
              <w:t>3,5</w:t>
            </w:r>
          </w:p>
        </w:tc>
        <w:tc>
          <w:tcPr>
            <w:tcW w:w="1020" w:type="dxa"/>
            <w:vAlign w:val="center"/>
          </w:tcPr>
          <w:p w:rsidR="00CD6B29" w:rsidRPr="00CE43D3" w:rsidRDefault="00CD6B29" w:rsidP="00004D2C">
            <w:pPr>
              <w:keepNext/>
              <w:keepLines/>
              <w:jc w:val="center"/>
              <w:rPr>
                <w:sz w:val="20"/>
              </w:rPr>
            </w:pPr>
            <w:r w:rsidRPr="00CE43D3">
              <w:rPr>
                <w:sz w:val="20"/>
              </w:rPr>
              <w:t>7440473</w:t>
            </w:r>
          </w:p>
        </w:tc>
        <w:tc>
          <w:tcPr>
            <w:tcW w:w="540" w:type="dxa"/>
            <w:vAlign w:val="center"/>
          </w:tcPr>
          <w:p w:rsidR="00CD6B29" w:rsidRPr="00CE43D3" w:rsidRDefault="00CD6B29" w:rsidP="00004D2C">
            <w:pPr>
              <w:keepNext/>
              <w:keepLines/>
              <w:jc w:val="center"/>
              <w:rPr>
                <w:sz w:val="20"/>
              </w:rPr>
            </w:pPr>
            <w:r w:rsidRPr="00CE43D3">
              <w:rPr>
                <w:sz w:val="20"/>
              </w:rPr>
              <w:t>0.4</w:t>
            </w:r>
          </w:p>
        </w:tc>
        <w:tc>
          <w:tcPr>
            <w:tcW w:w="252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CD6B29" w:rsidRPr="00CE43D3" w:rsidRDefault="00CD6B29" w:rsidP="00ED05DC">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 xml:space="preserve">Chromium III </w:t>
            </w:r>
            <w:r w:rsidRPr="00CE43D3">
              <w:rPr>
                <w:rFonts w:ascii="Arial" w:hAnsi="Arial" w:cs="Arial"/>
                <w:sz w:val="18"/>
                <w:szCs w:val="18"/>
                <w:vertAlign w:val="superscript"/>
              </w:rPr>
              <w:t>5</w:t>
            </w:r>
            <w:r w:rsidR="00434311">
              <w:rPr>
                <w:rFonts w:ascii="Arial" w:hAnsi="Arial" w:cs="Arial"/>
                <w:sz w:val="18"/>
                <w:szCs w:val="18"/>
                <w:vertAlign w:val="superscript"/>
              </w:rPr>
              <w:t>,6</w:t>
            </w:r>
          </w:p>
        </w:tc>
        <w:tc>
          <w:tcPr>
            <w:tcW w:w="1020" w:type="dxa"/>
            <w:vAlign w:val="center"/>
          </w:tcPr>
          <w:p w:rsidR="00CD6B29" w:rsidRPr="00CE43D3" w:rsidRDefault="00CD6B29" w:rsidP="00004D2C">
            <w:pPr>
              <w:keepNext/>
              <w:keepLines/>
              <w:jc w:val="center"/>
              <w:rPr>
                <w:sz w:val="20"/>
              </w:rPr>
            </w:pPr>
            <w:r w:rsidRPr="00CE43D3">
              <w:rPr>
                <w:sz w:val="20"/>
              </w:rPr>
              <w:t>16065831</w:t>
            </w:r>
          </w:p>
        </w:tc>
        <w:tc>
          <w:tcPr>
            <w:tcW w:w="540" w:type="dxa"/>
            <w:vAlign w:val="center"/>
          </w:tcPr>
          <w:p w:rsidR="00CD6B29" w:rsidRPr="00CE43D3" w:rsidRDefault="00CD6B29" w:rsidP="00004D2C">
            <w:pPr>
              <w:keepNext/>
              <w:keepLines/>
              <w:jc w:val="center"/>
              <w:rPr>
                <w:sz w:val="20"/>
              </w:rPr>
            </w:pPr>
            <w:r w:rsidRPr="00CE43D3">
              <w:rPr>
                <w:sz w:val="20"/>
              </w:rPr>
              <w:t>10</w:t>
            </w:r>
          </w:p>
        </w:tc>
        <w:tc>
          <w:tcPr>
            <w:tcW w:w="252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CD6B29" w:rsidRPr="00CE43D3" w:rsidRDefault="00CD6B29" w:rsidP="00ED05DC">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434311" w:rsidRDefault="00CD6B29" w:rsidP="00004D2C">
            <w:pPr>
              <w:jc w:val="center"/>
              <w:rPr>
                <w:rFonts w:ascii="Arial" w:hAnsi="Arial" w:cs="Arial"/>
                <w:sz w:val="18"/>
                <w:szCs w:val="18"/>
                <w:vertAlign w:val="superscript"/>
              </w:rPr>
            </w:pPr>
            <w:r>
              <w:rPr>
                <w:rFonts w:ascii="Arial" w:hAnsi="Arial" w:cs="Arial"/>
                <w:sz w:val="18"/>
                <w:szCs w:val="18"/>
              </w:rPr>
              <w:t>Chromium VI</w:t>
            </w:r>
            <w:r w:rsidR="000B1151">
              <w:rPr>
                <w:rFonts w:ascii="Arial" w:hAnsi="Arial" w:cs="Arial"/>
                <w:sz w:val="18"/>
                <w:szCs w:val="18"/>
              </w:rPr>
              <w:t xml:space="preserve"> </w:t>
            </w:r>
            <w:r w:rsidR="00434311">
              <w:rPr>
                <w:rFonts w:ascii="Arial" w:hAnsi="Arial" w:cs="Arial"/>
                <w:sz w:val="18"/>
                <w:szCs w:val="18"/>
                <w:vertAlign w:val="superscript"/>
              </w:rPr>
              <w:t>5,6</w:t>
            </w:r>
          </w:p>
        </w:tc>
        <w:tc>
          <w:tcPr>
            <w:tcW w:w="1020" w:type="dxa"/>
            <w:vAlign w:val="center"/>
          </w:tcPr>
          <w:p w:rsidR="00CD6B29" w:rsidRPr="00CE43D3" w:rsidRDefault="00CD6B29" w:rsidP="00004D2C">
            <w:pPr>
              <w:keepNext/>
              <w:keepLines/>
              <w:jc w:val="center"/>
              <w:rPr>
                <w:sz w:val="20"/>
              </w:rPr>
            </w:pPr>
            <w:r>
              <w:rPr>
                <w:sz w:val="20"/>
              </w:rPr>
              <w:t>18540299</w:t>
            </w:r>
          </w:p>
        </w:tc>
        <w:tc>
          <w:tcPr>
            <w:tcW w:w="540" w:type="dxa"/>
            <w:vAlign w:val="center"/>
          </w:tcPr>
          <w:p w:rsidR="00CD6B29" w:rsidRPr="00CE43D3" w:rsidRDefault="00CD6B29" w:rsidP="00FB3BE4">
            <w:pPr>
              <w:keepNext/>
              <w:keepLines/>
              <w:jc w:val="center"/>
              <w:rPr>
                <w:sz w:val="20"/>
              </w:rPr>
            </w:pPr>
            <w:r w:rsidRPr="00CE43D3">
              <w:rPr>
                <w:sz w:val="20"/>
              </w:rPr>
              <w:t>10</w:t>
            </w:r>
          </w:p>
        </w:tc>
        <w:tc>
          <w:tcPr>
            <w:tcW w:w="2520" w:type="dxa"/>
            <w:vAlign w:val="center"/>
          </w:tcPr>
          <w:p w:rsidR="00CD6B29" w:rsidRPr="00CE43D3" w:rsidRDefault="00CD6B29" w:rsidP="00FB3BE4">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B3BE4">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CD6B29" w:rsidRPr="00CE43D3" w:rsidRDefault="00CD6B29" w:rsidP="00FB3BE4">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 xml:space="preserve">Nickel </w:t>
            </w:r>
            <w:r w:rsidR="00434311">
              <w:rPr>
                <w:rFonts w:ascii="Arial" w:hAnsi="Arial" w:cs="Arial"/>
                <w:sz w:val="18"/>
                <w:szCs w:val="18"/>
                <w:vertAlign w:val="superscript"/>
              </w:rPr>
              <w:t>6</w:t>
            </w:r>
          </w:p>
        </w:tc>
        <w:tc>
          <w:tcPr>
            <w:tcW w:w="1020" w:type="dxa"/>
            <w:vAlign w:val="center"/>
          </w:tcPr>
          <w:p w:rsidR="00CD6B29" w:rsidRPr="00CE43D3" w:rsidRDefault="00CD6B29" w:rsidP="00004D2C">
            <w:pPr>
              <w:keepNext/>
              <w:keepLines/>
              <w:jc w:val="center"/>
              <w:rPr>
                <w:sz w:val="20"/>
              </w:rPr>
            </w:pPr>
            <w:r w:rsidRPr="00CE43D3">
              <w:rPr>
                <w:sz w:val="20"/>
              </w:rPr>
              <w:t>7440020</w:t>
            </w:r>
          </w:p>
        </w:tc>
        <w:tc>
          <w:tcPr>
            <w:tcW w:w="540" w:type="dxa"/>
            <w:vAlign w:val="center"/>
          </w:tcPr>
          <w:p w:rsidR="00CD6B29" w:rsidRPr="00CE43D3" w:rsidRDefault="00CD6B29" w:rsidP="00004D2C">
            <w:pPr>
              <w:keepNext/>
              <w:keepLines/>
              <w:jc w:val="center"/>
              <w:rPr>
                <w:sz w:val="20"/>
              </w:rPr>
            </w:pPr>
            <w:r w:rsidRPr="00CE43D3">
              <w:rPr>
                <w:sz w:val="20"/>
              </w:rPr>
              <w:t>10</w:t>
            </w:r>
          </w:p>
        </w:tc>
        <w:tc>
          <w:tcPr>
            <w:tcW w:w="252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CD6B29" w:rsidRPr="00CE43D3" w:rsidRDefault="00CD6B29" w:rsidP="00ED05DC">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 xml:space="preserve">Selenium </w:t>
            </w:r>
            <w:r w:rsidRPr="00CE43D3">
              <w:rPr>
                <w:rFonts w:ascii="Arial" w:hAnsi="Arial" w:cs="Arial"/>
                <w:sz w:val="18"/>
                <w:szCs w:val="18"/>
                <w:vertAlign w:val="superscript"/>
              </w:rPr>
              <w:t>3</w:t>
            </w:r>
          </w:p>
        </w:tc>
        <w:tc>
          <w:tcPr>
            <w:tcW w:w="1020" w:type="dxa"/>
            <w:vAlign w:val="center"/>
          </w:tcPr>
          <w:p w:rsidR="00CD6B29" w:rsidRPr="00CE43D3" w:rsidRDefault="00CD6B29" w:rsidP="00004D2C">
            <w:pPr>
              <w:keepNext/>
              <w:keepLines/>
              <w:jc w:val="center"/>
              <w:rPr>
                <w:sz w:val="20"/>
              </w:rPr>
            </w:pPr>
            <w:r w:rsidRPr="00CE43D3">
              <w:rPr>
                <w:sz w:val="20"/>
              </w:rPr>
              <w:t>7782492</w:t>
            </w:r>
          </w:p>
        </w:tc>
        <w:tc>
          <w:tcPr>
            <w:tcW w:w="540" w:type="dxa"/>
            <w:vAlign w:val="center"/>
          </w:tcPr>
          <w:p w:rsidR="00CD6B29" w:rsidRPr="00CE43D3" w:rsidRDefault="00CD6B29" w:rsidP="00004D2C">
            <w:pPr>
              <w:keepNext/>
              <w:keepLines/>
              <w:jc w:val="center"/>
              <w:rPr>
                <w:sz w:val="20"/>
              </w:rPr>
            </w:pPr>
            <w:r w:rsidRPr="00CE43D3">
              <w:rPr>
                <w:sz w:val="20"/>
              </w:rPr>
              <w:t>2.0</w:t>
            </w:r>
          </w:p>
        </w:tc>
        <w:tc>
          <w:tcPr>
            <w:tcW w:w="252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E4E98">
            <w:pPr>
              <w:jc w:val="center"/>
              <w:rPr>
                <w:rFonts w:ascii="Arial" w:hAnsi="Arial" w:cs="Arial"/>
                <w:sz w:val="18"/>
                <w:szCs w:val="18"/>
                <w:vertAlign w:val="superscript"/>
              </w:rPr>
            </w:pPr>
            <w:r w:rsidRPr="00CE43D3">
              <w:rPr>
                <w:rFonts w:ascii="Arial" w:hAnsi="Arial" w:cs="Arial"/>
                <w:sz w:val="18"/>
                <w:szCs w:val="18"/>
              </w:rPr>
              <w:t>24-hour Composite</w:t>
            </w:r>
          </w:p>
        </w:tc>
        <w:tc>
          <w:tcPr>
            <w:tcW w:w="2370" w:type="dxa"/>
            <w:vAlign w:val="center"/>
          </w:tcPr>
          <w:p w:rsidR="00CD6B29" w:rsidRPr="00CE43D3" w:rsidRDefault="00CD6B29" w:rsidP="00ED05DC">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CE43D3" w:rsidRDefault="00CD6B29" w:rsidP="00806B7A">
            <w:pPr>
              <w:jc w:val="center"/>
              <w:rPr>
                <w:rFonts w:ascii="Arial" w:hAnsi="Arial" w:cs="Arial"/>
                <w:sz w:val="18"/>
                <w:szCs w:val="18"/>
              </w:rPr>
            </w:pPr>
            <w:r w:rsidRPr="00CE43D3">
              <w:rPr>
                <w:rFonts w:ascii="Arial" w:hAnsi="Arial" w:cs="Arial"/>
                <w:sz w:val="18"/>
                <w:szCs w:val="18"/>
              </w:rPr>
              <w:t xml:space="preserve">Silver </w:t>
            </w:r>
            <w:r w:rsidR="00434311">
              <w:rPr>
                <w:rFonts w:ascii="Arial" w:hAnsi="Arial" w:cs="Arial"/>
                <w:sz w:val="18"/>
                <w:szCs w:val="18"/>
                <w:vertAlign w:val="superscript"/>
              </w:rPr>
              <w:t>6</w:t>
            </w:r>
          </w:p>
        </w:tc>
        <w:tc>
          <w:tcPr>
            <w:tcW w:w="1020" w:type="dxa"/>
            <w:vAlign w:val="center"/>
          </w:tcPr>
          <w:p w:rsidR="00CD6B29" w:rsidRPr="00CE43D3" w:rsidRDefault="00CD6B29" w:rsidP="00004D2C">
            <w:pPr>
              <w:keepNext/>
              <w:keepLines/>
              <w:jc w:val="center"/>
              <w:rPr>
                <w:sz w:val="20"/>
              </w:rPr>
            </w:pPr>
            <w:r w:rsidRPr="00CE43D3">
              <w:rPr>
                <w:sz w:val="20"/>
              </w:rPr>
              <w:t>7440224</w:t>
            </w:r>
          </w:p>
        </w:tc>
        <w:tc>
          <w:tcPr>
            <w:tcW w:w="540" w:type="dxa"/>
            <w:vAlign w:val="center"/>
          </w:tcPr>
          <w:p w:rsidR="00CD6B29" w:rsidRPr="00CE43D3" w:rsidRDefault="00CD6B29" w:rsidP="00004D2C">
            <w:pPr>
              <w:keepNext/>
              <w:keepLines/>
              <w:jc w:val="center"/>
              <w:rPr>
                <w:sz w:val="20"/>
              </w:rPr>
            </w:pPr>
            <w:r w:rsidRPr="00CE43D3">
              <w:rPr>
                <w:sz w:val="20"/>
              </w:rPr>
              <w:t>1.0</w:t>
            </w:r>
          </w:p>
        </w:tc>
        <w:tc>
          <w:tcPr>
            <w:tcW w:w="252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CD6B29" w:rsidRPr="00CE43D3" w:rsidRDefault="00CD6B29" w:rsidP="00ED05DC">
            <w:pPr>
              <w:jc w:val="center"/>
              <w:rPr>
                <w:rFonts w:ascii="Arial" w:hAnsi="Arial" w:cs="Arial"/>
                <w:sz w:val="18"/>
                <w:szCs w:val="18"/>
              </w:rPr>
            </w:pPr>
            <w:r w:rsidRPr="00CE43D3">
              <w:rPr>
                <w:rFonts w:ascii="Arial" w:hAnsi="Arial" w:cs="Arial"/>
                <w:sz w:val="18"/>
                <w:szCs w:val="18"/>
              </w:rPr>
              <w:t>Daily Values</w:t>
            </w:r>
          </w:p>
        </w:tc>
      </w:tr>
      <w:tr w:rsidR="00CD6B29" w:rsidRPr="00CE43D3" w:rsidTr="00334A53">
        <w:trPr>
          <w:trHeight w:val="259"/>
          <w:jc w:val="center"/>
        </w:trPr>
        <w:tc>
          <w:tcPr>
            <w:tcW w:w="231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Zinc</w:t>
            </w:r>
            <w:r w:rsidRPr="00CE43D3">
              <w:rPr>
                <w:rFonts w:ascii="Arial" w:hAnsi="Arial" w:cs="Arial"/>
                <w:sz w:val="18"/>
                <w:szCs w:val="18"/>
                <w:vertAlign w:val="superscript"/>
              </w:rPr>
              <w:t xml:space="preserve"> </w:t>
            </w:r>
            <w:r w:rsidR="00434311">
              <w:rPr>
                <w:rFonts w:ascii="Arial" w:hAnsi="Arial" w:cs="Arial"/>
                <w:sz w:val="18"/>
                <w:szCs w:val="18"/>
                <w:vertAlign w:val="superscript"/>
              </w:rPr>
              <w:t>6</w:t>
            </w:r>
          </w:p>
        </w:tc>
        <w:tc>
          <w:tcPr>
            <w:tcW w:w="1020" w:type="dxa"/>
            <w:vAlign w:val="center"/>
          </w:tcPr>
          <w:p w:rsidR="00CD6B29" w:rsidRPr="00CE43D3" w:rsidRDefault="00CD6B29" w:rsidP="00004D2C">
            <w:pPr>
              <w:keepNext/>
              <w:keepLines/>
              <w:jc w:val="center"/>
              <w:rPr>
                <w:sz w:val="20"/>
              </w:rPr>
            </w:pPr>
            <w:r w:rsidRPr="00CE43D3">
              <w:rPr>
                <w:sz w:val="20"/>
              </w:rPr>
              <w:t>7440666</w:t>
            </w:r>
          </w:p>
        </w:tc>
        <w:tc>
          <w:tcPr>
            <w:tcW w:w="540" w:type="dxa"/>
            <w:vAlign w:val="center"/>
          </w:tcPr>
          <w:p w:rsidR="00CD6B29" w:rsidRPr="00CE43D3" w:rsidRDefault="00CD6B29" w:rsidP="00004D2C">
            <w:pPr>
              <w:keepNext/>
              <w:keepLines/>
              <w:jc w:val="center"/>
              <w:rPr>
                <w:sz w:val="20"/>
              </w:rPr>
            </w:pPr>
            <w:r w:rsidRPr="00CE43D3">
              <w:rPr>
                <w:sz w:val="20"/>
              </w:rPr>
              <w:t>5.0</w:t>
            </w:r>
          </w:p>
        </w:tc>
        <w:tc>
          <w:tcPr>
            <w:tcW w:w="2520" w:type="dxa"/>
            <w:vAlign w:val="center"/>
          </w:tcPr>
          <w:p w:rsidR="00CD6B29" w:rsidRPr="00CE43D3" w:rsidRDefault="00CD6B29" w:rsidP="00004D2C">
            <w:pPr>
              <w:jc w:val="center"/>
              <w:rPr>
                <w:rFonts w:ascii="Arial" w:hAnsi="Arial" w:cs="Arial"/>
                <w:sz w:val="18"/>
                <w:szCs w:val="18"/>
              </w:rPr>
            </w:pPr>
            <w:r w:rsidRPr="00CE43D3">
              <w:rPr>
                <w:rFonts w:ascii="Arial" w:hAnsi="Arial" w:cs="Arial"/>
                <w:sz w:val="18"/>
                <w:szCs w:val="18"/>
              </w:rPr>
              <w:t>1/Quarter, when discharging</w:t>
            </w:r>
          </w:p>
        </w:tc>
        <w:tc>
          <w:tcPr>
            <w:tcW w:w="1800" w:type="dxa"/>
            <w:vAlign w:val="center"/>
          </w:tcPr>
          <w:p w:rsidR="00CD6B29" w:rsidRPr="00CE43D3" w:rsidRDefault="00CD6B29" w:rsidP="00FE4E98">
            <w:pPr>
              <w:jc w:val="center"/>
              <w:rPr>
                <w:rFonts w:ascii="Arial" w:hAnsi="Arial" w:cs="Arial"/>
                <w:sz w:val="18"/>
                <w:szCs w:val="18"/>
              </w:rPr>
            </w:pPr>
            <w:r w:rsidRPr="00CE43D3">
              <w:rPr>
                <w:rFonts w:ascii="Arial" w:hAnsi="Arial" w:cs="Arial"/>
                <w:sz w:val="18"/>
                <w:szCs w:val="18"/>
              </w:rPr>
              <w:t>24-hour Composite</w:t>
            </w:r>
          </w:p>
        </w:tc>
        <w:tc>
          <w:tcPr>
            <w:tcW w:w="2370" w:type="dxa"/>
            <w:vAlign w:val="center"/>
          </w:tcPr>
          <w:p w:rsidR="00CD6B29" w:rsidRPr="00CE43D3" w:rsidRDefault="00CD6B29" w:rsidP="00ED05DC">
            <w:pPr>
              <w:jc w:val="center"/>
              <w:rPr>
                <w:rFonts w:ascii="Arial" w:hAnsi="Arial" w:cs="Arial"/>
                <w:sz w:val="18"/>
                <w:szCs w:val="18"/>
              </w:rPr>
            </w:pPr>
            <w:r w:rsidRPr="00CE43D3">
              <w:rPr>
                <w:rFonts w:ascii="Arial" w:hAnsi="Arial" w:cs="Arial"/>
                <w:sz w:val="18"/>
                <w:szCs w:val="18"/>
              </w:rPr>
              <w:t>Daily Values</w:t>
            </w:r>
          </w:p>
        </w:tc>
      </w:tr>
    </w:tbl>
    <w:p w:rsidR="00004D2C" w:rsidRDefault="00004D2C"/>
    <w:tbl>
      <w:tblPr>
        <w:tblW w:w="10562" w:type="dxa"/>
        <w:jc w:val="center"/>
        <w:tblInd w:w="74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01"/>
        <w:gridCol w:w="900"/>
        <w:gridCol w:w="630"/>
        <w:gridCol w:w="2520"/>
        <w:gridCol w:w="1890"/>
        <w:gridCol w:w="2221"/>
      </w:tblGrid>
      <w:tr w:rsidR="00004D2C" w:rsidRPr="00CE43D3" w:rsidTr="00004D2C">
        <w:trPr>
          <w:cantSplit/>
          <w:trHeight w:hRule="exact" w:val="390"/>
          <w:jc w:val="center"/>
        </w:trPr>
        <w:tc>
          <w:tcPr>
            <w:tcW w:w="10562" w:type="dxa"/>
            <w:gridSpan w:val="6"/>
            <w:shd w:val="clear" w:color="auto" w:fill="D9D9D9" w:themeFill="background1" w:themeFillShade="D9"/>
            <w:vAlign w:val="center"/>
          </w:tcPr>
          <w:p w:rsidR="00004D2C" w:rsidRPr="00CE43D3" w:rsidRDefault="00004D2C" w:rsidP="00004D2C">
            <w:pPr>
              <w:jc w:val="center"/>
              <w:rPr>
                <w:rFonts w:ascii="Arial" w:hAnsi="Arial" w:cs="Arial"/>
                <w:b/>
                <w:sz w:val="20"/>
                <w:szCs w:val="20"/>
              </w:rPr>
            </w:pPr>
            <w:r w:rsidRPr="00CE43D3">
              <w:rPr>
                <w:rFonts w:ascii="Arial" w:hAnsi="Arial" w:cs="Arial"/>
                <w:b/>
                <w:sz w:val="20"/>
                <w:szCs w:val="20"/>
              </w:rPr>
              <w:lastRenderedPageBreak/>
              <w:t>Table B2: Outfall 001 Characterization Monitoring Requirements (Continued)</w:t>
            </w:r>
          </w:p>
        </w:tc>
      </w:tr>
      <w:tr w:rsidR="00004D2C" w:rsidRPr="00CE43D3" w:rsidTr="00C33407">
        <w:trPr>
          <w:trHeight w:val="323"/>
          <w:jc w:val="center"/>
        </w:trPr>
        <w:tc>
          <w:tcPr>
            <w:tcW w:w="2401" w:type="dxa"/>
            <w:shd w:val="clear" w:color="auto" w:fill="D9D9D9" w:themeFill="background1" w:themeFillShade="D9"/>
            <w:vAlign w:val="center"/>
          </w:tcPr>
          <w:p w:rsidR="00004D2C" w:rsidRPr="00CE43D3" w:rsidRDefault="00004D2C" w:rsidP="00004D2C">
            <w:pPr>
              <w:spacing w:before="80" w:after="80"/>
              <w:jc w:val="center"/>
              <w:rPr>
                <w:rFonts w:ascii="Arial" w:hAnsi="Arial" w:cs="Arial"/>
                <w:b/>
                <w:sz w:val="18"/>
                <w:szCs w:val="18"/>
                <w:u w:val="single"/>
              </w:rPr>
            </w:pPr>
            <w:r w:rsidRPr="00CE43D3">
              <w:rPr>
                <w:rFonts w:ascii="Arial" w:hAnsi="Arial" w:cs="Arial"/>
                <w:b/>
                <w:sz w:val="18"/>
                <w:szCs w:val="18"/>
                <w:u w:val="single"/>
              </w:rPr>
              <w:t>Parameter</w:t>
            </w:r>
          </w:p>
        </w:tc>
        <w:tc>
          <w:tcPr>
            <w:tcW w:w="900" w:type="dxa"/>
            <w:shd w:val="clear" w:color="auto" w:fill="D9D9D9" w:themeFill="background1" w:themeFillShade="D9"/>
            <w:vAlign w:val="center"/>
          </w:tcPr>
          <w:p w:rsidR="00004D2C" w:rsidRPr="00CE43D3" w:rsidRDefault="00004D2C" w:rsidP="00004D2C">
            <w:pPr>
              <w:spacing w:before="80" w:after="80"/>
              <w:jc w:val="center"/>
              <w:rPr>
                <w:rFonts w:ascii="Arial" w:hAnsi="Arial" w:cs="Arial"/>
                <w:b/>
                <w:sz w:val="18"/>
                <w:szCs w:val="18"/>
                <w:u w:val="single"/>
              </w:rPr>
            </w:pPr>
            <w:r w:rsidRPr="00CE43D3">
              <w:rPr>
                <w:rFonts w:ascii="Arial" w:hAnsi="Arial" w:cs="Arial"/>
                <w:b/>
                <w:sz w:val="18"/>
                <w:szCs w:val="18"/>
                <w:u w:val="single"/>
              </w:rPr>
              <w:t>CAS</w:t>
            </w:r>
            <w:r w:rsidRPr="00CE43D3">
              <w:rPr>
                <w:rFonts w:ascii="Arial" w:hAnsi="Arial" w:cs="Arial"/>
                <w:b/>
                <w:sz w:val="18"/>
                <w:szCs w:val="18"/>
                <w:u w:val="single"/>
                <w:vertAlign w:val="superscript"/>
              </w:rPr>
              <w:t>1</w:t>
            </w:r>
          </w:p>
        </w:tc>
        <w:tc>
          <w:tcPr>
            <w:tcW w:w="630" w:type="dxa"/>
            <w:shd w:val="clear" w:color="auto" w:fill="D9D9D9" w:themeFill="background1" w:themeFillShade="D9"/>
            <w:vAlign w:val="center"/>
          </w:tcPr>
          <w:p w:rsidR="00004D2C" w:rsidRPr="00CE43D3" w:rsidRDefault="00004D2C" w:rsidP="00004D2C">
            <w:pPr>
              <w:spacing w:before="80" w:after="80"/>
              <w:jc w:val="center"/>
              <w:rPr>
                <w:rFonts w:ascii="Arial" w:hAnsi="Arial" w:cs="Arial"/>
                <w:b/>
                <w:sz w:val="18"/>
                <w:szCs w:val="18"/>
                <w:u w:val="single"/>
                <w:vertAlign w:val="superscript"/>
              </w:rPr>
            </w:pPr>
            <w:r w:rsidRPr="00CE43D3">
              <w:rPr>
                <w:rFonts w:ascii="Arial" w:hAnsi="Arial" w:cs="Arial"/>
                <w:b/>
                <w:sz w:val="18"/>
                <w:szCs w:val="18"/>
                <w:u w:val="single"/>
              </w:rPr>
              <w:t>QL</w:t>
            </w:r>
            <w:r w:rsidRPr="00CE43D3">
              <w:rPr>
                <w:rFonts w:ascii="Arial" w:hAnsi="Arial" w:cs="Arial"/>
                <w:b/>
                <w:sz w:val="18"/>
                <w:szCs w:val="18"/>
                <w:u w:val="single"/>
                <w:vertAlign w:val="superscript"/>
              </w:rPr>
              <w:t>2</w:t>
            </w:r>
          </w:p>
        </w:tc>
        <w:tc>
          <w:tcPr>
            <w:tcW w:w="2520" w:type="dxa"/>
            <w:shd w:val="clear" w:color="auto" w:fill="D9D9D9" w:themeFill="background1" w:themeFillShade="D9"/>
            <w:vAlign w:val="center"/>
          </w:tcPr>
          <w:p w:rsidR="00004D2C" w:rsidRPr="00CE43D3" w:rsidRDefault="00004D2C" w:rsidP="00004D2C">
            <w:pPr>
              <w:spacing w:before="80" w:after="80"/>
              <w:jc w:val="center"/>
              <w:rPr>
                <w:rFonts w:ascii="Arial" w:hAnsi="Arial" w:cs="Arial"/>
                <w:b/>
                <w:sz w:val="18"/>
                <w:szCs w:val="18"/>
                <w:u w:val="single"/>
              </w:rPr>
            </w:pPr>
            <w:r w:rsidRPr="00CE43D3">
              <w:rPr>
                <w:rFonts w:ascii="Arial" w:hAnsi="Arial" w:cs="Arial"/>
                <w:b/>
                <w:sz w:val="18"/>
                <w:szCs w:val="18"/>
                <w:u w:val="single"/>
              </w:rPr>
              <w:t>Minimum Frequency</w:t>
            </w:r>
          </w:p>
        </w:tc>
        <w:tc>
          <w:tcPr>
            <w:tcW w:w="1890" w:type="dxa"/>
            <w:shd w:val="clear" w:color="auto" w:fill="D9D9D9" w:themeFill="background1" w:themeFillShade="D9"/>
            <w:vAlign w:val="center"/>
          </w:tcPr>
          <w:p w:rsidR="00004D2C" w:rsidRPr="00CE43D3" w:rsidRDefault="00004D2C" w:rsidP="00004D2C">
            <w:pPr>
              <w:spacing w:before="80" w:after="80"/>
              <w:jc w:val="center"/>
              <w:rPr>
                <w:rFonts w:ascii="Arial" w:hAnsi="Arial" w:cs="Arial"/>
                <w:b/>
                <w:sz w:val="18"/>
                <w:szCs w:val="18"/>
                <w:u w:val="single"/>
              </w:rPr>
            </w:pPr>
            <w:r w:rsidRPr="00CE43D3">
              <w:rPr>
                <w:rFonts w:ascii="Arial" w:hAnsi="Arial" w:cs="Arial"/>
                <w:b/>
                <w:sz w:val="18"/>
                <w:szCs w:val="18"/>
                <w:u w:val="single"/>
              </w:rPr>
              <w:t>Sample Type</w:t>
            </w:r>
          </w:p>
        </w:tc>
        <w:tc>
          <w:tcPr>
            <w:tcW w:w="2221" w:type="dxa"/>
            <w:shd w:val="clear" w:color="auto" w:fill="D9D9D9" w:themeFill="background1" w:themeFillShade="D9"/>
            <w:vAlign w:val="center"/>
          </w:tcPr>
          <w:p w:rsidR="00004D2C" w:rsidRPr="00CE43D3" w:rsidRDefault="00004D2C" w:rsidP="00004D2C">
            <w:pPr>
              <w:spacing w:before="80" w:after="80"/>
              <w:jc w:val="center"/>
              <w:rPr>
                <w:rFonts w:ascii="Arial" w:hAnsi="Arial" w:cs="Arial"/>
                <w:b/>
                <w:sz w:val="18"/>
                <w:szCs w:val="18"/>
                <w:u w:val="single"/>
              </w:rPr>
            </w:pPr>
            <w:r w:rsidRPr="00CE43D3">
              <w:rPr>
                <w:rFonts w:ascii="Arial" w:hAnsi="Arial" w:cs="Arial"/>
                <w:b/>
                <w:sz w:val="18"/>
                <w:szCs w:val="18"/>
                <w:u w:val="single"/>
              </w:rPr>
              <w:t>Report</w:t>
            </w:r>
          </w:p>
        </w:tc>
      </w:tr>
      <w:tr w:rsidR="004C67AE" w:rsidRPr="00CE43D3" w:rsidTr="00C33407">
        <w:trPr>
          <w:trHeight w:val="259"/>
          <w:jc w:val="center"/>
        </w:trPr>
        <w:tc>
          <w:tcPr>
            <w:tcW w:w="2401" w:type="dxa"/>
            <w:shd w:val="clear" w:color="auto" w:fill="D9D9D9" w:themeFill="background1" w:themeFillShade="D9"/>
            <w:vAlign w:val="center"/>
          </w:tcPr>
          <w:p w:rsidR="004C67AE" w:rsidRPr="00CE43D3" w:rsidRDefault="004C67AE" w:rsidP="004C67AE">
            <w:pPr>
              <w:jc w:val="center"/>
              <w:rPr>
                <w:rFonts w:ascii="Arial" w:hAnsi="Arial" w:cs="Arial"/>
                <w:sz w:val="18"/>
                <w:szCs w:val="18"/>
              </w:rPr>
            </w:pPr>
            <w:r w:rsidRPr="00CE43D3">
              <w:rPr>
                <w:rFonts w:ascii="Arial" w:hAnsi="Arial" w:cs="Arial"/>
                <w:sz w:val="18"/>
                <w:szCs w:val="18"/>
              </w:rPr>
              <w:t>VOCs</w:t>
            </w:r>
          </w:p>
        </w:tc>
        <w:tc>
          <w:tcPr>
            <w:tcW w:w="900" w:type="dxa"/>
            <w:shd w:val="clear" w:color="auto" w:fill="D9D9D9" w:themeFill="background1" w:themeFillShade="D9"/>
            <w:vAlign w:val="center"/>
          </w:tcPr>
          <w:p w:rsidR="004C67AE" w:rsidRPr="00CE43D3" w:rsidRDefault="004C67AE" w:rsidP="004C67AE">
            <w:pPr>
              <w:keepNext/>
              <w:keepLines/>
              <w:jc w:val="center"/>
              <w:rPr>
                <w:sz w:val="20"/>
              </w:rPr>
            </w:pPr>
          </w:p>
        </w:tc>
        <w:tc>
          <w:tcPr>
            <w:tcW w:w="630" w:type="dxa"/>
            <w:shd w:val="clear" w:color="auto" w:fill="D9D9D9" w:themeFill="background1" w:themeFillShade="D9"/>
            <w:vAlign w:val="center"/>
          </w:tcPr>
          <w:p w:rsidR="004C67AE" w:rsidRPr="00CE43D3" w:rsidRDefault="004C67AE" w:rsidP="004C67AE">
            <w:pPr>
              <w:keepNext/>
              <w:keepLines/>
              <w:jc w:val="center"/>
              <w:rPr>
                <w:sz w:val="20"/>
              </w:rPr>
            </w:pPr>
          </w:p>
        </w:tc>
        <w:tc>
          <w:tcPr>
            <w:tcW w:w="2520" w:type="dxa"/>
            <w:shd w:val="clear" w:color="auto" w:fill="D9D9D9" w:themeFill="background1" w:themeFillShade="D9"/>
            <w:vAlign w:val="center"/>
          </w:tcPr>
          <w:p w:rsidR="004C67AE" w:rsidRPr="00CE43D3" w:rsidRDefault="004C67AE" w:rsidP="004C67AE">
            <w:pPr>
              <w:jc w:val="center"/>
              <w:rPr>
                <w:rFonts w:ascii="Arial" w:hAnsi="Arial" w:cs="Arial"/>
                <w:sz w:val="18"/>
                <w:szCs w:val="18"/>
              </w:rPr>
            </w:pPr>
          </w:p>
        </w:tc>
        <w:tc>
          <w:tcPr>
            <w:tcW w:w="1890" w:type="dxa"/>
            <w:shd w:val="clear" w:color="auto" w:fill="D9D9D9" w:themeFill="background1" w:themeFillShade="D9"/>
            <w:vAlign w:val="center"/>
          </w:tcPr>
          <w:p w:rsidR="004C67AE" w:rsidRPr="00CE43D3" w:rsidRDefault="004C67AE" w:rsidP="004C67AE">
            <w:pPr>
              <w:jc w:val="center"/>
              <w:rPr>
                <w:rFonts w:ascii="Arial" w:hAnsi="Arial" w:cs="Arial"/>
                <w:sz w:val="18"/>
                <w:szCs w:val="18"/>
              </w:rPr>
            </w:pPr>
          </w:p>
        </w:tc>
        <w:tc>
          <w:tcPr>
            <w:tcW w:w="2221" w:type="dxa"/>
            <w:shd w:val="clear" w:color="auto" w:fill="D9D9D9" w:themeFill="background1" w:themeFillShade="D9"/>
            <w:vAlign w:val="center"/>
          </w:tcPr>
          <w:p w:rsidR="004C67AE" w:rsidRPr="00CE43D3" w:rsidRDefault="004C67AE" w:rsidP="004C67AE">
            <w:pPr>
              <w:jc w:val="center"/>
              <w:rPr>
                <w:rFonts w:ascii="Arial" w:hAnsi="Arial" w:cs="Arial"/>
                <w:sz w:val="18"/>
                <w:szCs w:val="18"/>
              </w:rPr>
            </w:pP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Acetone</w:t>
            </w:r>
          </w:p>
        </w:tc>
        <w:tc>
          <w:tcPr>
            <w:tcW w:w="90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67641</w:t>
            </w:r>
          </w:p>
        </w:tc>
        <w:tc>
          <w:tcPr>
            <w:tcW w:w="63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0B1151" w:rsidP="00E67CC9">
            <w:pPr>
              <w:jc w:val="center"/>
              <w:rPr>
                <w:rFonts w:ascii="Arial" w:hAnsi="Arial" w:cs="Arial"/>
                <w:sz w:val="18"/>
                <w:szCs w:val="18"/>
              </w:rPr>
            </w:pPr>
            <w:r>
              <w:rPr>
                <w:rFonts w:ascii="Arial" w:hAnsi="Arial" w:cs="Arial"/>
                <w:sz w:val="18"/>
                <w:szCs w:val="18"/>
              </w:rPr>
              <w:t>See Note 8</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Benzene</w:t>
            </w:r>
          </w:p>
        </w:tc>
        <w:tc>
          <w:tcPr>
            <w:tcW w:w="900" w:type="dxa"/>
            <w:vAlign w:val="center"/>
          </w:tcPr>
          <w:p w:rsidR="00C33407" w:rsidRPr="00CE43D3" w:rsidRDefault="00C33407" w:rsidP="004C67AE">
            <w:pPr>
              <w:keepNext/>
              <w:keepLines/>
              <w:jc w:val="center"/>
              <w:rPr>
                <w:sz w:val="20"/>
              </w:rPr>
            </w:pPr>
            <w:r w:rsidRPr="00CE43D3">
              <w:rPr>
                <w:sz w:val="20"/>
              </w:rPr>
              <w:t>71432</w:t>
            </w:r>
          </w:p>
        </w:tc>
        <w:tc>
          <w:tcPr>
            <w:tcW w:w="630" w:type="dxa"/>
            <w:vAlign w:val="center"/>
          </w:tcPr>
          <w:p w:rsidR="00C33407" w:rsidRPr="00CE43D3" w:rsidRDefault="00C33407" w:rsidP="004C67AE">
            <w:pPr>
              <w:keepNext/>
              <w:keepLines/>
              <w:jc w:val="center"/>
              <w:rPr>
                <w:sz w:val="20"/>
              </w:rPr>
            </w:pPr>
            <w:r w:rsidRPr="00CE43D3">
              <w:rPr>
                <w:sz w:val="20"/>
              </w:rPr>
              <w:t>0.50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0B1151" w:rsidP="00E67CC9">
            <w:pPr>
              <w:jc w:val="center"/>
              <w:rPr>
                <w:rFonts w:ascii="Arial" w:hAnsi="Arial" w:cs="Arial"/>
                <w:sz w:val="18"/>
                <w:szCs w:val="18"/>
              </w:rPr>
            </w:pPr>
            <w:r>
              <w:rPr>
                <w:rFonts w:ascii="Arial" w:hAnsi="Arial" w:cs="Arial"/>
                <w:sz w:val="18"/>
                <w:szCs w:val="18"/>
              </w:rPr>
              <w:t>See Note 8</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2-Butanone</w:t>
            </w:r>
          </w:p>
        </w:tc>
        <w:tc>
          <w:tcPr>
            <w:tcW w:w="90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78933</w:t>
            </w:r>
          </w:p>
        </w:tc>
        <w:tc>
          <w:tcPr>
            <w:tcW w:w="63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0B1151" w:rsidP="00E67CC9">
            <w:pPr>
              <w:jc w:val="center"/>
              <w:rPr>
                <w:rFonts w:ascii="Arial" w:hAnsi="Arial" w:cs="Arial"/>
                <w:sz w:val="18"/>
                <w:szCs w:val="18"/>
                <w:vertAlign w:val="superscript"/>
              </w:rPr>
            </w:pPr>
            <w:r>
              <w:rPr>
                <w:rFonts w:ascii="Arial" w:hAnsi="Arial" w:cs="Arial"/>
                <w:sz w:val="18"/>
                <w:szCs w:val="18"/>
              </w:rPr>
              <w:t>See Note 8</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proofErr w:type="spellStart"/>
            <w:r w:rsidRPr="00CE43D3">
              <w:rPr>
                <w:rFonts w:ascii="Arial" w:hAnsi="Arial" w:cs="Arial"/>
                <w:sz w:val="18"/>
                <w:szCs w:val="18"/>
              </w:rPr>
              <w:t>Dichloroethylene</w:t>
            </w:r>
            <w:proofErr w:type="spellEnd"/>
            <w:r w:rsidRPr="00CE43D3">
              <w:rPr>
                <w:rFonts w:ascii="Arial" w:hAnsi="Arial" w:cs="Arial"/>
                <w:sz w:val="18"/>
                <w:szCs w:val="18"/>
              </w:rPr>
              <w:t xml:space="preserve"> 1,1</w:t>
            </w:r>
          </w:p>
        </w:tc>
        <w:tc>
          <w:tcPr>
            <w:tcW w:w="900" w:type="dxa"/>
            <w:vAlign w:val="center"/>
          </w:tcPr>
          <w:p w:rsidR="000B1151" w:rsidRPr="00CE43D3" w:rsidRDefault="000B1151" w:rsidP="004C67AE">
            <w:pPr>
              <w:keepNext/>
              <w:keepLines/>
              <w:jc w:val="center"/>
              <w:rPr>
                <w:sz w:val="20"/>
              </w:rPr>
            </w:pPr>
            <w:r w:rsidRPr="00CE43D3">
              <w:rPr>
                <w:sz w:val="20"/>
              </w:rPr>
              <w:t>75354</w:t>
            </w:r>
          </w:p>
        </w:tc>
        <w:tc>
          <w:tcPr>
            <w:tcW w:w="630" w:type="dxa"/>
            <w:vAlign w:val="center"/>
          </w:tcPr>
          <w:p w:rsidR="000B1151" w:rsidRPr="00CE43D3" w:rsidRDefault="000B1151" w:rsidP="004C67AE">
            <w:pPr>
              <w:keepNext/>
              <w:keepLines/>
              <w:jc w:val="center"/>
              <w:rPr>
                <w:sz w:val="20"/>
              </w:rPr>
            </w:pPr>
            <w:r w:rsidRPr="00CE43D3">
              <w:rPr>
                <w:sz w:val="20"/>
              </w:rPr>
              <w:t>0.50</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proofErr w:type="spellStart"/>
            <w:r w:rsidRPr="00CE43D3">
              <w:rPr>
                <w:sz w:val="20"/>
              </w:rPr>
              <w:t>Dichloroethylene</w:t>
            </w:r>
            <w:proofErr w:type="spellEnd"/>
            <w:r w:rsidRPr="00CE43D3">
              <w:rPr>
                <w:sz w:val="20"/>
              </w:rPr>
              <w:t xml:space="preserve">  trans 1,2</w:t>
            </w:r>
          </w:p>
        </w:tc>
        <w:tc>
          <w:tcPr>
            <w:tcW w:w="900" w:type="dxa"/>
            <w:vAlign w:val="center"/>
          </w:tcPr>
          <w:p w:rsidR="000B1151" w:rsidRPr="00CE43D3" w:rsidRDefault="000B1151" w:rsidP="004C67AE">
            <w:pPr>
              <w:keepNext/>
              <w:keepLines/>
              <w:jc w:val="center"/>
              <w:rPr>
                <w:sz w:val="20"/>
              </w:rPr>
            </w:pPr>
            <w:r w:rsidRPr="00CE43D3">
              <w:rPr>
                <w:sz w:val="20"/>
              </w:rPr>
              <w:t>156605</w:t>
            </w:r>
          </w:p>
        </w:tc>
        <w:tc>
          <w:tcPr>
            <w:tcW w:w="630" w:type="dxa"/>
            <w:vAlign w:val="center"/>
          </w:tcPr>
          <w:p w:rsidR="000B1151" w:rsidRPr="00CE43D3" w:rsidRDefault="000B1151" w:rsidP="004C67AE">
            <w:pPr>
              <w:keepNext/>
              <w:keepLines/>
              <w:jc w:val="center"/>
              <w:rPr>
                <w:sz w:val="20"/>
              </w:rPr>
            </w:pPr>
            <w:r w:rsidRPr="00CE43D3">
              <w:rPr>
                <w:sz w:val="20"/>
              </w:rPr>
              <w:t>0.50</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proofErr w:type="spellStart"/>
            <w:r w:rsidRPr="00CE43D3">
              <w:rPr>
                <w:rFonts w:ascii="Arial" w:hAnsi="Arial" w:cs="Arial"/>
                <w:sz w:val="18"/>
                <w:szCs w:val="18"/>
              </w:rPr>
              <w:t>Ethylbenzene</w:t>
            </w:r>
            <w:proofErr w:type="spellEnd"/>
          </w:p>
        </w:tc>
        <w:tc>
          <w:tcPr>
            <w:tcW w:w="900" w:type="dxa"/>
            <w:vAlign w:val="center"/>
          </w:tcPr>
          <w:p w:rsidR="000B1151" w:rsidRPr="00CE43D3" w:rsidRDefault="000B1151" w:rsidP="004C67AE">
            <w:pPr>
              <w:keepNext/>
              <w:keepLines/>
              <w:jc w:val="center"/>
              <w:rPr>
                <w:sz w:val="20"/>
              </w:rPr>
            </w:pPr>
            <w:r w:rsidRPr="00CE43D3">
              <w:rPr>
                <w:sz w:val="20"/>
              </w:rPr>
              <w:t>100414</w:t>
            </w:r>
          </w:p>
        </w:tc>
        <w:tc>
          <w:tcPr>
            <w:tcW w:w="630" w:type="dxa"/>
            <w:vAlign w:val="center"/>
          </w:tcPr>
          <w:p w:rsidR="000B1151" w:rsidRPr="00CE43D3" w:rsidRDefault="000B1151" w:rsidP="004C67AE">
            <w:pPr>
              <w:keepNext/>
              <w:keepLines/>
              <w:jc w:val="center"/>
              <w:rPr>
                <w:sz w:val="20"/>
              </w:rPr>
            </w:pPr>
            <w:r w:rsidRPr="00CE43D3">
              <w:rPr>
                <w:sz w:val="20"/>
              </w:rPr>
              <w:t>0.50</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vertAlign w:val="superscript"/>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proofErr w:type="spellStart"/>
            <w:r w:rsidRPr="00CE43D3">
              <w:rPr>
                <w:rFonts w:ascii="Arial" w:hAnsi="Arial" w:cs="Arial"/>
                <w:sz w:val="18"/>
                <w:szCs w:val="18"/>
              </w:rPr>
              <w:t>Tetrachloroethylene</w:t>
            </w:r>
            <w:proofErr w:type="spellEnd"/>
          </w:p>
        </w:tc>
        <w:tc>
          <w:tcPr>
            <w:tcW w:w="900" w:type="dxa"/>
            <w:vAlign w:val="center"/>
          </w:tcPr>
          <w:p w:rsidR="000B1151" w:rsidRPr="00CE43D3" w:rsidRDefault="000B1151" w:rsidP="004C67AE">
            <w:pPr>
              <w:keepNext/>
              <w:keepLines/>
              <w:jc w:val="center"/>
              <w:rPr>
                <w:sz w:val="20"/>
              </w:rPr>
            </w:pPr>
            <w:r w:rsidRPr="00CE43D3">
              <w:rPr>
                <w:sz w:val="20"/>
              </w:rPr>
              <w:t>127184</w:t>
            </w:r>
          </w:p>
        </w:tc>
        <w:tc>
          <w:tcPr>
            <w:tcW w:w="630" w:type="dxa"/>
            <w:vAlign w:val="center"/>
          </w:tcPr>
          <w:p w:rsidR="000B1151" w:rsidRPr="00CE43D3" w:rsidRDefault="000B1151" w:rsidP="004C67AE">
            <w:pPr>
              <w:keepNext/>
              <w:keepLines/>
              <w:jc w:val="center"/>
              <w:rPr>
                <w:sz w:val="20"/>
              </w:rPr>
            </w:pPr>
            <w:r w:rsidRPr="00CE43D3">
              <w:rPr>
                <w:sz w:val="20"/>
              </w:rPr>
              <w:t>0.50</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Toluene</w:t>
            </w:r>
          </w:p>
        </w:tc>
        <w:tc>
          <w:tcPr>
            <w:tcW w:w="900" w:type="dxa"/>
            <w:vAlign w:val="center"/>
          </w:tcPr>
          <w:p w:rsidR="000B1151" w:rsidRPr="00CE43D3" w:rsidRDefault="000B1151" w:rsidP="004C67AE">
            <w:pPr>
              <w:keepNext/>
              <w:keepLines/>
              <w:jc w:val="center"/>
              <w:rPr>
                <w:sz w:val="20"/>
              </w:rPr>
            </w:pPr>
            <w:r w:rsidRPr="00CE43D3">
              <w:rPr>
                <w:sz w:val="20"/>
              </w:rPr>
              <w:t>108883</w:t>
            </w:r>
          </w:p>
        </w:tc>
        <w:tc>
          <w:tcPr>
            <w:tcW w:w="630" w:type="dxa"/>
            <w:vAlign w:val="center"/>
          </w:tcPr>
          <w:p w:rsidR="000B1151" w:rsidRPr="00CE43D3" w:rsidRDefault="000B1151" w:rsidP="004C67AE">
            <w:pPr>
              <w:keepNext/>
              <w:keepLines/>
              <w:jc w:val="center"/>
              <w:rPr>
                <w:sz w:val="20"/>
              </w:rPr>
            </w:pPr>
            <w:r w:rsidRPr="00CE43D3">
              <w:rPr>
                <w:sz w:val="20"/>
              </w:rPr>
              <w:t>0.50</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Trichloroethylene</w:t>
            </w:r>
          </w:p>
        </w:tc>
        <w:tc>
          <w:tcPr>
            <w:tcW w:w="900" w:type="dxa"/>
            <w:vAlign w:val="center"/>
          </w:tcPr>
          <w:p w:rsidR="000B1151" w:rsidRPr="00CE43D3" w:rsidRDefault="000B1151" w:rsidP="004C67AE">
            <w:pPr>
              <w:keepNext/>
              <w:keepLines/>
              <w:jc w:val="center"/>
              <w:rPr>
                <w:sz w:val="20"/>
              </w:rPr>
            </w:pPr>
            <w:r w:rsidRPr="00CE43D3">
              <w:rPr>
                <w:sz w:val="20"/>
              </w:rPr>
              <w:t>79016</w:t>
            </w:r>
          </w:p>
        </w:tc>
        <w:tc>
          <w:tcPr>
            <w:tcW w:w="630" w:type="dxa"/>
            <w:vAlign w:val="center"/>
          </w:tcPr>
          <w:p w:rsidR="000B1151" w:rsidRPr="00CE43D3" w:rsidRDefault="000B1151" w:rsidP="004C67AE">
            <w:pPr>
              <w:keepNext/>
              <w:keepLines/>
              <w:jc w:val="center"/>
              <w:rPr>
                <w:sz w:val="20"/>
              </w:rPr>
            </w:pPr>
            <w:r w:rsidRPr="00CE43D3">
              <w:rPr>
                <w:sz w:val="20"/>
              </w:rPr>
              <w:t>0.50</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vertAlign w:val="superscript"/>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1,2,4-Trimethylbenzene</w:t>
            </w:r>
          </w:p>
        </w:tc>
        <w:tc>
          <w:tcPr>
            <w:tcW w:w="90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95636</w:t>
            </w:r>
          </w:p>
        </w:tc>
        <w:tc>
          <w:tcPr>
            <w:tcW w:w="63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1,3,5-Trimethylbenzene</w:t>
            </w:r>
          </w:p>
        </w:tc>
        <w:tc>
          <w:tcPr>
            <w:tcW w:w="90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108678</w:t>
            </w:r>
          </w:p>
        </w:tc>
        <w:tc>
          <w:tcPr>
            <w:tcW w:w="63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Vinyl chloride</w:t>
            </w:r>
          </w:p>
        </w:tc>
        <w:tc>
          <w:tcPr>
            <w:tcW w:w="900" w:type="dxa"/>
            <w:vAlign w:val="center"/>
          </w:tcPr>
          <w:p w:rsidR="000B1151" w:rsidRPr="00CE43D3" w:rsidRDefault="000B1151" w:rsidP="004C67AE">
            <w:pPr>
              <w:keepNext/>
              <w:keepLines/>
              <w:jc w:val="center"/>
              <w:rPr>
                <w:sz w:val="20"/>
              </w:rPr>
            </w:pPr>
            <w:r w:rsidRPr="00CE43D3">
              <w:rPr>
                <w:sz w:val="20"/>
              </w:rPr>
              <w:t>75014</w:t>
            </w:r>
          </w:p>
        </w:tc>
        <w:tc>
          <w:tcPr>
            <w:tcW w:w="630" w:type="dxa"/>
            <w:vAlign w:val="center"/>
          </w:tcPr>
          <w:p w:rsidR="000B1151" w:rsidRPr="00CE43D3" w:rsidRDefault="000B1151" w:rsidP="004C67AE">
            <w:pPr>
              <w:keepNext/>
              <w:keepLines/>
              <w:jc w:val="center"/>
              <w:rPr>
                <w:sz w:val="20"/>
              </w:rPr>
            </w:pPr>
            <w:r w:rsidRPr="00CE43D3">
              <w:rPr>
                <w:sz w:val="20"/>
              </w:rPr>
              <w:t>0.50</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vertAlign w:val="superscript"/>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0B1151" w:rsidRPr="00CE43D3" w:rsidTr="00C33407">
        <w:trPr>
          <w:trHeight w:val="259"/>
          <w:jc w:val="center"/>
        </w:trPr>
        <w:tc>
          <w:tcPr>
            <w:tcW w:w="2401" w:type="dxa"/>
            <w:vAlign w:val="center"/>
          </w:tcPr>
          <w:p w:rsidR="000B1151" w:rsidRPr="00CE43D3" w:rsidRDefault="000B1151" w:rsidP="004C67AE">
            <w:pPr>
              <w:jc w:val="center"/>
              <w:rPr>
                <w:rFonts w:ascii="Arial" w:hAnsi="Arial" w:cs="Arial"/>
                <w:sz w:val="18"/>
                <w:szCs w:val="18"/>
              </w:rPr>
            </w:pPr>
            <w:proofErr w:type="spellStart"/>
            <w:r w:rsidRPr="00CE43D3">
              <w:rPr>
                <w:rFonts w:ascii="Arial" w:hAnsi="Arial" w:cs="Arial"/>
                <w:sz w:val="18"/>
                <w:szCs w:val="18"/>
              </w:rPr>
              <w:t>Xylene</w:t>
            </w:r>
            <w:proofErr w:type="spellEnd"/>
          </w:p>
        </w:tc>
        <w:tc>
          <w:tcPr>
            <w:tcW w:w="90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w:t>
            </w:r>
          </w:p>
        </w:tc>
        <w:tc>
          <w:tcPr>
            <w:tcW w:w="63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0B1151" w:rsidRPr="00CE43D3" w:rsidRDefault="000B1151"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0B1151" w:rsidRPr="00CE43D3" w:rsidRDefault="000B1151" w:rsidP="000B1151">
            <w:pPr>
              <w:jc w:val="center"/>
              <w:rPr>
                <w:rFonts w:ascii="Arial" w:hAnsi="Arial" w:cs="Arial"/>
                <w:sz w:val="18"/>
                <w:szCs w:val="18"/>
              </w:rPr>
            </w:pPr>
            <w:r>
              <w:rPr>
                <w:rFonts w:ascii="Arial" w:hAnsi="Arial" w:cs="Arial"/>
                <w:sz w:val="18"/>
                <w:szCs w:val="18"/>
              </w:rPr>
              <w:t>See Note 8</w:t>
            </w:r>
          </w:p>
        </w:tc>
        <w:tc>
          <w:tcPr>
            <w:tcW w:w="2221" w:type="dxa"/>
            <w:vAlign w:val="center"/>
          </w:tcPr>
          <w:p w:rsidR="000B1151" w:rsidRPr="00CE43D3" w:rsidRDefault="000B1151"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shd w:val="clear" w:color="auto" w:fill="D9D9D9" w:themeFill="background1" w:themeFillShade="D9"/>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Phenols</w:t>
            </w:r>
          </w:p>
        </w:tc>
        <w:tc>
          <w:tcPr>
            <w:tcW w:w="900" w:type="dxa"/>
            <w:shd w:val="clear" w:color="auto" w:fill="D9D9D9" w:themeFill="background1" w:themeFillShade="D9"/>
            <w:vAlign w:val="center"/>
          </w:tcPr>
          <w:p w:rsidR="00C33407" w:rsidRPr="00CE43D3" w:rsidRDefault="00C33407" w:rsidP="004C67AE">
            <w:pPr>
              <w:jc w:val="center"/>
              <w:rPr>
                <w:rFonts w:ascii="Arial" w:hAnsi="Arial" w:cs="Arial"/>
                <w:sz w:val="18"/>
                <w:szCs w:val="18"/>
              </w:rPr>
            </w:pPr>
          </w:p>
        </w:tc>
        <w:tc>
          <w:tcPr>
            <w:tcW w:w="630" w:type="dxa"/>
            <w:shd w:val="clear" w:color="auto" w:fill="D9D9D9" w:themeFill="background1" w:themeFillShade="D9"/>
            <w:vAlign w:val="center"/>
          </w:tcPr>
          <w:p w:rsidR="00C33407" w:rsidRPr="00CE43D3" w:rsidRDefault="00C33407" w:rsidP="004C67AE">
            <w:pPr>
              <w:jc w:val="center"/>
              <w:rPr>
                <w:rFonts w:ascii="Arial" w:hAnsi="Arial" w:cs="Arial"/>
                <w:sz w:val="18"/>
                <w:szCs w:val="18"/>
              </w:rPr>
            </w:pPr>
          </w:p>
        </w:tc>
        <w:tc>
          <w:tcPr>
            <w:tcW w:w="2520" w:type="dxa"/>
            <w:shd w:val="clear" w:color="auto" w:fill="D9D9D9" w:themeFill="background1" w:themeFillShade="D9"/>
            <w:vAlign w:val="center"/>
          </w:tcPr>
          <w:p w:rsidR="00C33407" w:rsidRPr="00CE43D3" w:rsidRDefault="00C33407" w:rsidP="004C67AE">
            <w:pPr>
              <w:jc w:val="center"/>
              <w:rPr>
                <w:rFonts w:ascii="Arial" w:hAnsi="Arial" w:cs="Arial"/>
                <w:sz w:val="18"/>
                <w:szCs w:val="18"/>
              </w:rPr>
            </w:pPr>
          </w:p>
        </w:tc>
        <w:tc>
          <w:tcPr>
            <w:tcW w:w="1890" w:type="dxa"/>
            <w:shd w:val="clear" w:color="auto" w:fill="D9D9D9" w:themeFill="background1" w:themeFillShade="D9"/>
            <w:vAlign w:val="center"/>
          </w:tcPr>
          <w:p w:rsidR="00C33407" w:rsidRPr="00CE43D3" w:rsidRDefault="00C33407" w:rsidP="004C67AE">
            <w:pPr>
              <w:jc w:val="center"/>
              <w:rPr>
                <w:rFonts w:ascii="Arial" w:hAnsi="Arial" w:cs="Arial"/>
                <w:sz w:val="18"/>
                <w:szCs w:val="18"/>
              </w:rPr>
            </w:pPr>
          </w:p>
        </w:tc>
        <w:tc>
          <w:tcPr>
            <w:tcW w:w="2221" w:type="dxa"/>
            <w:shd w:val="clear" w:color="auto" w:fill="D9D9D9" w:themeFill="background1" w:themeFillShade="D9"/>
            <w:vAlign w:val="center"/>
          </w:tcPr>
          <w:p w:rsidR="00C33407" w:rsidRPr="00CE43D3" w:rsidRDefault="00C33407" w:rsidP="004C67AE">
            <w:pPr>
              <w:jc w:val="center"/>
              <w:rPr>
                <w:rFonts w:ascii="Arial" w:hAnsi="Arial" w:cs="Arial"/>
                <w:sz w:val="18"/>
                <w:szCs w:val="18"/>
              </w:rPr>
            </w:pP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proofErr w:type="spellStart"/>
            <w:r w:rsidRPr="00CE43D3">
              <w:rPr>
                <w:rFonts w:ascii="Arial" w:hAnsi="Arial" w:cs="Arial"/>
                <w:sz w:val="18"/>
                <w:szCs w:val="18"/>
              </w:rPr>
              <w:t>Chlorophenol</w:t>
            </w:r>
            <w:proofErr w:type="spellEnd"/>
            <w:r w:rsidRPr="00CE43D3">
              <w:rPr>
                <w:rFonts w:ascii="Arial" w:hAnsi="Arial" w:cs="Arial"/>
                <w:sz w:val="18"/>
                <w:szCs w:val="18"/>
              </w:rPr>
              <w:t xml:space="preserve"> 2</w:t>
            </w:r>
          </w:p>
        </w:tc>
        <w:tc>
          <w:tcPr>
            <w:tcW w:w="900" w:type="dxa"/>
            <w:vAlign w:val="center"/>
          </w:tcPr>
          <w:p w:rsidR="00C33407" w:rsidRPr="00CE43D3" w:rsidRDefault="00C33407" w:rsidP="004C67AE">
            <w:pPr>
              <w:keepNext/>
              <w:keepLines/>
              <w:jc w:val="center"/>
              <w:rPr>
                <w:sz w:val="20"/>
              </w:rPr>
            </w:pPr>
            <w:r w:rsidRPr="00CE43D3">
              <w:rPr>
                <w:sz w:val="20"/>
              </w:rPr>
              <w:t>95578</w:t>
            </w:r>
          </w:p>
        </w:tc>
        <w:tc>
          <w:tcPr>
            <w:tcW w:w="630" w:type="dxa"/>
            <w:vAlign w:val="center"/>
          </w:tcPr>
          <w:p w:rsidR="00C33407" w:rsidRPr="00CE43D3" w:rsidRDefault="00C33407" w:rsidP="004C67AE">
            <w:pPr>
              <w:keepNext/>
              <w:keepLines/>
              <w:jc w:val="center"/>
              <w:rPr>
                <w:sz w:val="20"/>
              </w:rPr>
            </w:pPr>
            <w:r w:rsidRPr="00CE43D3">
              <w:rPr>
                <w:sz w:val="20"/>
              </w:rPr>
              <w:t>1.0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proofErr w:type="spellStart"/>
            <w:r w:rsidRPr="00CE43D3">
              <w:rPr>
                <w:rFonts w:ascii="Arial" w:hAnsi="Arial" w:cs="Arial"/>
                <w:sz w:val="18"/>
                <w:szCs w:val="18"/>
              </w:rPr>
              <w:t>Dichlorophenol</w:t>
            </w:r>
            <w:proofErr w:type="spellEnd"/>
            <w:r w:rsidRPr="00CE43D3">
              <w:rPr>
                <w:rFonts w:ascii="Arial" w:hAnsi="Arial" w:cs="Arial"/>
                <w:sz w:val="18"/>
                <w:szCs w:val="18"/>
              </w:rPr>
              <w:t xml:space="preserve"> 2,4</w:t>
            </w:r>
          </w:p>
        </w:tc>
        <w:tc>
          <w:tcPr>
            <w:tcW w:w="900" w:type="dxa"/>
            <w:vAlign w:val="center"/>
          </w:tcPr>
          <w:p w:rsidR="00C33407" w:rsidRPr="00CE43D3" w:rsidRDefault="00C33407" w:rsidP="004C67AE">
            <w:pPr>
              <w:keepNext/>
              <w:keepLines/>
              <w:jc w:val="center"/>
              <w:rPr>
                <w:sz w:val="20"/>
              </w:rPr>
            </w:pPr>
            <w:r w:rsidRPr="00CE43D3">
              <w:rPr>
                <w:sz w:val="20"/>
              </w:rPr>
              <w:t>120832</w:t>
            </w:r>
          </w:p>
        </w:tc>
        <w:tc>
          <w:tcPr>
            <w:tcW w:w="630" w:type="dxa"/>
            <w:vAlign w:val="center"/>
          </w:tcPr>
          <w:p w:rsidR="00C33407" w:rsidRPr="00CE43D3" w:rsidRDefault="00C33407" w:rsidP="004C67AE">
            <w:pPr>
              <w:keepNext/>
              <w:keepLines/>
              <w:jc w:val="center"/>
              <w:rPr>
                <w:sz w:val="20"/>
              </w:rPr>
            </w:pPr>
            <w:r w:rsidRPr="00CE43D3">
              <w:rPr>
                <w:sz w:val="20"/>
              </w:rPr>
              <w:t>1.0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proofErr w:type="spellStart"/>
            <w:r w:rsidRPr="00CE43D3">
              <w:rPr>
                <w:rFonts w:ascii="Arial" w:hAnsi="Arial" w:cs="Arial"/>
                <w:sz w:val="18"/>
                <w:szCs w:val="18"/>
              </w:rPr>
              <w:t>Dimethylphenol</w:t>
            </w:r>
            <w:proofErr w:type="spellEnd"/>
            <w:r w:rsidRPr="00CE43D3">
              <w:rPr>
                <w:rFonts w:ascii="Arial" w:hAnsi="Arial" w:cs="Arial"/>
                <w:sz w:val="18"/>
                <w:szCs w:val="18"/>
              </w:rPr>
              <w:t xml:space="preserve"> 2,4</w:t>
            </w:r>
          </w:p>
        </w:tc>
        <w:tc>
          <w:tcPr>
            <w:tcW w:w="900" w:type="dxa"/>
            <w:vAlign w:val="center"/>
          </w:tcPr>
          <w:p w:rsidR="00C33407" w:rsidRPr="00CE43D3" w:rsidRDefault="00C33407" w:rsidP="004C67AE">
            <w:pPr>
              <w:keepNext/>
              <w:keepLines/>
              <w:jc w:val="center"/>
              <w:rPr>
                <w:sz w:val="20"/>
              </w:rPr>
            </w:pPr>
            <w:r w:rsidRPr="00CE43D3">
              <w:rPr>
                <w:sz w:val="20"/>
              </w:rPr>
              <w:t>105679</w:t>
            </w:r>
          </w:p>
        </w:tc>
        <w:tc>
          <w:tcPr>
            <w:tcW w:w="630" w:type="dxa"/>
            <w:vAlign w:val="center"/>
          </w:tcPr>
          <w:p w:rsidR="00C33407" w:rsidRPr="00CE43D3" w:rsidRDefault="00C33407" w:rsidP="004C67AE">
            <w:pPr>
              <w:keepNext/>
              <w:keepLines/>
              <w:jc w:val="center"/>
              <w:rPr>
                <w:sz w:val="20"/>
              </w:rPr>
            </w:pPr>
            <w:r w:rsidRPr="00CE43D3">
              <w:rPr>
                <w:sz w:val="20"/>
              </w:rPr>
              <w:t>5.0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vertAlign w:val="superscript"/>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Methyl-4,6-Dinitrophenol 2</w:t>
            </w:r>
          </w:p>
        </w:tc>
        <w:tc>
          <w:tcPr>
            <w:tcW w:w="90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534521</w:t>
            </w:r>
          </w:p>
        </w:tc>
        <w:tc>
          <w:tcPr>
            <w:tcW w:w="63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2.0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2-methylphenol</w:t>
            </w:r>
          </w:p>
        </w:tc>
        <w:tc>
          <w:tcPr>
            <w:tcW w:w="90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95487</w:t>
            </w:r>
          </w:p>
        </w:tc>
        <w:tc>
          <w:tcPr>
            <w:tcW w:w="63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2-nitrophenol</w:t>
            </w:r>
          </w:p>
        </w:tc>
        <w:tc>
          <w:tcPr>
            <w:tcW w:w="900" w:type="dxa"/>
            <w:vAlign w:val="center"/>
          </w:tcPr>
          <w:p w:rsidR="00C33407" w:rsidRPr="00CE43D3" w:rsidRDefault="00C33407" w:rsidP="004C67AE">
            <w:pPr>
              <w:keepNext/>
              <w:keepLines/>
              <w:jc w:val="center"/>
              <w:rPr>
                <w:sz w:val="20"/>
              </w:rPr>
            </w:pPr>
            <w:r w:rsidRPr="00CE43D3">
              <w:rPr>
                <w:sz w:val="20"/>
              </w:rPr>
              <w:t>88755</w:t>
            </w:r>
          </w:p>
        </w:tc>
        <w:tc>
          <w:tcPr>
            <w:tcW w:w="630" w:type="dxa"/>
            <w:vAlign w:val="center"/>
          </w:tcPr>
          <w:p w:rsidR="00C33407" w:rsidRPr="00CE43D3" w:rsidRDefault="00C33407" w:rsidP="00004D2C">
            <w:pPr>
              <w:keepNext/>
              <w:keepLines/>
              <w:jc w:val="center"/>
              <w:rPr>
                <w:sz w:val="20"/>
              </w:rPr>
            </w:pPr>
            <w:r w:rsidRPr="00CE43D3">
              <w:rPr>
                <w:sz w:val="20"/>
              </w:rPr>
              <w:t>2.0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4-nitrophenol</w:t>
            </w:r>
          </w:p>
        </w:tc>
        <w:tc>
          <w:tcPr>
            <w:tcW w:w="900" w:type="dxa"/>
            <w:vAlign w:val="center"/>
          </w:tcPr>
          <w:p w:rsidR="00C33407" w:rsidRPr="00CE43D3" w:rsidRDefault="00C33407" w:rsidP="004C67AE">
            <w:pPr>
              <w:keepNext/>
              <w:keepLines/>
              <w:jc w:val="center"/>
              <w:rPr>
                <w:sz w:val="20"/>
              </w:rPr>
            </w:pPr>
            <w:r w:rsidRPr="00CE43D3">
              <w:rPr>
                <w:sz w:val="20"/>
              </w:rPr>
              <w:t>100027</w:t>
            </w:r>
          </w:p>
        </w:tc>
        <w:tc>
          <w:tcPr>
            <w:tcW w:w="630" w:type="dxa"/>
            <w:vAlign w:val="center"/>
          </w:tcPr>
          <w:p w:rsidR="00C33407" w:rsidRPr="00CE43D3" w:rsidRDefault="00C33407" w:rsidP="00004D2C">
            <w:pPr>
              <w:keepNext/>
              <w:keepLines/>
              <w:jc w:val="center"/>
              <w:rPr>
                <w:sz w:val="20"/>
              </w:rPr>
            </w:pPr>
            <w:r w:rsidRPr="00CE43D3">
              <w:rPr>
                <w:sz w:val="20"/>
              </w:rPr>
              <w:t>5.0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Pentachlorophenol</w:t>
            </w:r>
          </w:p>
        </w:tc>
        <w:tc>
          <w:tcPr>
            <w:tcW w:w="900" w:type="dxa"/>
            <w:vAlign w:val="center"/>
          </w:tcPr>
          <w:p w:rsidR="00C33407" w:rsidRPr="00CE43D3" w:rsidRDefault="00C33407" w:rsidP="004C67AE">
            <w:pPr>
              <w:keepNext/>
              <w:keepLines/>
              <w:jc w:val="center"/>
              <w:rPr>
                <w:sz w:val="20"/>
              </w:rPr>
            </w:pPr>
            <w:r w:rsidRPr="00CE43D3">
              <w:rPr>
                <w:sz w:val="20"/>
              </w:rPr>
              <w:t>87865</w:t>
            </w:r>
          </w:p>
        </w:tc>
        <w:tc>
          <w:tcPr>
            <w:tcW w:w="630" w:type="dxa"/>
            <w:vAlign w:val="center"/>
          </w:tcPr>
          <w:p w:rsidR="00C33407" w:rsidRPr="00CE43D3" w:rsidRDefault="00C33407" w:rsidP="004C67AE">
            <w:pPr>
              <w:keepNext/>
              <w:keepLines/>
              <w:jc w:val="center"/>
              <w:rPr>
                <w:sz w:val="20"/>
              </w:rPr>
            </w:pPr>
            <w:r w:rsidRPr="00CE43D3">
              <w:rPr>
                <w:sz w:val="20"/>
              </w:rPr>
              <w:t>2.0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Phenol</w:t>
            </w:r>
          </w:p>
        </w:tc>
        <w:tc>
          <w:tcPr>
            <w:tcW w:w="900" w:type="dxa"/>
            <w:vAlign w:val="center"/>
          </w:tcPr>
          <w:p w:rsidR="00C33407" w:rsidRPr="00CE43D3" w:rsidRDefault="00C33407" w:rsidP="004C67AE">
            <w:pPr>
              <w:keepNext/>
              <w:keepLines/>
              <w:jc w:val="center"/>
              <w:rPr>
                <w:sz w:val="20"/>
              </w:rPr>
            </w:pPr>
            <w:r w:rsidRPr="00CE43D3">
              <w:rPr>
                <w:sz w:val="20"/>
              </w:rPr>
              <w:t>108952</w:t>
            </w:r>
          </w:p>
        </w:tc>
        <w:tc>
          <w:tcPr>
            <w:tcW w:w="630" w:type="dxa"/>
            <w:vAlign w:val="center"/>
          </w:tcPr>
          <w:p w:rsidR="00C33407" w:rsidRPr="00CE43D3" w:rsidRDefault="00C33407" w:rsidP="004C67AE">
            <w:pPr>
              <w:keepNext/>
              <w:keepLines/>
              <w:jc w:val="center"/>
              <w:rPr>
                <w:sz w:val="20"/>
              </w:rPr>
            </w:pPr>
            <w:r w:rsidRPr="00CE43D3">
              <w:rPr>
                <w:sz w:val="20"/>
              </w:rPr>
              <w:t>1.0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2,4,5-Trichlorophenol</w:t>
            </w:r>
          </w:p>
        </w:tc>
        <w:tc>
          <w:tcPr>
            <w:tcW w:w="900" w:type="dxa"/>
            <w:vAlign w:val="center"/>
          </w:tcPr>
          <w:p w:rsidR="00C33407" w:rsidRPr="00CE43D3" w:rsidRDefault="00C33407" w:rsidP="004C67AE">
            <w:pPr>
              <w:keepNext/>
              <w:keepLines/>
              <w:jc w:val="center"/>
              <w:rPr>
                <w:sz w:val="20"/>
              </w:rPr>
            </w:pPr>
            <w:r w:rsidRPr="00CE43D3">
              <w:rPr>
                <w:sz w:val="20"/>
              </w:rPr>
              <w:t>95954</w:t>
            </w:r>
          </w:p>
        </w:tc>
        <w:tc>
          <w:tcPr>
            <w:tcW w:w="630" w:type="dxa"/>
            <w:vAlign w:val="center"/>
          </w:tcPr>
          <w:p w:rsidR="00C33407" w:rsidRPr="00CE43D3" w:rsidRDefault="00C33407" w:rsidP="004C67AE">
            <w:pPr>
              <w:keepNext/>
              <w:keepLines/>
              <w:jc w:val="center"/>
              <w:rPr>
                <w:sz w:val="20"/>
              </w:rPr>
            </w:pPr>
            <w:r w:rsidRPr="00CE43D3">
              <w:rPr>
                <w:sz w:val="20"/>
              </w:rPr>
              <w:t>2.0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vertAlign w:val="superscript"/>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r w:rsidR="00C33407" w:rsidRPr="00CE43D3" w:rsidTr="00C33407">
        <w:trPr>
          <w:trHeight w:val="259"/>
          <w:jc w:val="center"/>
        </w:trPr>
        <w:tc>
          <w:tcPr>
            <w:tcW w:w="2401"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2,4,6-Trichlorophenol</w:t>
            </w:r>
          </w:p>
        </w:tc>
        <w:tc>
          <w:tcPr>
            <w:tcW w:w="900" w:type="dxa"/>
            <w:vAlign w:val="center"/>
          </w:tcPr>
          <w:p w:rsidR="00C33407" w:rsidRPr="00CE43D3" w:rsidRDefault="00C33407" w:rsidP="004C67AE">
            <w:pPr>
              <w:keepNext/>
              <w:keepLines/>
              <w:jc w:val="center"/>
              <w:rPr>
                <w:sz w:val="20"/>
              </w:rPr>
            </w:pPr>
            <w:r w:rsidRPr="00CE43D3">
              <w:rPr>
                <w:sz w:val="20"/>
              </w:rPr>
              <w:t>88062</w:t>
            </w:r>
          </w:p>
        </w:tc>
        <w:tc>
          <w:tcPr>
            <w:tcW w:w="630" w:type="dxa"/>
            <w:vAlign w:val="center"/>
          </w:tcPr>
          <w:p w:rsidR="00C33407" w:rsidRPr="00CE43D3" w:rsidRDefault="00C33407" w:rsidP="004C67AE">
            <w:pPr>
              <w:keepNext/>
              <w:keepLines/>
              <w:jc w:val="center"/>
              <w:rPr>
                <w:sz w:val="20"/>
              </w:rPr>
            </w:pPr>
            <w:r w:rsidRPr="00CE43D3">
              <w:rPr>
                <w:sz w:val="20"/>
              </w:rPr>
              <w:t>1.0</w:t>
            </w:r>
          </w:p>
        </w:tc>
        <w:tc>
          <w:tcPr>
            <w:tcW w:w="2520" w:type="dxa"/>
            <w:vAlign w:val="center"/>
          </w:tcPr>
          <w:p w:rsidR="00C33407" w:rsidRPr="00CE43D3" w:rsidRDefault="00C33407" w:rsidP="004C67AE">
            <w:pPr>
              <w:jc w:val="center"/>
              <w:rPr>
                <w:rFonts w:ascii="Arial" w:hAnsi="Arial" w:cs="Arial"/>
                <w:sz w:val="18"/>
                <w:szCs w:val="18"/>
              </w:rPr>
            </w:pPr>
            <w:r w:rsidRPr="00CE43D3">
              <w:rPr>
                <w:rFonts w:ascii="Arial" w:hAnsi="Arial" w:cs="Arial"/>
                <w:sz w:val="18"/>
                <w:szCs w:val="18"/>
              </w:rPr>
              <w:t>1/Quarter, when discharging</w:t>
            </w:r>
          </w:p>
        </w:tc>
        <w:tc>
          <w:tcPr>
            <w:tcW w:w="1890" w:type="dxa"/>
            <w:vAlign w:val="center"/>
          </w:tcPr>
          <w:p w:rsidR="00C33407" w:rsidRPr="00CE43D3" w:rsidRDefault="00C33407" w:rsidP="00E67CC9">
            <w:pPr>
              <w:jc w:val="center"/>
              <w:rPr>
                <w:rFonts w:ascii="Arial" w:hAnsi="Arial" w:cs="Arial"/>
                <w:sz w:val="18"/>
                <w:szCs w:val="18"/>
              </w:rPr>
            </w:pPr>
            <w:r w:rsidRPr="00CE43D3">
              <w:rPr>
                <w:rFonts w:ascii="Arial" w:hAnsi="Arial" w:cs="Arial"/>
                <w:sz w:val="18"/>
                <w:szCs w:val="18"/>
              </w:rPr>
              <w:t>24-hour Composite</w:t>
            </w:r>
          </w:p>
        </w:tc>
        <w:tc>
          <w:tcPr>
            <w:tcW w:w="2221" w:type="dxa"/>
            <w:vAlign w:val="center"/>
          </w:tcPr>
          <w:p w:rsidR="00C33407" w:rsidRPr="00CE43D3" w:rsidRDefault="00C33407" w:rsidP="00ED05DC">
            <w:pPr>
              <w:jc w:val="center"/>
              <w:rPr>
                <w:rFonts w:ascii="Arial" w:hAnsi="Arial" w:cs="Arial"/>
                <w:sz w:val="18"/>
                <w:szCs w:val="18"/>
              </w:rPr>
            </w:pPr>
            <w:r w:rsidRPr="00CE43D3">
              <w:rPr>
                <w:rFonts w:ascii="Arial" w:hAnsi="Arial" w:cs="Arial"/>
                <w:sz w:val="18"/>
                <w:szCs w:val="18"/>
              </w:rPr>
              <w:t>Daily Values</w:t>
            </w:r>
          </w:p>
        </w:tc>
      </w:tr>
    </w:tbl>
    <w:p w:rsidR="004C67AE" w:rsidRDefault="004C67AE" w:rsidP="007872A5"/>
    <w:p w:rsidR="004C67AE" w:rsidRPr="000B1151" w:rsidRDefault="00806B7A" w:rsidP="004C67AE">
      <w:pPr>
        <w:pStyle w:val="BodyText"/>
        <w:tabs>
          <w:tab w:val="left" w:pos="0"/>
        </w:tabs>
        <w:ind w:left="461" w:right="450" w:hanging="371"/>
        <w:outlineLvl w:val="0"/>
        <w:rPr>
          <w:rFonts w:ascii="Times New Roman" w:hAnsi="Times New Roman"/>
          <w:sz w:val="20"/>
          <w:u w:val="single"/>
        </w:rPr>
      </w:pPr>
      <w:r w:rsidRPr="000B1151">
        <w:rPr>
          <w:rFonts w:ascii="Times New Roman" w:hAnsi="Times New Roman"/>
          <w:sz w:val="20"/>
          <w:u w:val="single"/>
        </w:rPr>
        <w:t>Table B2</w:t>
      </w:r>
      <w:r w:rsidR="004C67AE" w:rsidRPr="000B1151">
        <w:rPr>
          <w:rFonts w:ascii="Times New Roman" w:hAnsi="Times New Roman"/>
          <w:sz w:val="20"/>
          <w:u w:val="single"/>
        </w:rPr>
        <w:t xml:space="preserve"> Notes:</w:t>
      </w:r>
    </w:p>
    <w:p w:rsidR="004C67AE" w:rsidRPr="000B1151" w:rsidRDefault="004C67AE" w:rsidP="00806B7A">
      <w:pPr>
        <w:pStyle w:val="ListParagraph"/>
        <w:keepNext/>
        <w:keepLines/>
        <w:numPr>
          <w:ilvl w:val="0"/>
          <w:numId w:val="24"/>
        </w:numPr>
        <w:rPr>
          <w:sz w:val="20"/>
          <w:szCs w:val="20"/>
        </w:rPr>
      </w:pPr>
      <w:r w:rsidRPr="000B1151">
        <w:rPr>
          <w:sz w:val="20"/>
          <w:szCs w:val="20"/>
        </w:rPr>
        <w:t>Chemical Abstract Service</w:t>
      </w:r>
    </w:p>
    <w:p w:rsidR="004C67AE" w:rsidRPr="000B1151" w:rsidRDefault="004C67AE" w:rsidP="00806B7A">
      <w:pPr>
        <w:pStyle w:val="BodyText"/>
        <w:numPr>
          <w:ilvl w:val="0"/>
          <w:numId w:val="24"/>
        </w:numPr>
        <w:tabs>
          <w:tab w:val="left" w:pos="0"/>
        </w:tabs>
        <w:ind w:right="450"/>
        <w:outlineLvl w:val="0"/>
        <w:rPr>
          <w:rFonts w:ascii="Times New Roman" w:hAnsi="Times New Roman"/>
          <w:sz w:val="20"/>
        </w:rPr>
      </w:pPr>
      <w:r w:rsidRPr="000B1151">
        <w:rPr>
          <w:rFonts w:ascii="Times New Roman" w:hAnsi="Times New Roman"/>
          <w:sz w:val="20"/>
        </w:rPr>
        <w:t>Some QL’s may need methods with modification allowed by EPA’s Solutions for Analytical Chemistry Problems w/Clean Water Methods, March 2007.</w:t>
      </w:r>
      <w:r w:rsidR="0080675D" w:rsidRPr="000B1151">
        <w:rPr>
          <w:rFonts w:ascii="Times New Roman" w:hAnsi="Times New Roman"/>
          <w:sz w:val="20"/>
        </w:rPr>
        <w:t xml:space="preserve">  The units for the QL’s shown are µg/L.</w:t>
      </w:r>
      <w:r w:rsidRPr="000B1151">
        <w:rPr>
          <w:rFonts w:ascii="Times New Roman" w:hAnsi="Times New Roman"/>
          <w:sz w:val="20"/>
        </w:rPr>
        <w:t xml:space="preserve">  </w:t>
      </w:r>
    </w:p>
    <w:p w:rsidR="004C67AE" w:rsidRPr="000B1151" w:rsidRDefault="004C67AE" w:rsidP="00806B7A">
      <w:pPr>
        <w:pStyle w:val="BodyText"/>
        <w:numPr>
          <w:ilvl w:val="0"/>
          <w:numId w:val="24"/>
        </w:numPr>
        <w:tabs>
          <w:tab w:val="left" w:pos="0"/>
        </w:tabs>
        <w:ind w:right="450"/>
        <w:outlineLvl w:val="0"/>
        <w:rPr>
          <w:rFonts w:ascii="Times New Roman" w:hAnsi="Times New Roman"/>
          <w:sz w:val="20"/>
        </w:rPr>
      </w:pPr>
      <w:r w:rsidRPr="000B1151">
        <w:rPr>
          <w:rFonts w:ascii="Times New Roman" w:hAnsi="Times New Roman"/>
          <w:sz w:val="20"/>
        </w:rPr>
        <w:t xml:space="preserve">Total Recoverable </w:t>
      </w:r>
    </w:p>
    <w:p w:rsidR="004C67AE" w:rsidRPr="000B1151" w:rsidRDefault="00A26438" w:rsidP="00806B7A">
      <w:pPr>
        <w:pStyle w:val="BodyText"/>
        <w:numPr>
          <w:ilvl w:val="0"/>
          <w:numId w:val="24"/>
        </w:numPr>
        <w:tabs>
          <w:tab w:val="left" w:pos="0"/>
        </w:tabs>
        <w:ind w:right="450"/>
        <w:outlineLvl w:val="0"/>
        <w:rPr>
          <w:rFonts w:ascii="Times New Roman" w:hAnsi="Times New Roman"/>
          <w:sz w:val="20"/>
        </w:rPr>
      </w:pPr>
      <w:r w:rsidRPr="000B1151">
        <w:rPr>
          <w:rFonts w:ascii="Times New Roman" w:hAnsi="Times New Roman"/>
          <w:sz w:val="20"/>
        </w:rPr>
        <w:t xml:space="preserve">Arsenic Methods: Measurement of Total Arsenic meets the requirement for Inorganic Arsenic as long as the Total Arsenic </w:t>
      </w:r>
      <w:r w:rsidR="00434311" w:rsidRPr="000B1151">
        <w:rPr>
          <w:rFonts w:ascii="Times New Roman" w:hAnsi="Times New Roman"/>
          <w:sz w:val="20"/>
        </w:rPr>
        <w:t xml:space="preserve">result </w:t>
      </w:r>
      <w:r w:rsidRPr="000B1151">
        <w:rPr>
          <w:rFonts w:ascii="Times New Roman" w:hAnsi="Times New Roman"/>
          <w:sz w:val="20"/>
        </w:rPr>
        <w:t xml:space="preserve">is &lt; 1.0 µg/L (the QL for Inorganic Arsenic).  </w:t>
      </w:r>
      <w:r w:rsidR="004C67AE" w:rsidRPr="000B1151">
        <w:rPr>
          <w:rFonts w:ascii="Times New Roman" w:hAnsi="Times New Roman"/>
          <w:sz w:val="20"/>
        </w:rPr>
        <w:t xml:space="preserve">Otherwise, Method 1632A should be used </w:t>
      </w:r>
      <w:r w:rsidR="00334A53" w:rsidRPr="000B1151">
        <w:rPr>
          <w:rFonts w:ascii="Times New Roman" w:hAnsi="Times New Roman"/>
          <w:sz w:val="20"/>
        </w:rPr>
        <w:t>to</w:t>
      </w:r>
      <w:r w:rsidR="004C67AE" w:rsidRPr="000B1151">
        <w:rPr>
          <w:rFonts w:ascii="Times New Roman" w:hAnsi="Times New Roman"/>
          <w:sz w:val="20"/>
        </w:rPr>
        <w:t xml:space="preserve"> monitor for Inorganic Arsenic.</w:t>
      </w:r>
    </w:p>
    <w:p w:rsidR="004C67AE" w:rsidRPr="000B1151" w:rsidRDefault="004C67AE" w:rsidP="00806B7A">
      <w:pPr>
        <w:pStyle w:val="BodyText"/>
        <w:numPr>
          <w:ilvl w:val="0"/>
          <w:numId w:val="24"/>
        </w:numPr>
        <w:tabs>
          <w:tab w:val="left" w:pos="0"/>
        </w:tabs>
        <w:ind w:right="450"/>
        <w:outlineLvl w:val="0"/>
        <w:rPr>
          <w:rFonts w:ascii="Times New Roman" w:hAnsi="Times New Roman"/>
          <w:sz w:val="20"/>
        </w:rPr>
      </w:pPr>
      <w:r w:rsidRPr="000B1151">
        <w:rPr>
          <w:rFonts w:ascii="Times New Roman" w:hAnsi="Times New Roman"/>
          <w:sz w:val="20"/>
        </w:rPr>
        <w:t>Chromium Methods: Measurement of Total Chromium meets the requirement for Chromium III and Chromium VI as long as the Total Chromium result is &lt; 10 µg/L.</w:t>
      </w:r>
    </w:p>
    <w:p w:rsidR="00434311" w:rsidRPr="000B1151" w:rsidRDefault="00434311" w:rsidP="00806B7A">
      <w:pPr>
        <w:pStyle w:val="BodyText"/>
        <w:numPr>
          <w:ilvl w:val="0"/>
          <w:numId w:val="24"/>
        </w:numPr>
        <w:tabs>
          <w:tab w:val="left" w:pos="0"/>
        </w:tabs>
        <w:ind w:right="450"/>
        <w:outlineLvl w:val="0"/>
        <w:rPr>
          <w:rFonts w:ascii="Times New Roman" w:hAnsi="Times New Roman"/>
          <w:color w:val="000000" w:themeColor="text1"/>
          <w:sz w:val="20"/>
        </w:rPr>
      </w:pPr>
      <w:r w:rsidRPr="000B1151">
        <w:rPr>
          <w:rFonts w:ascii="Times New Roman" w:hAnsi="Times New Roman"/>
          <w:color w:val="000000" w:themeColor="text1"/>
          <w:sz w:val="20"/>
        </w:rPr>
        <w:t xml:space="preserve">Total Recoverable </w:t>
      </w:r>
      <w:r w:rsidRPr="000B1151">
        <w:rPr>
          <w:rFonts w:ascii="Times New Roman" w:hAnsi="Times New Roman"/>
          <w:color w:val="000000" w:themeColor="text1"/>
          <w:sz w:val="20"/>
          <w:u w:val="single"/>
        </w:rPr>
        <w:t>and</w:t>
      </w:r>
      <w:r w:rsidRPr="000B1151">
        <w:rPr>
          <w:rFonts w:ascii="Times New Roman" w:hAnsi="Times New Roman"/>
          <w:color w:val="000000" w:themeColor="text1"/>
          <w:sz w:val="20"/>
        </w:rPr>
        <w:t xml:space="preserve"> Dissolved</w:t>
      </w:r>
    </w:p>
    <w:p w:rsidR="000B1151" w:rsidRPr="000B1151" w:rsidRDefault="000B1151" w:rsidP="00806B7A">
      <w:pPr>
        <w:pStyle w:val="BodyText"/>
        <w:numPr>
          <w:ilvl w:val="0"/>
          <w:numId w:val="24"/>
        </w:numPr>
        <w:tabs>
          <w:tab w:val="left" w:pos="0"/>
        </w:tabs>
        <w:ind w:right="450"/>
        <w:outlineLvl w:val="0"/>
        <w:rPr>
          <w:rFonts w:ascii="Times New Roman" w:hAnsi="Times New Roman"/>
          <w:color w:val="000000" w:themeColor="text1"/>
          <w:sz w:val="20"/>
        </w:rPr>
      </w:pPr>
      <w:r w:rsidRPr="000B1151">
        <w:rPr>
          <w:rFonts w:ascii="Times New Roman" w:hAnsi="Times New Roman"/>
          <w:color w:val="000000" w:themeColor="text1"/>
          <w:sz w:val="20"/>
        </w:rPr>
        <w:t xml:space="preserve">When sampling for Cyanide, at least six discrete grab samples must be collected over the operating day with samples collected no less than one hour apart. The aliquot must be at least 100 </w:t>
      </w:r>
      <w:proofErr w:type="spellStart"/>
      <w:r w:rsidRPr="000B1151">
        <w:rPr>
          <w:rFonts w:ascii="Times New Roman" w:hAnsi="Times New Roman"/>
          <w:color w:val="000000" w:themeColor="text1"/>
          <w:sz w:val="20"/>
        </w:rPr>
        <w:t>mL</w:t>
      </w:r>
      <w:proofErr w:type="spellEnd"/>
      <w:r w:rsidRPr="000B1151">
        <w:rPr>
          <w:rFonts w:ascii="Times New Roman" w:hAnsi="Times New Roman"/>
          <w:color w:val="000000" w:themeColor="text1"/>
          <w:sz w:val="20"/>
        </w:rPr>
        <w:t xml:space="preserve"> and collected and composited into a larger container that has been preserved with sodium hydroxide to insure sample integrity.</w:t>
      </w:r>
    </w:p>
    <w:p w:rsidR="00F93EF3" w:rsidRDefault="000B1151" w:rsidP="000B1151">
      <w:pPr>
        <w:pStyle w:val="ListParagraph"/>
        <w:numPr>
          <w:ilvl w:val="0"/>
          <w:numId w:val="24"/>
        </w:numPr>
        <w:tabs>
          <w:tab w:val="left" w:pos="0"/>
        </w:tabs>
        <w:ind w:right="450"/>
        <w:outlineLvl w:val="0"/>
      </w:pPr>
      <w:r w:rsidRPr="000B1151">
        <w:rPr>
          <w:color w:val="000000" w:themeColor="text1"/>
          <w:sz w:val="20"/>
          <w:szCs w:val="20"/>
        </w:rPr>
        <w:t xml:space="preserve">When sampling for VOCs six discrete samples (not less than 40 </w:t>
      </w:r>
      <w:proofErr w:type="spellStart"/>
      <w:r w:rsidRPr="000B1151">
        <w:rPr>
          <w:color w:val="000000" w:themeColor="text1"/>
          <w:sz w:val="20"/>
          <w:szCs w:val="20"/>
        </w:rPr>
        <w:t>mL</w:t>
      </w:r>
      <w:proofErr w:type="spellEnd"/>
      <w:r w:rsidRPr="000B1151">
        <w:rPr>
          <w:color w:val="000000" w:themeColor="text1"/>
          <w:sz w:val="20"/>
          <w:szCs w:val="20"/>
        </w:rPr>
        <w:t xml:space="preserve">) must be collected over the operating day at intervals of at least one hour.  The samples may be analyzed separately or composited.  If analyzed separately, the analytical results for all samples must be averaged for reporting purposes.  If composited, they must be proportionally composited in the laboratory at the time of analysis and this must be done in a manner that maintains the integrity of the samples and prevents the loss of volatile </w:t>
      </w:r>
      <w:proofErr w:type="spellStart"/>
      <w:r w:rsidRPr="000B1151">
        <w:rPr>
          <w:color w:val="000000" w:themeColor="text1"/>
          <w:sz w:val="20"/>
          <w:szCs w:val="20"/>
        </w:rPr>
        <w:t>analytes</w:t>
      </w:r>
      <w:proofErr w:type="spellEnd"/>
      <w:r w:rsidRPr="000B1151">
        <w:rPr>
          <w:color w:val="000000" w:themeColor="text1"/>
          <w:sz w:val="20"/>
          <w:szCs w:val="20"/>
        </w:rPr>
        <w:t xml:space="preserve">. The quantitation limits listed above remain in effect for composite samples.  </w:t>
      </w:r>
    </w:p>
    <w:p w:rsidR="00F93EF3" w:rsidRPr="0080034F" w:rsidRDefault="00F93EF3" w:rsidP="00957295">
      <w:pPr>
        <w:pStyle w:val="Heading2"/>
        <w:keepNext w:val="0"/>
        <w:keepLines w:val="0"/>
        <w:numPr>
          <w:ilvl w:val="1"/>
          <w:numId w:val="2"/>
        </w:numPr>
        <w:suppressAutoHyphens/>
        <w:spacing w:after="120"/>
        <w:rPr>
          <w:color w:val="000000" w:themeColor="text1"/>
        </w:rPr>
      </w:pPr>
      <w:bookmarkStart w:id="17" w:name="_Toc335998300"/>
      <w:bookmarkStart w:id="18" w:name="_Toc336419210"/>
      <w:r w:rsidRPr="0080034F">
        <w:rPr>
          <w:color w:val="000000" w:themeColor="text1"/>
        </w:rPr>
        <w:lastRenderedPageBreak/>
        <w:t>Minimum Reporting Requirements</w:t>
      </w:r>
      <w:bookmarkEnd w:id="17"/>
      <w:bookmarkEnd w:id="18"/>
    </w:p>
    <w:p w:rsidR="00F93EF3" w:rsidRPr="0080034F" w:rsidRDefault="00F93EF3" w:rsidP="00F93EF3">
      <w:pPr>
        <w:ind w:left="432"/>
      </w:pPr>
      <w:r w:rsidRPr="0080034F">
        <w:t xml:space="preserve">The permittee must report monitoring results as listed </w:t>
      </w:r>
      <w:r w:rsidR="00ED05DC">
        <w:t xml:space="preserve">in the table </w:t>
      </w:r>
      <w:r w:rsidRPr="0080034F">
        <w:t xml:space="preserve">below.  </w:t>
      </w:r>
    </w:p>
    <w:p w:rsidR="00F93EF3" w:rsidRPr="00731D45" w:rsidRDefault="00F93EF3" w:rsidP="00F93EF3">
      <w:pPr>
        <w:rPr>
          <w:color w:val="1F497D" w:themeColor="text2"/>
        </w:rPr>
      </w:pPr>
    </w:p>
    <w:tbl>
      <w:tblPr>
        <w:tblStyle w:val="TableGrid"/>
        <w:tblW w:w="9855" w:type="dxa"/>
        <w:jc w:val="center"/>
        <w:tblLayout w:type="fixed"/>
        <w:tblLook w:val="04A0"/>
      </w:tblPr>
      <w:tblGrid>
        <w:gridCol w:w="2565"/>
        <w:gridCol w:w="1710"/>
        <w:gridCol w:w="1620"/>
        <w:gridCol w:w="2003"/>
        <w:gridCol w:w="1957"/>
      </w:tblGrid>
      <w:tr w:rsidR="0080034F" w:rsidRPr="00731D45" w:rsidTr="00F7004F">
        <w:trPr>
          <w:cantSplit/>
          <w:trHeight w:val="432"/>
          <w:tblHeader/>
          <w:jc w:val="center"/>
        </w:trPr>
        <w:tc>
          <w:tcPr>
            <w:tcW w:w="9855" w:type="dxa"/>
            <w:gridSpan w:val="5"/>
            <w:shd w:val="clear" w:color="auto" w:fill="D9D9D9" w:themeFill="background1" w:themeFillShade="D9"/>
            <w:vAlign w:val="center"/>
          </w:tcPr>
          <w:p w:rsidR="0080034F" w:rsidRPr="00E713E2" w:rsidRDefault="0080034F" w:rsidP="0080034F">
            <w:pPr>
              <w:pStyle w:val="Caption"/>
              <w:spacing w:after="0"/>
              <w:rPr>
                <w:rFonts w:ascii="Times New Roman" w:hAnsi="Times New Roman"/>
                <w:sz w:val="22"/>
                <w:szCs w:val="22"/>
              </w:rPr>
            </w:pPr>
            <w:r w:rsidRPr="00E713E2">
              <w:rPr>
                <w:rFonts w:ascii="Times New Roman" w:hAnsi="Times New Roman"/>
                <w:sz w:val="22"/>
                <w:szCs w:val="22"/>
              </w:rPr>
              <w:t>Table B3: Minimum Reporting Requirements and Due Dates</w:t>
            </w:r>
          </w:p>
        </w:tc>
      </w:tr>
      <w:tr w:rsidR="00F93EF3" w:rsidRPr="00731D45" w:rsidTr="00F42C7A">
        <w:trPr>
          <w:cantSplit/>
          <w:trHeight w:val="432"/>
          <w:tblHeader/>
          <w:jc w:val="center"/>
        </w:trPr>
        <w:tc>
          <w:tcPr>
            <w:tcW w:w="2565" w:type="dxa"/>
            <w:shd w:val="clear" w:color="auto" w:fill="D9D9D9" w:themeFill="background1" w:themeFillShade="D9"/>
            <w:vAlign w:val="center"/>
          </w:tcPr>
          <w:p w:rsidR="00F93EF3" w:rsidRPr="00F42C7A" w:rsidRDefault="00F93EF3" w:rsidP="00F93EF3">
            <w:pPr>
              <w:jc w:val="center"/>
              <w:rPr>
                <w:b/>
                <w:u w:val="single"/>
              </w:rPr>
            </w:pPr>
            <w:r w:rsidRPr="00F42C7A">
              <w:rPr>
                <w:b/>
                <w:u w:val="single"/>
              </w:rPr>
              <w:t>Reporting Requirement</w:t>
            </w:r>
          </w:p>
        </w:tc>
        <w:tc>
          <w:tcPr>
            <w:tcW w:w="1710" w:type="dxa"/>
            <w:shd w:val="clear" w:color="auto" w:fill="D9D9D9" w:themeFill="background1" w:themeFillShade="D9"/>
            <w:vAlign w:val="center"/>
          </w:tcPr>
          <w:p w:rsidR="00F93EF3" w:rsidRPr="00F42C7A" w:rsidRDefault="00F93EF3" w:rsidP="00F93EF3">
            <w:pPr>
              <w:jc w:val="center"/>
              <w:rPr>
                <w:b/>
                <w:u w:val="single"/>
              </w:rPr>
            </w:pPr>
            <w:r w:rsidRPr="00F42C7A">
              <w:rPr>
                <w:b/>
                <w:u w:val="single"/>
              </w:rPr>
              <w:t>Frequency</w:t>
            </w:r>
          </w:p>
        </w:tc>
        <w:tc>
          <w:tcPr>
            <w:tcW w:w="1620" w:type="dxa"/>
            <w:shd w:val="clear" w:color="auto" w:fill="D9D9D9" w:themeFill="background1" w:themeFillShade="D9"/>
            <w:vAlign w:val="center"/>
          </w:tcPr>
          <w:p w:rsidR="00F93EF3" w:rsidRPr="00F42C7A" w:rsidRDefault="00F93EF3" w:rsidP="00F93EF3">
            <w:pPr>
              <w:jc w:val="center"/>
              <w:rPr>
                <w:b/>
                <w:u w:val="single"/>
              </w:rPr>
            </w:pPr>
            <w:r w:rsidRPr="00F42C7A">
              <w:rPr>
                <w:b/>
                <w:u w:val="single"/>
              </w:rPr>
              <w:t>Due Date</w:t>
            </w:r>
          </w:p>
        </w:tc>
        <w:tc>
          <w:tcPr>
            <w:tcW w:w="2003" w:type="dxa"/>
            <w:shd w:val="clear" w:color="auto" w:fill="D9D9D9" w:themeFill="background1" w:themeFillShade="D9"/>
            <w:vAlign w:val="center"/>
          </w:tcPr>
          <w:p w:rsidR="00F93EF3" w:rsidRPr="00E713E2" w:rsidRDefault="00F93EF3" w:rsidP="00F93EF3">
            <w:pPr>
              <w:jc w:val="center"/>
              <w:rPr>
                <w:b/>
                <w:vertAlign w:val="superscript"/>
              </w:rPr>
            </w:pPr>
            <w:r w:rsidRPr="00F42C7A">
              <w:rPr>
                <w:b/>
                <w:u w:val="single"/>
              </w:rPr>
              <w:t>Report Form</w:t>
            </w:r>
            <w:r w:rsidRPr="00E713E2">
              <w:rPr>
                <w:b/>
              </w:rPr>
              <w:t xml:space="preserve"> </w:t>
            </w:r>
            <w:r w:rsidRPr="00F42C7A">
              <w:rPr>
                <w:b/>
                <w:sz w:val="20"/>
                <w:szCs w:val="20"/>
              </w:rPr>
              <w:t>(unless otherwise specified in writing)</w:t>
            </w:r>
          </w:p>
        </w:tc>
        <w:tc>
          <w:tcPr>
            <w:tcW w:w="1957" w:type="dxa"/>
            <w:shd w:val="clear" w:color="auto" w:fill="D9D9D9" w:themeFill="background1" w:themeFillShade="D9"/>
            <w:vAlign w:val="center"/>
          </w:tcPr>
          <w:p w:rsidR="00F93EF3" w:rsidRPr="00F42C7A" w:rsidRDefault="00F93EF3" w:rsidP="00F93EF3">
            <w:pPr>
              <w:jc w:val="center"/>
              <w:rPr>
                <w:rFonts w:ascii="Arial" w:hAnsi="Arial" w:cs="Arial"/>
                <w:b/>
                <w:sz w:val="20"/>
                <w:szCs w:val="20"/>
                <w:u w:val="single"/>
              </w:rPr>
            </w:pPr>
            <w:r w:rsidRPr="00F42C7A">
              <w:rPr>
                <w:rFonts w:ascii="Arial" w:hAnsi="Arial" w:cs="Arial"/>
                <w:b/>
                <w:sz w:val="20"/>
                <w:szCs w:val="20"/>
                <w:u w:val="single"/>
              </w:rPr>
              <w:t>Submit To:</w:t>
            </w:r>
          </w:p>
        </w:tc>
      </w:tr>
      <w:tr w:rsidR="00F93EF3" w:rsidRPr="00731D45" w:rsidTr="00F42C7A">
        <w:trPr>
          <w:cantSplit/>
          <w:trHeight w:val="1475"/>
          <w:jc w:val="center"/>
        </w:trPr>
        <w:tc>
          <w:tcPr>
            <w:tcW w:w="2565" w:type="dxa"/>
            <w:vAlign w:val="center"/>
          </w:tcPr>
          <w:p w:rsidR="00F93EF3" w:rsidRPr="00E713E2" w:rsidRDefault="0080034F" w:rsidP="00ED05DC">
            <w:pPr>
              <w:jc w:val="center"/>
              <w:rPr>
                <w:bCs/>
              </w:rPr>
            </w:pPr>
            <w:r w:rsidRPr="00E713E2">
              <w:t>Table B.1: Outfall 001 Compliance Monitoring</w:t>
            </w:r>
          </w:p>
        </w:tc>
        <w:tc>
          <w:tcPr>
            <w:tcW w:w="1710" w:type="dxa"/>
            <w:vAlign w:val="center"/>
          </w:tcPr>
          <w:p w:rsidR="00F93EF3" w:rsidRPr="00E713E2" w:rsidRDefault="00F93EF3" w:rsidP="00ED05DC">
            <w:pPr>
              <w:jc w:val="center"/>
              <w:rPr>
                <w:highlight w:val="yellow"/>
              </w:rPr>
            </w:pPr>
            <w:r w:rsidRPr="00E713E2">
              <w:t>Monthly</w:t>
            </w:r>
          </w:p>
        </w:tc>
        <w:tc>
          <w:tcPr>
            <w:tcW w:w="1620" w:type="dxa"/>
            <w:vAlign w:val="center"/>
          </w:tcPr>
          <w:p w:rsidR="00F93EF3" w:rsidRPr="00E713E2" w:rsidRDefault="00F93EF3" w:rsidP="00ED05DC">
            <w:pPr>
              <w:jc w:val="center"/>
              <w:rPr>
                <w:highlight w:val="yellow"/>
              </w:rPr>
            </w:pPr>
            <w:r w:rsidRPr="00E713E2">
              <w:t>15</w:t>
            </w:r>
            <w:r w:rsidRPr="00E713E2">
              <w:rPr>
                <w:vertAlign w:val="superscript"/>
              </w:rPr>
              <w:t>th</w:t>
            </w:r>
            <w:r w:rsidRPr="00E713E2">
              <w:t xml:space="preserve"> day of the month following data collection</w:t>
            </w:r>
          </w:p>
        </w:tc>
        <w:tc>
          <w:tcPr>
            <w:tcW w:w="2003" w:type="dxa"/>
            <w:vAlign w:val="center"/>
          </w:tcPr>
          <w:p w:rsidR="00F93EF3" w:rsidRPr="00E713E2" w:rsidRDefault="00F93EF3" w:rsidP="00ED05DC">
            <w:pPr>
              <w:jc w:val="center"/>
            </w:pPr>
            <w:r w:rsidRPr="00E713E2">
              <w:t>DEQ-approved discharge monitoring report (DMR) form. (See Note)</w:t>
            </w:r>
          </w:p>
        </w:tc>
        <w:tc>
          <w:tcPr>
            <w:tcW w:w="1957" w:type="dxa"/>
            <w:vAlign w:val="center"/>
          </w:tcPr>
          <w:p w:rsidR="00F93EF3" w:rsidRPr="002E581A" w:rsidRDefault="00F93EF3" w:rsidP="00ED05DC">
            <w:pPr>
              <w:jc w:val="center"/>
              <w:rPr>
                <w:sz w:val="20"/>
                <w:szCs w:val="20"/>
              </w:rPr>
            </w:pPr>
            <w:r w:rsidRPr="002E581A">
              <w:rPr>
                <w:sz w:val="20"/>
                <w:szCs w:val="20"/>
              </w:rPr>
              <w:t>DEQ Regional Office</w:t>
            </w:r>
            <w:r w:rsidR="00F42C7A">
              <w:rPr>
                <w:sz w:val="20"/>
                <w:szCs w:val="20"/>
              </w:rPr>
              <w:t>, Water Quality Program</w:t>
            </w:r>
          </w:p>
        </w:tc>
      </w:tr>
      <w:tr w:rsidR="007A79FD" w:rsidRPr="00731D45" w:rsidTr="00F42C7A">
        <w:trPr>
          <w:cantSplit/>
          <w:trHeight w:val="917"/>
          <w:jc w:val="center"/>
        </w:trPr>
        <w:tc>
          <w:tcPr>
            <w:tcW w:w="2565" w:type="dxa"/>
            <w:vAlign w:val="center"/>
          </w:tcPr>
          <w:p w:rsidR="007A79FD" w:rsidRPr="00E713E2" w:rsidRDefault="007A79FD" w:rsidP="00E713E2">
            <w:pPr>
              <w:jc w:val="center"/>
              <w:rPr>
                <w:bCs/>
              </w:rPr>
            </w:pPr>
            <w:r w:rsidRPr="00E713E2">
              <w:t>Table B.2: Outfall 001 Characterization Monitoring</w:t>
            </w:r>
          </w:p>
        </w:tc>
        <w:tc>
          <w:tcPr>
            <w:tcW w:w="1710" w:type="dxa"/>
            <w:vAlign w:val="center"/>
          </w:tcPr>
          <w:p w:rsidR="007A79FD" w:rsidRPr="00E713E2" w:rsidRDefault="007A79FD" w:rsidP="00ED05DC">
            <w:pPr>
              <w:jc w:val="center"/>
            </w:pPr>
            <w:r w:rsidRPr="00E713E2">
              <w:t>Quarterly</w:t>
            </w:r>
          </w:p>
        </w:tc>
        <w:tc>
          <w:tcPr>
            <w:tcW w:w="1620" w:type="dxa"/>
            <w:vAlign w:val="center"/>
          </w:tcPr>
          <w:p w:rsidR="007A79FD" w:rsidRPr="00E713E2" w:rsidRDefault="007A79FD" w:rsidP="00ED05DC">
            <w:pPr>
              <w:jc w:val="center"/>
              <w:rPr>
                <w:i/>
                <w:highlight w:val="yellow"/>
              </w:rPr>
            </w:pPr>
          </w:p>
        </w:tc>
        <w:tc>
          <w:tcPr>
            <w:tcW w:w="2003" w:type="dxa"/>
            <w:vAlign w:val="center"/>
          </w:tcPr>
          <w:p w:rsidR="007A79FD" w:rsidRPr="00E713E2" w:rsidRDefault="007A79FD" w:rsidP="00ED05DC">
            <w:pPr>
              <w:jc w:val="center"/>
            </w:pPr>
            <w:r w:rsidRPr="00E713E2">
              <w:t>1 hard copy and 1 electronic copy</w:t>
            </w:r>
          </w:p>
        </w:tc>
        <w:tc>
          <w:tcPr>
            <w:tcW w:w="1957" w:type="dxa"/>
            <w:vAlign w:val="center"/>
          </w:tcPr>
          <w:p w:rsidR="007A79FD" w:rsidRPr="002E581A" w:rsidRDefault="00F42C7A" w:rsidP="00ED05DC">
            <w:pPr>
              <w:jc w:val="center"/>
              <w:rPr>
                <w:sz w:val="20"/>
                <w:szCs w:val="20"/>
              </w:rPr>
            </w:pPr>
            <w:r w:rsidRPr="002E581A">
              <w:rPr>
                <w:sz w:val="20"/>
                <w:szCs w:val="20"/>
              </w:rPr>
              <w:t>DEQ Regional Office</w:t>
            </w:r>
            <w:r>
              <w:rPr>
                <w:sz w:val="20"/>
                <w:szCs w:val="20"/>
              </w:rPr>
              <w:t>, Water Quality Program</w:t>
            </w:r>
          </w:p>
        </w:tc>
      </w:tr>
      <w:tr w:rsidR="00F93EF3" w:rsidRPr="00731D45" w:rsidTr="00F42C7A">
        <w:trPr>
          <w:cantSplit/>
          <w:trHeight w:val="1520"/>
          <w:jc w:val="center"/>
        </w:trPr>
        <w:tc>
          <w:tcPr>
            <w:tcW w:w="2565" w:type="dxa"/>
            <w:vAlign w:val="center"/>
          </w:tcPr>
          <w:p w:rsidR="00F93EF3" w:rsidRPr="00E713E2" w:rsidRDefault="00E713E2" w:rsidP="00ED05DC">
            <w:pPr>
              <w:jc w:val="center"/>
            </w:pPr>
            <w:r w:rsidRPr="00E713E2">
              <w:t xml:space="preserve">Total </w:t>
            </w:r>
            <w:r w:rsidR="0080034F" w:rsidRPr="00E713E2">
              <w:t>Cyanide Report</w:t>
            </w:r>
            <w:r w:rsidR="002E581A" w:rsidRPr="00E713E2">
              <w:t xml:space="preserve"> (as described in Condition A.1)</w:t>
            </w:r>
          </w:p>
        </w:tc>
        <w:tc>
          <w:tcPr>
            <w:tcW w:w="1710" w:type="dxa"/>
            <w:vAlign w:val="center"/>
          </w:tcPr>
          <w:p w:rsidR="00F93EF3" w:rsidRPr="00E713E2" w:rsidRDefault="002E581A" w:rsidP="00ED05DC">
            <w:pPr>
              <w:jc w:val="center"/>
            </w:pPr>
            <w:r w:rsidRPr="00E713E2">
              <w:t>One time – Submission is at the discretion of the permittee</w:t>
            </w:r>
          </w:p>
        </w:tc>
        <w:tc>
          <w:tcPr>
            <w:tcW w:w="1620" w:type="dxa"/>
            <w:vAlign w:val="center"/>
          </w:tcPr>
          <w:p w:rsidR="00F93EF3" w:rsidRPr="00E713E2" w:rsidRDefault="00F93EF3" w:rsidP="00ED05DC">
            <w:pPr>
              <w:jc w:val="center"/>
              <w:rPr>
                <w:highlight w:val="yellow"/>
              </w:rPr>
            </w:pPr>
            <w:r w:rsidRPr="00E713E2">
              <w:t xml:space="preserve">Within </w:t>
            </w:r>
            <w:r w:rsidR="002E581A" w:rsidRPr="00E713E2">
              <w:t>18 months of the first discharge under this permit</w:t>
            </w:r>
          </w:p>
        </w:tc>
        <w:tc>
          <w:tcPr>
            <w:tcW w:w="2003" w:type="dxa"/>
            <w:vAlign w:val="center"/>
          </w:tcPr>
          <w:p w:rsidR="00F93EF3" w:rsidRPr="00E713E2" w:rsidRDefault="00F93EF3" w:rsidP="00ED05DC">
            <w:pPr>
              <w:jc w:val="center"/>
            </w:pPr>
            <w:r w:rsidRPr="00E713E2">
              <w:t>1 hard copy and 1 electronic copy</w:t>
            </w:r>
          </w:p>
        </w:tc>
        <w:tc>
          <w:tcPr>
            <w:tcW w:w="1957" w:type="dxa"/>
            <w:vAlign w:val="center"/>
          </w:tcPr>
          <w:p w:rsidR="00F93EF3" w:rsidRPr="002E581A" w:rsidRDefault="00F42C7A" w:rsidP="00ED05DC">
            <w:pPr>
              <w:jc w:val="center"/>
              <w:rPr>
                <w:sz w:val="20"/>
                <w:szCs w:val="20"/>
              </w:rPr>
            </w:pPr>
            <w:r w:rsidRPr="002E581A">
              <w:rPr>
                <w:sz w:val="20"/>
                <w:szCs w:val="20"/>
              </w:rPr>
              <w:t>DEQ Regional Office</w:t>
            </w:r>
            <w:r>
              <w:rPr>
                <w:sz w:val="20"/>
                <w:szCs w:val="20"/>
              </w:rPr>
              <w:t>, Water Quality Program</w:t>
            </w:r>
          </w:p>
        </w:tc>
      </w:tr>
      <w:tr w:rsidR="00F93EF3" w:rsidRPr="00731D45" w:rsidTr="00F7004F">
        <w:trPr>
          <w:cantSplit/>
          <w:trHeight w:val="413"/>
          <w:jc w:val="center"/>
        </w:trPr>
        <w:tc>
          <w:tcPr>
            <w:tcW w:w="9855" w:type="dxa"/>
            <w:gridSpan w:val="5"/>
            <w:vAlign w:val="center"/>
          </w:tcPr>
          <w:p w:rsidR="00F93EF3" w:rsidRPr="00E713E2" w:rsidRDefault="00F93EF3" w:rsidP="00F42C7A">
            <w:r w:rsidRPr="00E713E2">
              <w:t>Note:</w:t>
            </w:r>
            <w:r w:rsidR="002E581A" w:rsidRPr="00E713E2">
              <w:t xml:space="preserve"> </w:t>
            </w:r>
            <w:r w:rsidR="007A79FD" w:rsidRPr="00E713E2">
              <w:t>Treatment system</w:t>
            </w:r>
            <w:r w:rsidRPr="00E713E2">
              <w:t xml:space="preserve"> breakdowns and </w:t>
            </w:r>
            <w:r w:rsidR="007A79FD" w:rsidRPr="00E713E2">
              <w:t xml:space="preserve">any </w:t>
            </w:r>
            <w:r w:rsidRPr="00E713E2">
              <w:t>bypass events must be noted on DMRs.</w:t>
            </w:r>
          </w:p>
        </w:tc>
      </w:tr>
    </w:tbl>
    <w:p w:rsidR="00F93EF3" w:rsidRDefault="00F93EF3" w:rsidP="007872A5">
      <w:pPr>
        <w:sectPr w:rsidR="00F93EF3" w:rsidSect="002F627C">
          <w:endnotePr>
            <w:numFmt w:val="decimal"/>
          </w:endnotePr>
          <w:pgSz w:w="12240" w:h="15840"/>
          <w:pgMar w:top="1440" w:right="1080" w:bottom="1440" w:left="1080" w:header="432" w:footer="432" w:gutter="0"/>
          <w:cols w:space="720"/>
          <w:docGrid w:linePitch="360"/>
        </w:sectPr>
      </w:pPr>
    </w:p>
    <w:p w:rsidR="00F532C2" w:rsidRDefault="00337397" w:rsidP="00593CBD">
      <w:pPr>
        <w:pStyle w:val="Heading1"/>
      </w:pPr>
      <w:bookmarkStart w:id="19" w:name="_Ref328576021"/>
      <w:bookmarkStart w:id="20" w:name="_Toc334185250"/>
      <w:r w:rsidRPr="00641171">
        <w:lastRenderedPageBreak/>
        <w:t>S</w:t>
      </w:r>
      <w:r w:rsidR="005D0CDF" w:rsidRPr="00641171">
        <w:t>CHEDULE</w:t>
      </w:r>
      <w:r w:rsidRPr="00641171">
        <w:t xml:space="preserve"> D</w:t>
      </w:r>
      <w:bookmarkEnd w:id="19"/>
      <w:r w:rsidR="008B631B">
        <w:br/>
      </w:r>
      <w:r w:rsidRPr="00337397">
        <w:t>Special Conditions</w:t>
      </w:r>
      <w:bookmarkEnd w:id="20"/>
    </w:p>
    <w:p w:rsidR="00AB7C26" w:rsidRDefault="00AB7C26" w:rsidP="00AB7C26">
      <w:pPr>
        <w:rPr>
          <w:highlight w:val="yellow"/>
        </w:rPr>
      </w:pPr>
    </w:p>
    <w:p w:rsidR="00760300" w:rsidRDefault="00760300" w:rsidP="00957295">
      <w:pPr>
        <w:pStyle w:val="Heading2"/>
        <w:keepNext w:val="0"/>
        <w:keepLines w:val="0"/>
        <w:suppressAutoHyphens/>
        <w:spacing w:after="120"/>
      </w:pPr>
      <w:bookmarkStart w:id="21" w:name="_Toc334185263"/>
      <w:r>
        <w:t>Spill</w:t>
      </w:r>
      <w:r w:rsidR="00432FCF">
        <w:t>/Emergency</w:t>
      </w:r>
      <w:r>
        <w:t xml:space="preserve"> Response</w:t>
      </w:r>
      <w:r w:rsidR="003A32E0">
        <w:t xml:space="preserve"> Plan</w:t>
      </w:r>
      <w:bookmarkEnd w:id="21"/>
    </w:p>
    <w:p w:rsidR="00ED2B41" w:rsidRPr="005D061C" w:rsidRDefault="00ED2B41" w:rsidP="00ED2B41">
      <w:pPr>
        <w:ind w:left="432"/>
      </w:pPr>
      <w:r w:rsidRPr="005D061C">
        <w:t>The permittee</w:t>
      </w:r>
      <w:r w:rsidR="000B1151">
        <w:t xml:space="preserve"> must </w:t>
      </w:r>
      <w:r w:rsidR="00432FCF">
        <w:t>develop and implement</w:t>
      </w:r>
      <w:r w:rsidRPr="005D061C">
        <w:t xml:space="preserve"> an up-to-date </w:t>
      </w:r>
      <w:r>
        <w:t>Spill/Emergency Response</w:t>
      </w:r>
      <w:r w:rsidRPr="005D061C">
        <w:t xml:space="preserve"> </w:t>
      </w:r>
      <w:r>
        <w:t>Plan to address the</w:t>
      </w:r>
      <w:r w:rsidRPr="005D061C">
        <w:t xml:space="preserve"> prevention and handling of sp</w:t>
      </w:r>
      <w:r>
        <w:t xml:space="preserve">ills and unplanned discharges. This </w:t>
      </w:r>
      <w:r w:rsidRPr="005D061C">
        <w:t>plan must include</w:t>
      </w:r>
      <w:r>
        <w:t xml:space="preserve"> the required elements of the “Emergency Response and Public Notification Plan” as listed in Schedule F, condition B.7 of this permit.  The plan must also include</w:t>
      </w:r>
      <w:r w:rsidRPr="005D061C">
        <w:t xml:space="preserve"> the following: </w:t>
      </w:r>
    </w:p>
    <w:p w:rsidR="00ED2B41" w:rsidRPr="000F5B77" w:rsidRDefault="00ED2B41" w:rsidP="00ED2B41">
      <w:pPr>
        <w:pStyle w:val="ListParagraph"/>
        <w:numPr>
          <w:ilvl w:val="0"/>
          <w:numId w:val="1"/>
        </w:numPr>
      </w:pPr>
      <w:r w:rsidRPr="000F5B77">
        <w:t>A description of the reporting system</w:t>
      </w:r>
      <w:r>
        <w:t xml:space="preserve"> and requirements</w:t>
      </w:r>
      <w:r w:rsidRPr="000F5B77">
        <w:t xml:space="preserve"> that will be used to alert responsible managers</w:t>
      </w:r>
      <w:r>
        <w:t>, the public</w:t>
      </w:r>
      <w:r w:rsidRPr="000F5B77">
        <w:t xml:space="preserve"> and legal authorities in the event of a spill. </w:t>
      </w:r>
      <w:r>
        <w:t xml:space="preserve"> </w:t>
      </w:r>
      <w:r w:rsidRPr="000F5B77">
        <w:t>These must be consistent with the reporting</w:t>
      </w:r>
      <w:r>
        <w:t xml:space="preserve"> and notification</w:t>
      </w:r>
      <w:r w:rsidRPr="000F5B77">
        <w:t xml:space="preserve"> req</w:t>
      </w:r>
      <w:r>
        <w:t>uirements found in Schedule F, c</w:t>
      </w:r>
      <w:r w:rsidRPr="000F5B77">
        <w:t>ondition</w:t>
      </w:r>
      <w:r>
        <w:t>s B.7 and</w:t>
      </w:r>
      <w:r w:rsidRPr="000F5B77">
        <w:t xml:space="preserve"> D.5.</w:t>
      </w:r>
    </w:p>
    <w:p w:rsidR="00ED2B41" w:rsidRPr="000F5B77" w:rsidRDefault="00ED2B41" w:rsidP="00ED2B41">
      <w:pPr>
        <w:pStyle w:val="ListParagraph"/>
        <w:numPr>
          <w:ilvl w:val="0"/>
          <w:numId w:val="1"/>
        </w:numPr>
      </w:pPr>
      <w:r w:rsidRPr="000F5B77">
        <w:t xml:space="preserve">A description of preventive measures and facilities (including an overall facility plot showing drainage patterns) to prevent, contain, or treat spills of these materials.  </w:t>
      </w:r>
    </w:p>
    <w:p w:rsidR="00ED2B41" w:rsidRPr="000F5B77" w:rsidRDefault="00ED2B41" w:rsidP="00ED2B41">
      <w:pPr>
        <w:pStyle w:val="ListParagraph"/>
        <w:numPr>
          <w:ilvl w:val="0"/>
          <w:numId w:val="1"/>
        </w:numPr>
      </w:pPr>
      <w:r w:rsidRPr="000F5B77">
        <w:t xml:space="preserve">A description of the permittee’s training program to ensure that employees are properly trained at all times to </w:t>
      </w:r>
      <w:r>
        <w:t xml:space="preserve">be aware of, and to </w:t>
      </w:r>
      <w:r w:rsidRPr="000F5B77">
        <w:t>respond to</w:t>
      </w:r>
      <w:r>
        <w:t>,</w:t>
      </w:r>
      <w:r w:rsidRPr="000F5B77">
        <w:t xml:space="preserve"> unplanned and emergency incidents.  </w:t>
      </w:r>
    </w:p>
    <w:p w:rsidR="00ED2B41" w:rsidRPr="00E53D1B" w:rsidRDefault="00ED2B41" w:rsidP="00ED2B41"/>
    <w:p w:rsidR="00E53D1B" w:rsidRPr="00E53D1B" w:rsidRDefault="00E53D1B" w:rsidP="00E53D1B"/>
    <w:p w:rsidR="00F532C2" w:rsidRDefault="00F532C2" w:rsidP="007872A5">
      <w:pPr>
        <w:sectPr w:rsidR="00F532C2" w:rsidSect="002F627C">
          <w:endnotePr>
            <w:numFmt w:val="decimal"/>
          </w:endnotePr>
          <w:pgSz w:w="12240" w:h="15840"/>
          <w:pgMar w:top="1440" w:right="1080" w:bottom="1440" w:left="1080" w:header="432" w:footer="432" w:gutter="0"/>
          <w:cols w:space="720"/>
          <w:docGrid w:linePitch="360"/>
        </w:sectPr>
      </w:pPr>
    </w:p>
    <w:p w:rsidR="00B8581C" w:rsidRPr="00C02637" w:rsidRDefault="00A73A72" w:rsidP="00C02637">
      <w:pPr>
        <w:pStyle w:val="Heading1"/>
      </w:pPr>
      <w:bookmarkStart w:id="22" w:name="_Toc334185279"/>
      <w:r>
        <w:lastRenderedPageBreak/>
        <w:t>S</w:t>
      </w:r>
      <w:r w:rsidR="005D0CDF">
        <w:t>CHEDULE</w:t>
      </w:r>
      <w:r>
        <w:t xml:space="preserve"> F</w:t>
      </w:r>
      <w:bookmarkStart w:id="23" w:name="_Toc326239910"/>
      <w:r w:rsidR="00D04F56">
        <w:br/>
      </w:r>
      <w:bookmarkEnd w:id="23"/>
      <w:bookmarkEnd w:id="22"/>
      <w:r w:rsidR="00B8581C" w:rsidRPr="00C02637">
        <w:t>NPDES GENERAL CONDITIONS – INDUSTRIAL FACILITIES</w:t>
      </w:r>
    </w:p>
    <w:p w:rsidR="00F532C2" w:rsidRPr="00FD7B79" w:rsidRDefault="00F532C2" w:rsidP="00593CBD">
      <w:pPr>
        <w:pStyle w:val="Heading1"/>
      </w:pPr>
    </w:p>
    <w:p w:rsidR="00660868" w:rsidRDefault="00660868" w:rsidP="00F532C2"/>
    <w:p w:rsidR="00B8581C" w:rsidRPr="00053F91" w:rsidRDefault="00B8581C" w:rsidP="00B8581C">
      <w:pPr>
        <w:rPr>
          <w:sz w:val="20"/>
        </w:rPr>
      </w:pPr>
      <w:bookmarkStart w:id="24" w:name="bmScheduleF"/>
      <w:bookmarkEnd w:id="24"/>
    </w:p>
    <w:p w:rsidR="00B8581C" w:rsidRPr="00806B7A" w:rsidRDefault="00B8581C" w:rsidP="00B8581C">
      <w:pPr>
        <w:keepNext/>
        <w:rPr>
          <w:b/>
        </w:rPr>
      </w:pPr>
      <w:bookmarkStart w:id="25" w:name="_Toc302723387"/>
      <w:r w:rsidRPr="00806B7A">
        <w:rPr>
          <w:b/>
        </w:rPr>
        <w:t>SECTION A. STANDARD CONDITIONS</w:t>
      </w:r>
      <w:bookmarkEnd w:id="25"/>
    </w:p>
    <w:p w:rsidR="00B8581C" w:rsidRPr="00806B7A" w:rsidRDefault="00B8581C" w:rsidP="00B8581C">
      <w:pPr>
        <w:pStyle w:val="ListParagraph"/>
        <w:keepNext/>
        <w:numPr>
          <w:ilvl w:val="0"/>
          <w:numId w:val="15"/>
        </w:numPr>
        <w:suppressAutoHyphens/>
        <w:topLinePunct/>
        <w:textAlignment w:val="center"/>
      </w:pPr>
      <w:r w:rsidRPr="00806B7A">
        <w:rPr>
          <w:u w:val="single"/>
        </w:rPr>
        <w:t>Duty to Comply with Permit</w:t>
      </w:r>
    </w:p>
    <w:p w:rsidR="00B8581C" w:rsidRPr="00806B7A" w:rsidRDefault="00B8581C" w:rsidP="00B8581C">
      <w:pPr>
        <w:topLinePunct/>
        <w:ind w:left="432"/>
      </w:pPr>
      <w:r w:rsidRPr="00806B7A">
        <w:t xml:space="preserve">The permittee must comply with all conditions of this permit. Failure to comply with any permit condition is a violation of Oregon Revised Statutes (ORS) 468B.025 and the federal Clean Water Act and is grounds for an enforcement action. Failure to comply is also grounds for DEQ to terminate, modify and reissue, revoke, or deny renewal of a permit. </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5"/>
        </w:numPr>
        <w:suppressAutoHyphens/>
        <w:topLinePunct/>
        <w:textAlignment w:val="center"/>
      </w:pPr>
      <w:r w:rsidRPr="00806B7A">
        <w:rPr>
          <w:u w:val="single"/>
        </w:rPr>
        <w:t>Penalties for Water Pollution and Permit Condition Violations</w:t>
      </w:r>
    </w:p>
    <w:p w:rsidR="00B8581C" w:rsidRPr="00806B7A" w:rsidRDefault="00B8581C" w:rsidP="00B8581C">
      <w:pPr>
        <w:suppressAutoHyphens/>
        <w:topLinePunct/>
        <w:ind w:left="432"/>
        <w:textAlignment w:val="center"/>
      </w:pPr>
      <w:r w:rsidRPr="00806B7A">
        <w:t xml:space="preserve">The permit is enforceable by DEQ or EPA, and in some circumstances also by third-parties under the citizen suit provisions 33 </w:t>
      </w:r>
      <w:smartTag w:uri="urn:schemas-microsoft-com:office:smarttags" w:element="stockticker">
        <w:r w:rsidRPr="00806B7A">
          <w:t>USC</w:t>
        </w:r>
      </w:smartTag>
      <w:r w:rsidRPr="00806B7A">
        <w:t xml:space="preserve"> § 1365. DEQ enforcement is generally based on provisions of state statutes and Environmental Quality Commission (EQC) rules, and EPA enforcement is generally based on provisions of federal statutes and EPA regulations.</w:t>
      </w:r>
    </w:p>
    <w:p w:rsidR="00B8581C" w:rsidRPr="00806B7A" w:rsidRDefault="00B8581C" w:rsidP="00B8581C">
      <w:pPr>
        <w:topLinePunct/>
        <w:ind w:left="432"/>
      </w:pPr>
    </w:p>
    <w:p w:rsidR="00B8581C" w:rsidRPr="00806B7A" w:rsidRDefault="00B8581C" w:rsidP="00B8581C">
      <w:pPr>
        <w:topLinePunct/>
        <w:ind w:left="432"/>
      </w:pPr>
      <w:r w:rsidRPr="00806B7A">
        <w:t xml:space="preserve">ORS 468.140 allows DEQ to impose civil penalties up to $10,000 per day for violation of a term, condition, or requirement of a permit. The federal Clean Water Act provides for civil penalties not to exceed $32,500 and administrative penalties not to exceed $11,000 per day for each violation of any condition or limitation of this permit. </w:t>
      </w:r>
    </w:p>
    <w:p w:rsidR="00B8581C" w:rsidRPr="00806B7A" w:rsidRDefault="00B8581C" w:rsidP="00B8581C">
      <w:pPr>
        <w:topLinePunct/>
        <w:ind w:left="432"/>
      </w:pPr>
    </w:p>
    <w:p w:rsidR="00B8581C" w:rsidRPr="00806B7A" w:rsidRDefault="00B8581C" w:rsidP="00B8581C">
      <w:pPr>
        <w:topLinePunct/>
        <w:ind w:left="432"/>
      </w:pPr>
      <w:r w:rsidRPr="00806B7A">
        <w:t xml:space="preserve">Under ORS 468.943, unlawful water pollution, if committed by a person with criminal negligence, is punishable by a fine of up to $25,000, imprisonment for not more than one year, or both. Each day on which a violation occurs or continues is a separately punishable offense. The federal Clean Water Act provides for criminal penalties of not more than $50,000 per day of violation, or imprisonment of not more than 2 years, or both for second or subsequent negligent violations of this permit. </w:t>
      </w:r>
    </w:p>
    <w:p w:rsidR="00B8581C" w:rsidRPr="00806B7A" w:rsidRDefault="00B8581C" w:rsidP="00B8581C">
      <w:pPr>
        <w:topLinePunct/>
        <w:ind w:left="432"/>
      </w:pPr>
    </w:p>
    <w:p w:rsidR="00B8581C" w:rsidRPr="00806B7A" w:rsidRDefault="00B8581C" w:rsidP="00B8581C">
      <w:pPr>
        <w:suppressAutoHyphens/>
        <w:topLinePunct/>
        <w:ind w:left="432"/>
        <w:textAlignment w:val="center"/>
      </w:pPr>
      <w:r w:rsidRPr="00806B7A">
        <w:t>Under ORS 468.946, a person who knowingly discharges, places, or causes to be placed any waste into the waters of the state or in a location where the waste is likely to escape into the waters of the state is subject to a Class B felony punishable by a fine not to exceed $250,000 and up to 10 years in prison per ORS chapter 161. The federal Clean Water Act provides for criminal penalties of $5,000 to $50,000 per day of violation, or imprisonment of not more than 3 years, or both for knowing violations of the permit. In the case of a second or subsequent conviction for knowing violation, a person is subject to criminal penalties of not more than $100,000 per day of violation, or imprisonment of not more than 6 years, or both.</w:t>
      </w:r>
    </w:p>
    <w:p w:rsidR="00B8581C" w:rsidRPr="00806B7A" w:rsidRDefault="00B8581C" w:rsidP="00B8581C">
      <w:pPr>
        <w:suppressAutoHyphens/>
        <w:topLinePunct/>
        <w:ind w:left="432"/>
        <w:textAlignment w:val="center"/>
      </w:pPr>
    </w:p>
    <w:p w:rsidR="00B8581C" w:rsidRPr="00806B7A" w:rsidRDefault="00B8581C" w:rsidP="00B8581C">
      <w:pPr>
        <w:pStyle w:val="ListParagraph"/>
        <w:keepNext/>
        <w:numPr>
          <w:ilvl w:val="0"/>
          <w:numId w:val="15"/>
        </w:numPr>
        <w:suppressAutoHyphens/>
        <w:topLinePunct/>
        <w:textAlignment w:val="center"/>
      </w:pPr>
      <w:r w:rsidRPr="00806B7A">
        <w:rPr>
          <w:u w:val="single"/>
        </w:rPr>
        <w:t>Duty to Mitigate</w:t>
      </w:r>
    </w:p>
    <w:p w:rsidR="00B8581C" w:rsidRPr="00806B7A" w:rsidRDefault="00B8581C" w:rsidP="00B8581C">
      <w:pPr>
        <w:suppressAutoHyphens/>
        <w:topLinePunct/>
        <w:ind w:left="432"/>
        <w:textAlignment w:val="center"/>
      </w:pPr>
      <w:r w:rsidRPr="00806B7A">
        <w:t xml:space="preserve">The permittee must take all reasonable steps to minimize or prevent any discharge or sludge use or disposal in violation of this permit that has a reasonable likelihood of adversely affecting human health or the environment. In addition, upon request of DEQ, the permittee must correct any adverse impact on the environment or human health resulting from noncompliance with this permit, including such accelerated or additional monitoring as necessary to determine the nature and impact of the </w:t>
      </w:r>
      <w:proofErr w:type="spellStart"/>
      <w:r w:rsidRPr="00806B7A">
        <w:t>noncomplying</w:t>
      </w:r>
      <w:proofErr w:type="spellEnd"/>
      <w:r w:rsidRPr="00806B7A">
        <w:t xml:space="preserve"> discharge.</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5"/>
        </w:numPr>
        <w:suppressAutoHyphens/>
        <w:topLinePunct/>
        <w:textAlignment w:val="center"/>
      </w:pPr>
      <w:r w:rsidRPr="00806B7A">
        <w:rPr>
          <w:u w:val="single"/>
        </w:rPr>
        <w:t>Duty to Reapply</w:t>
      </w:r>
    </w:p>
    <w:p w:rsidR="00B8581C" w:rsidRPr="00806B7A" w:rsidRDefault="00B8581C" w:rsidP="00B8581C">
      <w:pPr>
        <w:suppressAutoHyphens/>
        <w:topLinePunct/>
        <w:ind w:left="432"/>
        <w:textAlignment w:val="center"/>
      </w:pPr>
      <w:r w:rsidRPr="00806B7A">
        <w:t>If the permittee wishes to continue an activity regulated by this permit after the expiration date of this permit, the permittee must apply for and have the permit renewed. The application must be submitted at least 180 days before the expiration date of this permit.</w:t>
      </w:r>
    </w:p>
    <w:p w:rsidR="00B8581C" w:rsidRPr="00806B7A" w:rsidRDefault="00B8581C" w:rsidP="00B8581C">
      <w:pPr>
        <w:suppressAutoHyphens/>
        <w:topLinePunct/>
        <w:textAlignment w:val="center"/>
      </w:pPr>
    </w:p>
    <w:p w:rsidR="00B8581C" w:rsidRPr="00806B7A" w:rsidRDefault="00B8581C" w:rsidP="00B8581C">
      <w:pPr>
        <w:suppressAutoHyphens/>
        <w:topLinePunct/>
        <w:ind w:left="432"/>
        <w:textAlignment w:val="center"/>
      </w:pPr>
      <w:r w:rsidRPr="00806B7A">
        <w:t>DEQ may grant permission to submit an application less than 180 days in advance but no later than the permit expiration date.</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5"/>
        </w:numPr>
        <w:suppressAutoHyphens/>
        <w:topLinePunct/>
        <w:textAlignment w:val="center"/>
      </w:pPr>
      <w:r w:rsidRPr="00806B7A">
        <w:rPr>
          <w:u w:val="single"/>
        </w:rPr>
        <w:lastRenderedPageBreak/>
        <w:t>Permit Actions</w:t>
      </w:r>
    </w:p>
    <w:p w:rsidR="00B8581C" w:rsidRPr="00806B7A" w:rsidRDefault="00B8581C" w:rsidP="00B8581C">
      <w:pPr>
        <w:suppressAutoHyphens/>
        <w:topLinePunct/>
        <w:ind w:left="432"/>
        <w:textAlignment w:val="center"/>
      </w:pPr>
      <w:r w:rsidRPr="00806B7A">
        <w:t>This permit may be modified, revoked and reissued, or terminated for cause including, but not limited to, the following:</w:t>
      </w:r>
    </w:p>
    <w:p w:rsidR="00B8581C" w:rsidRPr="00806B7A" w:rsidRDefault="00B8581C" w:rsidP="00B8581C">
      <w:pPr>
        <w:pStyle w:val="ListParagraph"/>
        <w:numPr>
          <w:ilvl w:val="1"/>
          <w:numId w:val="15"/>
        </w:numPr>
        <w:suppressAutoHyphens/>
        <w:topLinePunct/>
        <w:textAlignment w:val="center"/>
      </w:pPr>
      <w:r w:rsidRPr="00806B7A">
        <w:t>Violation of any term, condition, or requirement of this permit, a rule, or a statute.</w:t>
      </w:r>
    </w:p>
    <w:p w:rsidR="00B8581C" w:rsidRPr="00806B7A" w:rsidRDefault="00B8581C" w:rsidP="00B8581C">
      <w:pPr>
        <w:pStyle w:val="ListParagraph"/>
        <w:numPr>
          <w:ilvl w:val="1"/>
          <w:numId w:val="15"/>
        </w:numPr>
        <w:suppressAutoHyphens/>
        <w:topLinePunct/>
        <w:textAlignment w:val="center"/>
      </w:pPr>
      <w:r w:rsidRPr="00806B7A">
        <w:t>Obtaining this permit by misrepresentation or failure to disclose fully all material facts.</w:t>
      </w:r>
    </w:p>
    <w:p w:rsidR="00B8581C" w:rsidRPr="00806B7A" w:rsidRDefault="00B8581C" w:rsidP="00B8581C">
      <w:pPr>
        <w:pStyle w:val="ListParagraph"/>
        <w:numPr>
          <w:ilvl w:val="1"/>
          <w:numId w:val="15"/>
        </w:numPr>
        <w:suppressAutoHyphens/>
        <w:topLinePunct/>
        <w:textAlignment w:val="center"/>
      </w:pPr>
      <w:r w:rsidRPr="00806B7A">
        <w:t>A change in any condition that requires either a temporary or permanent reduction or elimination of the authorized discharge.</w:t>
      </w:r>
    </w:p>
    <w:p w:rsidR="00B8581C" w:rsidRPr="00806B7A" w:rsidRDefault="00B8581C" w:rsidP="00B8581C">
      <w:pPr>
        <w:pStyle w:val="ListParagraph"/>
        <w:numPr>
          <w:ilvl w:val="1"/>
          <w:numId w:val="15"/>
        </w:numPr>
        <w:suppressAutoHyphens/>
        <w:topLinePunct/>
        <w:textAlignment w:val="center"/>
      </w:pPr>
      <w:r w:rsidRPr="00806B7A">
        <w:t xml:space="preserve">The permittee is identified as a Designated Management Agency or allocated a </w:t>
      </w:r>
      <w:proofErr w:type="spellStart"/>
      <w:r w:rsidRPr="00806B7A">
        <w:t>wasteload</w:t>
      </w:r>
      <w:proofErr w:type="spellEnd"/>
      <w:r w:rsidRPr="00806B7A">
        <w:t xml:space="preserve"> under a total maximum daily load (TMDL).</w:t>
      </w:r>
    </w:p>
    <w:p w:rsidR="00B8581C" w:rsidRPr="00806B7A" w:rsidRDefault="00B8581C" w:rsidP="00B8581C">
      <w:pPr>
        <w:pStyle w:val="ListParagraph"/>
        <w:numPr>
          <w:ilvl w:val="1"/>
          <w:numId w:val="15"/>
        </w:numPr>
        <w:suppressAutoHyphens/>
        <w:topLinePunct/>
        <w:textAlignment w:val="center"/>
      </w:pPr>
      <w:r w:rsidRPr="00806B7A">
        <w:t>New information or regulations.</w:t>
      </w:r>
    </w:p>
    <w:p w:rsidR="00B8581C" w:rsidRPr="00806B7A" w:rsidRDefault="00B8581C" w:rsidP="00B8581C">
      <w:pPr>
        <w:pStyle w:val="ListParagraph"/>
        <w:numPr>
          <w:ilvl w:val="1"/>
          <w:numId w:val="15"/>
        </w:numPr>
        <w:suppressAutoHyphens/>
        <w:topLinePunct/>
        <w:textAlignment w:val="center"/>
      </w:pPr>
      <w:r w:rsidRPr="00806B7A">
        <w:t>Modification of compliance schedules.</w:t>
      </w:r>
    </w:p>
    <w:p w:rsidR="00B8581C" w:rsidRPr="00806B7A" w:rsidRDefault="00B8581C" w:rsidP="00B8581C">
      <w:pPr>
        <w:pStyle w:val="ListParagraph"/>
        <w:numPr>
          <w:ilvl w:val="1"/>
          <w:numId w:val="15"/>
        </w:numPr>
        <w:suppressAutoHyphens/>
        <w:topLinePunct/>
        <w:textAlignment w:val="center"/>
      </w:pPr>
      <w:r w:rsidRPr="00806B7A">
        <w:t xml:space="preserve">Requirements of permit reopener conditions. </w:t>
      </w:r>
    </w:p>
    <w:p w:rsidR="00B8581C" w:rsidRPr="00806B7A" w:rsidRDefault="00B8581C" w:rsidP="00B8581C">
      <w:pPr>
        <w:pStyle w:val="ListParagraph"/>
        <w:numPr>
          <w:ilvl w:val="1"/>
          <w:numId w:val="15"/>
        </w:numPr>
        <w:suppressAutoHyphens/>
        <w:topLinePunct/>
        <w:textAlignment w:val="center"/>
      </w:pPr>
      <w:r w:rsidRPr="00806B7A">
        <w:t>Correction of technical mistakes made in determining permit conditions.</w:t>
      </w:r>
    </w:p>
    <w:p w:rsidR="00B8581C" w:rsidRPr="00806B7A" w:rsidRDefault="00B8581C" w:rsidP="00B8581C">
      <w:pPr>
        <w:pStyle w:val="ListParagraph"/>
        <w:numPr>
          <w:ilvl w:val="1"/>
          <w:numId w:val="15"/>
        </w:numPr>
        <w:suppressAutoHyphens/>
        <w:topLinePunct/>
        <w:textAlignment w:val="center"/>
      </w:pPr>
      <w:r w:rsidRPr="00806B7A">
        <w:t>Determination that the permitted activity endangers human health or the environment.</w:t>
      </w:r>
    </w:p>
    <w:p w:rsidR="00B8581C" w:rsidRPr="00806B7A" w:rsidRDefault="00B8581C" w:rsidP="00B8581C">
      <w:pPr>
        <w:pStyle w:val="ListParagraph"/>
        <w:numPr>
          <w:ilvl w:val="1"/>
          <w:numId w:val="15"/>
        </w:numPr>
        <w:suppressAutoHyphens/>
        <w:topLinePunct/>
        <w:textAlignment w:val="center"/>
      </w:pPr>
      <w:r w:rsidRPr="00806B7A">
        <w:t>Other causes as specified in 40 CFR §§ 122.62, 122.64, and 124.5.</w:t>
      </w:r>
    </w:p>
    <w:p w:rsidR="00B8581C" w:rsidRPr="00806B7A" w:rsidRDefault="00B8581C" w:rsidP="00B8581C">
      <w:pPr>
        <w:autoSpaceDE w:val="0"/>
        <w:autoSpaceDN w:val="0"/>
        <w:adjustRightInd w:val="0"/>
      </w:pPr>
    </w:p>
    <w:p w:rsidR="00B8581C" w:rsidRPr="00806B7A" w:rsidRDefault="00B8581C" w:rsidP="00B8581C">
      <w:pPr>
        <w:autoSpaceDE w:val="0"/>
        <w:autoSpaceDN w:val="0"/>
        <w:adjustRightInd w:val="0"/>
        <w:ind w:left="432"/>
      </w:pPr>
      <w:r w:rsidRPr="00806B7A">
        <w:t>The filing of a request by the permittee for a permit modification, revocation or reissuance, termination, or a notification of planned changes or anticipated noncompliance does not stay any permit condition.</w:t>
      </w:r>
    </w:p>
    <w:p w:rsidR="00B8581C" w:rsidRPr="00806B7A" w:rsidRDefault="00B8581C" w:rsidP="00B8581C">
      <w:pPr>
        <w:autoSpaceDE w:val="0"/>
        <w:autoSpaceDN w:val="0"/>
        <w:adjustRightInd w:val="0"/>
        <w:ind w:left="720" w:hanging="675"/>
      </w:pPr>
    </w:p>
    <w:p w:rsidR="00B8581C" w:rsidRPr="00806B7A" w:rsidRDefault="00B8581C" w:rsidP="00B8581C">
      <w:pPr>
        <w:pStyle w:val="ListParagraph"/>
        <w:keepNext/>
        <w:numPr>
          <w:ilvl w:val="0"/>
          <w:numId w:val="15"/>
        </w:numPr>
        <w:suppressAutoHyphens/>
        <w:topLinePunct/>
        <w:textAlignment w:val="center"/>
      </w:pPr>
      <w:r w:rsidRPr="00806B7A">
        <w:rPr>
          <w:color w:val="000000"/>
          <w:u w:val="single"/>
        </w:rPr>
        <w:t xml:space="preserve">Toxic Pollutants </w:t>
      </w:r>
    </w:p>
    <w:p w:rsidR="00B8581C" w:rsidRPr="00806B7A" w:rsidRDefault="00B8581C" w:rsidP="00B8581C">
      <w:pPr>
        <w:autoSpaceDE w:val="0"/>
        <w:autoSpaceDN w:val="0"/>
        <w:adjustRightInd w:val="0"/>
        <w:ind w:left="432"/>
        <w:rPr>
          <w:color w:val="000000"/>
        </w:rPr>
      </w:pPr>
      <w:r w:rsidRPr="00806B7A">
        <w:rPr>
          <w:color w:val="000000"/>
        </w:rPr>
        <w:t>The permittee must comply with any applicable effluent standards or prohibitions established under Oregon Administrative Rules (</w:t>
      </w:r>
      <w:smartTag w:uri="urn:schemas-microsoft-com:office:smarttags" w:element="stockticker">
        <w:r w:rsidRPr="00806B7A">
          <w:rPr>
            <w:color w:val="000000"/>
          </w:rPr>
          <w:t>OAR)</w:t>
        </w:r>
      </w:smartTag>
      <w:r w:rsidRPr="00806B7A">
        <w:rPr>
          <w:color w:val="000000"/>
        </w:rPr>
        <w:t xml:space="preserve"> 340-041-0033 and 307(a) of the federal Clean Water Act for toxic pollutants and with standards for sewage sludge use or disposal established under section 405(d) of the federal Clean Water Act within the time provided in the regulations that establish those standards or prohibitions, even if the permit has not yet been modified to incorporate the requirement.</w:t>
      </w:r>
    </w:p>
    <w:p w:rsidR="00B8581C" w:rsidRPr="00806B7A" w:rsidRDefault="00B8581C" w:rsidP="00B8581C">
      <w:pPr>
        <w:autoSpaceDE w:val="0"/>
        <w:autoSpaceDN w:val="0"/>
        <w:adjustRightInd w:val="0"/>
        <w:ind w:left="720" w:hanging="675"/>
        <w:rPr>
          <w:color w:val="000000"/>
        </w:rPr>
      </w:pPr>
    </w:p>
    <w:p w:rsidR="00B8581C" w:rsidRPr="00806B7A" w:rsidRDefault="00B8581C" w:rsidP="00B8581C">
      <w:pPr>
        <w:pStyle w:val="ListParagraph"/>
        <w:keepNext/>
        <w:numPr>
          <w:ilvl w:val="0"/>
          <w:numId w:val="15"/>
        </w:numPr>
        <w:autoSpaceDE w:val="0"/>
        <w:autoSpaceDN w:val="0"/>
        <w:adjustRightInd w:val="0"/>
        <w:rPr>
          <w:color w:val="000000"/>
        </w:rPr>
      </w:pPr>
      <w:r w:rsidRPr="00806B7A">
        <w:rPr>
          <w:color w:val="000000"/>
          <w:u w:val="single"/>
        </w:rPr>
        <w:t xml:space="preserve">Property Rights and Other Legal Requirements </w:t>
      </w:r>
    </w:p>
    <w:p w:rsidR="00B8581C" w:rsidRPr="00806B7A" w:rsidRDefault="00B8581C" w:rsidP="00B8581C">
      <w:pPr>
        <w:autoSpaceDE w:val="0"/>
        <w:autoSpaceDN w:val="0"/>
        <w:adjustRightInd w:val="0"/>
        <w:ind w:left="432"/>
        <w:rPr>
          <w:color w:val="000000"/>
        </w:rPr>
      </w:pPr>
      <w:r w:rsidRPr="00806B7A">
        <w:rPr>
          <w:color w:val="000000"/>
        </w:rPr>
        <w:t>The issuance of this permit does not convey any property rights of any sort, or any exclusive privilege, or authorize any injury to persons or property or invasion of any other private rights, or any infringement of federal, tribal, state, or local laws or regulations.</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5"/>
        </w:numPr>
        <w:suppressAutoHyphens/>
        <w:topLinePunct/>
        <w:textAlignment w:val="center"/>
      </w:pPr>
      <w:r w:rsidRPr="00806B7A">
        <w:rPr>
          <w:u w:val="single"/>
        </w:rPr>
        <w:t>Permit References</w:t>
      </w:r>
    </w:p>
    <w:p w:rsidR="00B8581C" w:rsidRPr="00806B7A" w:rsidRDefault="00B8581C" w:rsidP="00B8581C">
      <w:pPr>
        <w:suppressAutoHyphens/>
        <w:topLinePunct/>
        <w:ind w:left="432"/>
        <w:textAlignment w:val="center"/>
      </w:pPr>
      <w:r w:rsidRPr="00806B7A">
        <w:t xml:space="preserve">Except for effluent standards or prohibitions established under section 307(a) of the federal Clean Water Act and </w:t>
      </w:r>
      <w:smartTag w:uri="urn:schemas-microsoft-com:office:smarttags" w:element="stockticker">
        <w:r w:rsidRPr="00806B7A">
          <w:t>OAR</w:t>
        </w:r>
      </w:smartTag>
      <w:r w:rsidRPr="00806B7A">
        <w:t xml:space="preserve"> 340-041-0033 for toxic pollutants, and standards for sewage sludge use or disposal established under section 405(d) of the federal Clean Water Act, all rules and statutes referred to in this permit are those in effect on the date this permit is issued. </w:t>
      </w:r>
    </w:p>
    <w:p w:rsidR="00B8581C" w:rsidRPr="00806B7A" w:rsidRDefault="00B8581C" w:rsidP="00B8581C">
      <w:pPr>
        <w:suppressAutoHyphens/>
        <w:topLinePunct/>
        <w:ind w:left="720" w:hanging="720"/>
        <w:textAlignment w:val="center"/>
      </w:pPr>
    </w:p>
    <w:p w:rsidR="00B8581C" w:rsidRPr="00806B7A" w:rsidRDefault="00B8581C" w:rsidP="00B8581C">
      <w:pPr>
        <w:pStyle w:val="ListParagraph"/>
        <w:keepNext/>
        <w:numPr>
          <w:ilvl w:val="0"/>
          <w:numId w:val="15"/>
        </w:numPr>
        <w:suppressAutoHyphens/>
        <w:topLinePunct/>
        <w:textAlignment w:val="center"/>
      </w:pPr>
      <w:r w:rsidRPr="00806B7A">
        <w:rPr>
          <w:u w:val="single"/>
        </w:rPr>
        <w:t>Permit Fees</w:t>
      </w:r>
    </w:p>
    <w:p w:rsidR="00B8581C" w:rsidRPr="00806B7A" w:rsidRDefault="00B8581C" w:rsidP="00B8581C">
      <w:pPr>
        <w:suppressAutoHyphens/>
        <w:topLinePunct/>
        <w:ind w:left="432"/>
        <w:textAlignment w:val="center"/>
      </w:pPr>
      <w:r w:rsidRPr="00806B7A">
        <w:t>The permittee must pay the fees required by OAR.</w:t>
      </w:r>
    </w:p>
    <w:p w:rsidR="00B8581C" w:rsidRPr="00806B7A" w:rsidRDefault="00B8581C" w:rsidP="00B8581C">
      <w:pPr>
        <w:suppressAutoHyphens/>
        <w:topLinePunct/>
        <w:textAlignment w:val="center"/>
        <w:rPr>
          <w:b/>
          <w:u w:val="single"/>
        </w:rPr>
      </w:pPr>
    </w:p>
    <w:p w:rsidR="00B8581C" w:rsidRPr="00806B7A" w:rsidRDefault="00B8581C" w:rsidP="00B8581C">
      <w:pPr>
        <w:keepNext/>
        <w:rPr>
          <w:b/>
        </w:rPr>
      </w:pPr>
      <w:bookmarkStart w:id="26" w:name="_Toc302723388"/>
      <w:r w:rsidRPr="00806B7A">
        <w:rPr>
          <w:b/>
        </w:rPr>
        <w:t>SECTION B. OPERATION AND MAINTENANCE OF POLLUTION CONTROLS</w:t>
      </w:r>
      <w:bookmarkEnd w:id="26"/>
    </w:p>
    <w:p w:rsidR="00B8581C" w:rsidRPr="00806B7A" w:rsidRDefault="00B8581C" w:rsidP="00B8581C">
      <w:pPr>
        <w:pStyle w:val="ListParagraph"/>
        <w:keepNext/>
        <w:numPr>
          <w:ilvl w:val="0"/>
          <w:numId w:val="16"/>
        </w:numPr>
        <w:suppressAutoHyphens/>
        <w:topLinePunct/>
        <w:textAlignment w:val="center"/>
      </w:pPr>
      <w:r w:rsidRPr="00806B7A">
        <w:rPr>
          <w:u w:val="single"/>
        </w:rPr>
        <w:t>Proper Operation and Maintenance</w:t>
      </w:r>
    </w:p>
    <w:p w:rsidR="00B8581C" w:rsidRPr="00806B7A" w:rsidRDefault="00B8581C" w:rsidP="00B8581C">
      <w:pPr>
        <w:suppressAutoHyphens/>
        <w:topLinePunct/>
        <w:ind w:left="432"/>
        <w:textAlignment w:val="center"/>
      </w:pPr>
      <w:r w:rsidRPr="00806B7A">
        <w:t>The permittee must at all times properly operate and maintain all facilities and systems of treatment and control (and related appurtenances) that are installed or used by the permittee to achieve compliance with the conditions of this permit. Proper operation and maintenance also includes adequate laboratory controls and appropriate quality assurance procedures. This provision requires the operation of back-up or auxiliary facilities or similar systems that are installed by a permittee only when the operation is necessary to achieve compliance with the conditions of the permit.</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6"/>
        </w:numPr>
        <w:suppressAutoHyphens/>
        <w:topLinePunct/>
        <w:textAlignment w:val="center"/>
      </w:pPr>
      <w:r w:rsidRPr="00806B7A">
        <w:rPr>
          <w:u w:val="single"/>
        </w:rPr>
        <w:t xml:space="preserve">Need to Halt or Reduce Activity Not a Defense </w:t>
      </w:r>
    </w:p>
    <w:p w:rsidR="00B8581C" w:rsidRPr="00806B7A" w:rsidRDefault="00B8581C" w:rsidP="00B8581C">
      <w:pPr>
        <w:suppressAutoHyphens/>
        <w:topLinePunct/>
        <w:ind w:left="432"/>
        <w:textAlignment w:val="center"/>
      </w:pPr>
      <w:r w:rsidRPr="00806B7A">
        <w:t xml:space="preserve">For industrial or commercial facilities, upon reduction, loss, or failure of the treatment facility, the permittee must, to the extent necessary to maintain compliance with its permit, control production or all discharges or both until the facility is restored or an alternative method of treatment is provided. This requirement applies, for example, when the primary source of power of the treatment facility fails or is reduced or lost. It is not a </w:t>
      </w:r>
      <w:r w:rsidRPr="00806B7A">
        <w:lastRenderedPageBreak/>
        <w:t>defense for a permittee in an enforcement action that it would have been necessary to halt or reduce the permitted activity in order to maintain compliance with the conditions of this permit.</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6"/>
        </w:numPr>
        <w:suppressAutoHyphens/>
        <w:topLinePunct/>
        <w:textAlignment w:val="center"/>
        <w:rPr>
          <w:u w:val="single"/>
        </w:rPr>
      </w:pPr>
      <w:r w:rsidRPr="00806B7A">
        <w:rPr>
          <w:u w:val="single"/>
        </w:rPr>
        <w:t>Bypass of Treatment Facilities</w:t>
      </w:r>
    </w:p>
    <w:p w:rsidR="00B8581C" w:rsidRPr="00806B7A" w:rsidRDefault="00B8581C" w:rsidP="00B8581C">
      <w:pPr>
        <w:pStyle w:val="ListParagraph"/>
        <w:numPr>
          <w:ilvl w:val="1"/>
          <w:numId w:val="16"/>
        </w:numPr>
        <w:suppressAutoHyphens/>
        <w:topLinePunct/>
        <w:textAlignment w:val="center"/>
      </w:pPr>
      <w:r w:rsidRPr="00806B7A">
        <w:t>Definitions</w:t>
      </w:r>
    </w:p>
    <w:p w:rsidR="00B8581C" w:rsidRPr="00806B7A" w:rsidRDefault="00B8581C" w:rsidP="00B8581C">
      <w:pPr>
        <w:pStyle w:val="ListParagraph"/>
        <w:numPr>
          <w:ilvl w:val="2"/>
          <w:numId w:val="16"/>
        </w:numPr>
        <w:topLinePunct/>
      </w:pPr>
      <w:r w:rsidRPr="00806B7A">
        <w:t xml:space="preserve">“Bypass” means intentional diversion of waste streams from any portion of the treatment facility. The permittee may allow any bypass to occur which does not cause effluent limitations to be exceeded, provided the diversion is to allow essential maintenance to assure efficient operation. These bypasses are not subject to the provisions of paragraphs b and c of this section. </w:t>
      </w:r>
    </w:p>
    <w:p w:rsidR="00B8581C" w:rsidRPr="00806B7A" w:rsidRDefault="00B8581C" w:rsidP="00B8581C">
      <w:pPr>
        <w:pStyle w:val="ListParagraph"/>
        <w:numPr>
          <w:ilvl w:val="2"/>
          <w:numId w:val="16"/>
        </w:numPr>
        <w:topLinePunct/>
      </w:pPr>
      <w:r w:rsidRPr="00806B7A">
        <w:t xml:space="preserve">“Severe property damage” means substantial physical damage to property, damage to the treatment facilities which causes them to become inoperable, or substantial and permanent loss of natural resources that can reasonably be expected to occur in the absence of a bypass. Severe property damage does not mean economic loss caused by delays in production. </w:t>
      </w:r>
    </w:p>
    <w:p w:rsidR="00B8581C" w:rsidRPr="00806B7A" w:rsidRDefault="00B8581C" w:rsidP="00B8581C">
      <w:pPr>
        <w:pStyle w:val="ListParagraph"/>
        <w:numPr>
          <w:ilvl w:val="1"/>
          <w:numId w:val="16"/>
        </w:numPr>
        <w:topLinePunct/>
      </w:pPr>
      <w:r w:rsidRPr="00806B7A">
        <w:t xml:space="preserve">Prohibition of bypass. </w:t>
      </w:r>
    </w:p>
    <w:p w:rsidR="00B8581C" w:rsidRPr="00806B7A" w:rsidRDefault="00B8581C" w:rsidP="00B8581C">
      <w:pPr>
        <w:pStyle w:val="ListParagraph"/>
        <w:numPr>
          <w:ilvl w:val="2"/>
          <w:numId w:val="16"/>
        </w:numPr>
        <w:topLinePunct/>
      </w:pPr>
      <w:r w:rsidRPr="00806B7A">
        <w:t xml:space="preserve">Bypass is prohibited and DEQ may take enforcement action against a permittee for bypass unless: </w:t>
      </w:r>
    </w:p>
    <w:p w:rsidR="00B8581C" w:rsidRPr="00806B7A" w:rsidRDefault="00B8581C" w:rsidP="00B8581C">
      <w:pPr>
        <w:pStyle w:val="ListParagraph"/>
        <w:numPr>
          <w:ilvl w:val="3"/>
          <w:numId w:val="16"/>
        </w:numPr>
        <w:topLinePunct/>
      </w:pPr>
      <w:r w:rsidRPr="00806B7A">
        <w:t xml:space="preserve">Bypass was unavoidable to prevent loss of life, personal injury, or severe property damage; </w:t>
      </w:r>
    </w:p>
    <w:p w:rsidR="00B8581C" w:rsidRPr="00806B7A" w:rsidRDefault="00B8581C" w:rsidP="00B8581C">
      <w:pPr>
        <w:pStyle w:val="ListParagraph"/>
        <w:numPr>
          <w:ilvl w:val="3"/>
          <w:numId w:val="16"/>
        </w:numPr>
        <w:topLinePunct/>
      </w:pPr>
      <w:r w:rsidRPr="00806B7A">
        <w:t xml:space="preserve">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that occurred during normal periods of equipment downtime or preventative maintenance; and </w:t>
      </w:r>
    </w:p>
    <w:p w:rsidR="00B8581C" w:rsidRPr="00806B7A" w:rsidRDefault="00B8581C" w:rsidP="00B8581C">
      <w:pPr>
        <w:pStyle w:val="ListParagraph"/>
        <w:numPr>
          <w:ilvl w:val="3"/>
          <w:numId w:val="16"/>
        </w:numPr>
        <w:topLinePunct/>
      </w:pPr>
      <w:r w:rsidRPr="00806B7A">
        <w:t xml:space="preserve">The permittee submitted notices and requests as required under General Condition B3.c. </w:t>
      </w:r>
    </w:p>
    <w:p w:rsidR="00B8581C" w:rsidRPr="00806B7A" w:rsidRDefault="00B8581C" w:rsidP="00B8581C">
      <w:pPr>
        <w:pStyle w:val="ListParagraph"/>
        <w:numPr>
          <w:ilvl w:val="2"/>
          <w:numId w:val="16"/>
        </w:numPr>
        <w:topLinePunct/>
      </w:pPr>
      <w:r w:rsidRPr="00806B7A">
        <w:t xml:space="preserve">DEQ may approve an anticipated bypass, after considering its adverse effects and any alternatives to bypassing, when DEQ determines that it will meet the three conditions listed above in General Condition B3.b(1). </w:t>
      </w:r>
    </w:p>
    <w:p w:rsidR="00B8581C" w:rsidRPr="00806B7A" w:rsidRDefault="00B8581C" w:rsidP="00B8581C">
      <w:pPr>
        <w:pStyle w:val="ListParagraph"/>
        <w:numPr>
          <w:ilvl w:val="1"/>
          <w:numId w:val="16"/>
        </w:numPr>
        <w:topLinePunct/>
      </w:pPr>
      <w:r w:rsidRPr="00806B7A">
        <w:t xml:space="preserve">Notice and request for bypass. </w:t>
      </w:r>
    </w:p>
    <w:p w:rsidR="00B8581C" w:rsidRPr="00806B7A" w:rsidRDefault="00B8581C" w:rsidP="00B8581C">
      <w:pPr>
        <w:pStyle w:val="ListParagraph"/>
        <w:numPr>
          <w:ilvl w:val="2"/>
          <w:numId w:val="16"/>
        </w:numPr>
        <w:topLinePunct/>
      </w:pPr>
      <w:r w:rsidRPr="00806B7A">
        <w:t xml:space="preserve">Anticipated bypass. If the permittee knows in advance of the need for a bypass, a written notice must be submitted to DEQ at least ten days before the date of the bypass. </w:t>
      </w:r>
    </w:p>
    <w:p w:rsidR="00B8581C" w:rsidRPr="00806B7A" w:rsidRDefault="00B8581C" w:rsidP="00B8581C">
      <w:pPr>
        <w:pStyle w:val="ListParagraph"/>
        <w:numPr>
          <w:ilvl w:val="2"/>
          <w:numId w:val="16"/>
        </w:numPr>
        <w:topLinePunct/>
      </w:pPr>
      <w:r w:rsidRPr="00806B7A">
        <w:t xml:space="preserve">Unanticipated bypass. The permittee must submit notice of an unanticipated bypass as required in General Condition D5. </w:t>
      </w:r>
    </w:p>
    <w:p w:rsidR="00B8581C" w:rsidRPr="00806B7A" w:rsidRDefault="00B8581C" w:rsidP="00B8581C">
      <w:pPr>
        <w:suppressAutoHyphens/>
        <w:topLinePunct/>
        <w:ind w:left="2160" w:hanging="2160"/>
        <w:textAlignment w:val="center"/>
      </w:pPr>
    </w:p>
    <w:p w:rsidR="00B8581C" w:rsidRPr="00806B7A" w:rsidRDefault="00B8581C" w:rsidP="00B8581C">
      <w:pPr>
        <w:pStyle w:val="ListParagraph"/>
        <w:keepNext/>
        <w:numPr>
          <w:ilvl w:val="0"/>
          <w:numId w:val="16"/>
        </w:numPr>
        <w:suppressAutoHyphens/>
        <w:topLinePunct/>
        <w:textAlignment w:val="center"/>
        <w:rPr>
          <w:u w:val="single"/>
        </w:rPr>
      </w:pPr>
      <w:r w:rsidRPr="00806B7A">
        <w:rPr>
          <w:u w:val="single"/>
        </w:rPr>
        <w:t>Upset</w:t>
      </w:r>
    </w:p>
    <w:p w:rsidR="00B8581C" w:rsidRPr="00806B7A" w:rsidRDefault="00B8581C" w:rsidP="00B8581C">
      <w:pPr>
        <w:pStyle w:val="ListParagraph"/>
        <w:numPr>
          <w:ilvl w:val="1"/>
          <w:numId w:val="16"/>
        </w:numPr>
        <w:suppressAutoHyphens/>
        <w:topLinePunct/>
        <w:textAlignment w:val="center"/>
      </w:pPr>
      <w:r w:rsidRPr="00806B7A">
        <w:t>Definition. "Upset" means an exceptional incident in which there is unintentional and temporary noncompliance with technology based permit effluent limitations because of factors beyond the reasonable control of the permittee. An upset does not include noncompliance to the extent caused by operation error, improperly designed treatment facilities, inadequate treatment facilities, lack of preventative maintenance, or careless or improper operation.</w:t>
      </w:r>
    </w:p>
    <w:p w:rsidR="00B8581C" w:rsidRPr="00806B7A" w:rsidRDefault="00B8581C" w:rsidP="00B8581C">
      <w:pPr>
        <w:pStyle w:val="ListParagraph"/>
        <w:numPr>
          <w:ilvl w:val="1"/>
          <w:numId w:val="16"/>
        </w:numPr>
        <w:suppressAutoHyphens/>
        <w:topLinePunct/>
        <w:textAlignment w:val="center"/>
      </w:pPr>
      <w:r w:rsidRPr="00806B7A">
        <w:t>Effect of an upset. An upset constitutes an affirmative defense to an action brought for noncompliance with such technology-based permit effluent limitations if the requirements of General Condition B4.c are met. No determination made during administrative review of claims that noncompliance was caused by upset, and before an action for noncompliance, is final administrative action subject to judicial review.</w:t>
      </w:r>
    </w:p>
    <w:p w:rsidR="00B8581C" w:rsidRPr="00806B7A" w:rsidRDefault="00B8581C" w:rsidP="00B8581C">
      <w:pPr>
        <w:pStyle w:val="ListParagraph"/>
        <w:numPr>
          <w:ilvl w:val="1"/>
          <w:numId w:val="16"/>
        </w:numPr>
        <w:suppressAutoHyphens/>
        <w:topLinePunct/>
        <w:textAlignment w:val="center"/>
      </w:pPr>
      <w:r w:rsidRPr="00806B7A">
        <w:t>Conditions necessary for a demonstration of upset. A permittee who wishes to establish the affirmative defense of upset must demonstrate, through properly signed, contemporaneous operating logs, or other relevant evidence that:</w:t>
      </w:r>
    </w:p>
    <w:p w:rsidR="00B8581C" w:rsidRPr="00806B7A" w:rsidRDefault="00B8581C" w:rsidP="00B8581C">
      <w:pPr>
        <w:pStyle w:val="ListParagraph"/>
        <w:numPr>
          <w:ilvl w:val="2"/>
          <w:numId w:val="16"/>
        </w:numPr>
        <w:suppressAutoHyphens/>
        <w:topLinePunct/>
        <w:textAlignment w:val="center"/>
      </w:pPr>
      <w:r w:rsidRPr="00806B7A">
        <w:t>An upset occurred and that the permittee can identify the causes(s) of the upset;</w:t>
      </w:r>
    </w:p>
    <w:p w:rsidR="00B8581C" w:rsidRPr="00806B7A" w:rsidRDefault="00B8581C" w:rsidP="00B8581C">
      <w:pPr>
        <w:pStyle w:val="ListParagraph"/>
        <w:numPr>
          <w:ilvl w:val="2"/>
          <w:numId w:val="16"/>
        </w:numPr>
        <w:suppressAutoHyphens/>
        <w:topLinePunct/>
        <w:textAlignment w:val="center"/>
      </w:pPr>
      <w:r w:rsidRPr="00806B7A">
        <w:t>The permitted facility was at the time being properly operated;</w:t>
      </w:r>
    </w:p>
    <w:p w:rsidR="00B8581C" w:rsidRPr="00806B7A" w:rsidRDefault="00B8581C" w:rsidP="00B8581C">
      <w:pPr>
        <w:pStyle w:val="ListParagraph"/>
        <w:numPr>
          <w:ilvl w:val="2"/>
          <w:numId w:val="16"/>
        </w:numPr>
        <w:suppressAutoHyphens/>
        <w:topLinePunct/>
        <w:textAlignment w:val="center"/>
      </w:pPr>
      <w:r w:rsidRPr="00806B7A">
        <w:t>The permittee submitted notice of the upset as required in General Condition D5, hereof (24-hour notice); and</w:t>
      </w:r>
    </w:p>
    <w:p w:rsidR="00B8581C" w:rsidRPr="00806B7A" w:rsidRDefault="00B8581C" w:rsidP="00B8581C">
      <w:pPr>
        <w:pStyle w:val="ListParagraph"/>
        <w:numPr>
          <w:ilvl w:val="2"/>
          <w:numId w:val="16"/>
        </w:numPr>
        <w:suppressAutoHyphens/>
        <w:topLinePunct/>
        <w:textAlignment w:val="center"/>
      </w:pPr>
      <w:r w:rsidRPr="00806B7A">
        <w:t>The permittee complied with any remedial measures required under General Condition A3 hereof.</w:t>
      </w:r>
    </w:p>
    <w:p w:rsidR="00B8581C" w:rsidRPr="00806B7A" w:rsidRDefault="00B8581C" w:rsidP="00B8581C">
      <w:pPr>
        <w:pStyle w:val="ListParagraph"/>
        <w:numPr>
          <w:ilvl w:val="1"/>
          <w:numId w:val="16"/>
        </w:numPr>
        <w:suppressAutoHyphens/>
        <w:topLinePunct/>
        <w:textAlignment w:val="center"/>
      </w:pPr>
      <w:r w:rsidRPr="00806B7A">
        <w:t xml:space="preserve">Burden of proof. In any enforcement </w:t>
      </w:r>
      <w:proofErr w:type="gramStart"/>
      <w:r w:rsidRPr="00806B7A">
        <w:t>proceeding</w:t>
      </w:r>
      <w:proofErr w:type="gramEnd"/>
      <w:r w:rsidRPr="00806B7A">
        <w:t xml:space="preserve"> the permittee seeking to establish the occurrence of an upset has the burden of proof.</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6"/>
        </w:numPr>
        <w:suppressAutoHyphens/>
        <w:topLinePunct/>
        <w:textAlignment w:val="center"/>
      </w:pPr>
      <w:r w:rsidRPr="00806B7A">
        <w:rPr>
          <w:u w:val="single"/>
        </w:rPr>
        <w:lastRenderedPageBreak/>
        <w:t xml:space="preserve">Treatment of Single Operational Upset </w:t>
      </w:r>
    </w:p>
    <w:p w:rsidR="00B8581C" w:rsidRPr="00806B7A" w:rsidRDefault="00B8581C" w:rsidP="00B8581C">
      <w:pPr>
        <w:suppressAutoHyphens/>
        <w:topLinePunct/>
        <w:ind w:left="432"/>
        <w:textAlignment w:val="center"/>
      </w:pPr>
      <w:r w:rsidRPr="00806B7A">
        <w:t>For purposes of this permit, a single operational upset that leads to simultaneous violations of more than one pollutant parameter will be treated as a single violation. A single operational upset is an exceptional incident that causes simultaneous, unintentional, unknowing (not the result of a knowing act or omission), temporary noncompliance with more than one federal Clean Water Act effluent discharge pollutant parameter. A single operational upset does not include federal Clean Water Act violations involving discharge without a NPDES permit or noncompliance to the extent caused by improperly designed or inadequate treatment facilities. Each day of a single operational upset is a violation.</w:t>
      </w:r>
    </w:p>
    <w:p w:rsidR="00B8581C" w:rsidRPr="00806B7A" w:rsidRDefault="00B8581C" w:rsidP="00B8581C">
      <w:pPr>
        <w:suppressAutoHyphens/>
        <w:topLinePunct/>
        <w:ind w:left="1440" w:hanging="1440"/>
        <w:textAlignment w:val="center"/>
        <w:rPr>
          <w:color w:val="000000"/>
        </w:rPr>
      </w:pPr>
    </w:p>
    <w:p w:rsidR="00B8581C" w:rsidRPr="00806B7A" w:rsidRDefault="00B8581C" w:rsidP="00B8581C">
      <w:pPr>
        <w:pStyle w:val="ListParagraph"/>
        <w:keepNext/>
        <w:numPr>
          <w:ilvl w:val="0"/>
          <w:numId w:val="16"/>
        </w:numPr>
        <w:suppressAutoHyphens/>
        <w:topLinePunct/>
        <w:textAlignment w:val="center"/>
      </w:pPr>
      <w:r w:rsidRPr="00806B7A">
        <w:rPr>
          <w:color w:val="000000"/>
          <w:u w:val="single"/>
        </w:rPr>
        <w:t>Public Notification of Effluent Violation</w:t>
      </w:r>
    </w:p>
    <w:p w:rsidR="00B8581C" w:rsidRPr="00806B7A" w:rsidRDefault="00B8581C" w:rsidP="00B8581C">
      <w:pPr>
        <w:suppressAutoHyphens/>
        <w:topLinePunct/>
        <w:ind w:left="432"/>
        <w:textAlignment w:val="center"/>
      </w:pPr>
      <w:r w:rsidRPr="00806B7A">
        <w:rPr>
          <w:color w:val="000000"/>
        </w:rPr>
        <w:t>If effluent limitations specified in this permit are exceeded or an overflow occurs that thr</w:t>
      </w:r>
      <w:r w:rsidRPr="00806B7A">
        <w:t>eatens public health, the permittee must take such steps as are necessary to alert the public, health agencies and other affected entities (for example, public water systems) about the extent and nature of the discharge in accordance with the notification procedures developed under General Condition B7. Such steps may include, but are not limited to, posting of the river at access points and other places, news releases, and paid announcements on radio and television.</w:t>
      </w:r>
    </w:p>
    <w:p w:rsidR="00B8581C" w:rsidRPr="00806B7A" w:rsidRDefault="00B8581C" w:rsidP="00B8581C">
      <w:pPr>
        <w:suppressAutoHyphens/>
        <w:topLinePunct/>
        <w:ind w:left="720" w:hanging="720"/>
        <w:textAlignment w:val="center"/>
      </w:pPr>
    </w:p>
    <w:p w:rsidR="00B8581C" w:rsidRPr="00806B7A" w:rsidRDefault="00B8581C" w:rsidP="00B8581C">
      <w:pPr>
        <w:pStyle w:val="ListParagraph"/>
        <w:keepNext/>
        <w:numPr>
          <w:ilvl w:val="0"/>
          <w:numId w:val="16"/>
        </w:numPr>
        <w:suppressAutoHyphens/>
        <w:topLinePunct/>
        <w:textAlignment w:val="center"/>
        <w:rPr>
          <w:u w:val="single"/>
        </w:rPr>
      </w:pPr>
      <w:r w:rsidRPr="00806B7A">
        <w:rPr>
          <w:u w:val="single"/>
        </w:rPr>
        <w:t>Emergency Response and Public Notification Plan</w:t>
      </w:r>
    </w:p>
    <w:p w:rsidR="00B8581C" w:rsidRPr="00806B7A" w:rsidRDefault="00B8581C" w:rsidP="00B8581C">
      <w:pPr>
        <w:ind w:left="432"/>
      </w:pPr>
      <w:r w:rsidRPr="00806B7A">
        <w:t>The permittee must develop and implement an emergency response and public notification plan that identifies measures to protect public health from bypasses or upsets that may endanger public health. At a minimum the plan must include mechanisms to:</w:t>
      </w:r>
    </w:p>
    <w:p w:rsidR="00B8581C" w:rsidRPr="00806B7A" w:rsidRDefault="00B8581C" w:rsidP="00B8581C">
      <w:pPr>
        <w:pStyle w:val="ListParagraph"/>
        <w:numPr>
          <w:ilvl w:val="1"/>
          <w:numId w:val="16"/>
        </w:numPr>
      </w:pPr>
      <w:r w:rsidRPr="00806B7A">
        <w:t>Ensure that the permittee is aware (to the greatest extent possible) of such events;</w:t>
      </w:r>
    </w:p>
    <w:p w:rsidR="00B8581C" w:rsidRPr="00806B7A" w:rsidRDefault="00B8581C" w:rsidP="00B8581C">
      <w:pPr>
        <w:pStyle w:val="ListParagraph"/>
        <w:numPr>
          <w:ilvl w:val="1"/>
          <w:numId w:val="16"/>
        </w:numPr>
      </w:pPr>
      <w:r w:rsidRPr="00806B7A">
        <w:t>Ensure notification of appropriate personnel and ensure that they are immediately dispatched for investigation and response;</w:t>
      </w:r>
    </w:p>
    <w:p w:rsidR="00B8581C" w:rsidRPr="00806B7A" w:rsidRDefault="00B8581C" w:rsidP="00B8581C">
      <w:pPr>
        <w:pStyle w:val="ListParagraph"/>
        <w:numPr>
          <w:ilvl w:val="1"/>
          <w:numId w:val="16"/>
        </w:numPr>
      </w:pPr>
      <w:r w:rsidRPr="00806B7A">
        <w:t>Ensure immediate notification to the public, health agencies, and other affected entities (including public water systems). The response plan must identify the public health and other officials who will receive immediate notification;</w:t>
      </w:r>
    </w:p>
    <w:p w:rsidR="00B8581C" w:rsidRPr="00806B7A" w:rsidRDefault="00B8581C" w:rsidP="00B8581C">
      <w:pPr>
        <w:pStyle w:val="ListParagraph"/>
        <w:numPr>
          <w:ilvl w:val="1"/>
          <w:numId w:val="16"/>
        </w:numPr>
      </w:pPr>
      <w:r w:rsidRPr="00806B7A">
        <w:t>Ensure that appropriate personnel are aware of and follow the plan and are appropriately trained;</w:t>
      </w:r>
    </w:p>
    <w:p w:rsidR="00B8581C" w:rsidRPr="00806B7A" w:rsidRDefault="00B8581C" w:rsidP="00B8581C">
      <w:pPr>
        <w:pStyle w:val="ListParagraph"/>
        <w:numPr>
          <w:ilvl w:val="1"/>
          <w:numId w:val="16"/>
        </w:numPr>
      </w:pPr>
      <w:r w:rsidRPr="00806B7A">
        <w:t>Provide emergency operations; and</w:t>
      </w:r>
    </w:p>
    <w:p w:rsidR="00B8581C" w:rsidRPr="00806B7A" w:rsidRDefault="00B8581C" w:rsidP="00B8581C">
      <w:pPr>
        <w:pStyle w:val="ListParagraph"/>
        <w:numPr>
          <w:ilvl w:val="1"/>
          <w:numId w:val="16"/>
        </w:numPr>
      </w:pPr>
      <w:r w:rsidRPr="00806B7A">
        <w:t xml:space="preserve">Ensure that DEQ is notified of the public notification steps taken. </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6"/>
        </w:numPr>
        <w:suppressAutoHyphens/>
        <w:topLinePunct/>
        <w:textAlignment w:val="center"/>
      </w:pPr>
      <w:r w:rsidRPr="00806B7A">
        <w:rPr>
          <w:u w:val="single"/>
        </w:rPr>
        <w:t>Removed Substances</w:t>
      </w:r>
    </w:p>
    <w:p w:rsidR="00B8581C" w:rsidRPr="00806B7A" w:rsidRDefault="00B8581C" w:rsidP="00B8581C">
      <w:pPr>
        <w:suppressAutoHyphens/>
        <w:topLinePunct/>
        <w:ind w:left="432"/>
        <w:textAlignment w:val="center"/>
      </w:pPr>
      <w:r w:rsidRPr="00806B7A">
        <w:t xml:space="preserve">Solids, </w:t>
      </w:r>
      <w:proofErr w:type="spellStart"/>
      <w:r w:rsidRPr="00806B7A">
        <w:t>sludges</w:t>
      </w:r>
      <w:proofErr w:type="spellEnd"/>
      <w:r w:rsidRPr="00806B7A">
        <w:t>, filter backwash, or other pollutants removed in the course of treatment or control of wastewaters must be disposed of in such a manner as to prevent any pollutant from such materials from entering waters of the state, causing nuisance conditions, or creating a public health hazard.</w:t>
      </w:r>
    </w:p>
    <w:p w:rsidR="00B8581C" w:rsidRPr="00806B7A" w:rsidRDefault="00B8581C" w:rsidP="00B8581C">
      <w:pPr>
        <w:suppressAutoHyphens/>
        <w:topLinePunct/>
        <w:textAlignment w:val="center"/>
      </w:pPr>
    </w:p>
    <w:p w:rsidR="00B8581C" w:rsidRPr="00806B7A" w:rsidRDefault="00B8581C" w:rsidP="00B8581C">
      <w:pPr>
        <w:keepNext/>
        <w:rPr>
          <w:b/>
        </w:rPr>
      </w:pPr>
      <w:bookmarkStart w:id="27" w:name="_Toc302723389"/>
      <w:r w:rsidRPr="00806B7A">
        <w:rPr>
          <w:b/>
        </w:rPr>
        <w:t>SECTION C. MONITORING AND RECORDS</w:t>
      </w:r>
      <w:bookmarkEnd w:id="27"/>
    </w:p>
    <w:p w:rsidR="00B8581C" w:rsidRPr="00806B7A" w:rsidRDefault="00B8581C" w:rsidP="00B8581C">
      <w:pPr>
        <w:pStyle w:val="ListParagraph"/>
        <w:keepNext/>
        <w:numPr>
          <w:ilvl w:val="0"/>
          <w:numId w:val="17"/>
        </w:numPr>
        <w:suppressAutoHyphens/>
        <w:topLinePunct/>
        <w:textAlignment w:val="center"/>
      </w:pPr>
      <w:r w:rsidRPr="00806B7A">
        <w:rPr>
          <w:u w:val="single"/>
        </w:rPr>
        <w:t>Representative Sampling</w:t>
      </w:r>
    </w:p>
    <w:p w:rsidR="00B8581C" w:rsidRPr="00806B7A" w:rsidRDefault="00B8581C" w:rsidP="00B8581C">
      <w:pPr>
        <w:suppressAutoHyphens/>
        <w:topLinePunct/>
        <w:ind w:left="432"/>
        <w:textAlignment w:val="center"/>
      </w:pPr>
      <w:r w:rsidRPr="00806B7A">
        <w:t>Sampling and measurements taken as required herein must be representative of the volume and nature of the monitored discharge. All samples must be taken at the monitoring points specified in this permit, and must be taken, unless otherwise specified, before the effluent joins or is diluted by any other waste stream, body of water, or substance. Monitoring points must not be changed without notification to and the approval of DEQ.</w:t>
      </w:r>
    </w:p>
    <w:p w:rsidR="00B8581C" w:rsidRPr="00806B7A" w:rsidRDefault="00B8581C" w:rsidP="00B8581C">
      <w:pPr>
        <w:suppressAutoHyphens/>
        <w:topLinePunct/>
        <w:ind w:left="720" w:hanging="720"/>
        <w:textAlignment w:val="center"/>
      </w:pPr>
    </w:p>
    <w:p w:rsidR="00B8581C" w:rsidRPr="00806B7A" w:rsidRDefault="00B8581C" w:rsidP="00B8581C">
      <w:pPr>
        <w:pStyle w:val="ListParagraph"/>
        <w:keepNext/>
        <w:numPr>
          <w:ilvl w:val="0"/>
          <w:numId w:val="17"/>
        </w:numPr>
        <w:suppressAutoHyphens/>
        <w:topLinePunct/>
        <w:textAlignment w:val="center"/>
      </w:pPr>
      <w:r w:rsidRPr="00806B7A">
        <w:rPr>
          <w:u w:val="single"/>
        </w:rPr>
        <w:t>Flow Measurements</w:t>
      </w:r>
    </w:p>
    <w:p w:rsidR="00B8581C" w:rsidRPr="00806B7A" w:rsidRDefault="00B8581C" w:rsidP="00B8581C">
      <w:pPr>
        <w:suppressAutoHyphens/>
        <w:topLinePunct/>
        <w:ind w:left="432"/>
        <w:textAlignment w:val="center"/>
      </w:pPr>
      <w:r w:rsidRPr="00806B7A">
        <w:t>Appropriate flow measurement devices and methods consistent with accepted scientific practices must be selected and used to ensure the accuracy and reliability of measurements of the volume of monitored discharges. The devices must be installed, calibrated and maintained to insure that the accuracy of the measurements is consistent with the accepted capability of that type of device. Devices selected must be capable of measuring flows with a maximum deviation of less than ± 10 percent from true discharge rates throughout the range of expected discharge volumes.</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7"/>
        </w:numPr>
        <w:suppressAutoHyphens/>
        <w:topLinePunct/>
        <w:textAlignment w:val="center"/>
        <w:rPr>
          <w:u w:val="single"/>
        </w:rPr>
      </w:pPr>
      <w:r w:rsidRPr="00806B7A">
        <w:rPr>
          <w:u w:val="single"/>
        </w:rPr>
        <w:lastRenderedPageBreak/>
        <w:t xml:space="preserve">Monitoring Procedures </w:t>
      </w:r>
    </w:p>
    <w:p w:rsidR="00B8581C" w:rsidRPr="00806B7A" w:rsidRDefault="00B8581C" w:rsidP="00B8581C">
      <w:pPr>
        <w:suppressAutoHyphens/>
        <w:topLinePunct/>
        <w:ind w:left="432"/>
        <w:textAlignment w:val="center"/>
      </w:pPr>
      <w:r w:rsidRPr="00806B7A">
        <w:t xml:space="preserve">Monitoring must be conducted according to test procedures approved under 40 </w:t>
      </w:r>
      <w:smartTag w:uri="urn:schemas-microsoft-com:office:smarttags" w:element="stockticker">
        <w:r w:rsidRPr="00806B7A">
          <w:t>CFR</w:t>
        </w:r>
      </w:smartTag>
      <w:r w:rsidRPr="00806B7A">
        <w:t xml:space="preserve"> </w:t>
      </w:r>
      <w:proofErr w:type="gramStart"/>
      <w:r w:rsidRPr="00806B7A">
        <w:t>part</w:t>
      </w:r>
      <w:proofErr w:type="gramEnd"/>
      <w:r w:rsidRPr="00806B7A">
        <w:t xml:space="preserve"> 136 or, in the case of sludge use and disposal, approved under 40 </w:t>
      </w:r>
      <w:smartTag w:uri="urn:schemas-microsoft-com:office:smarttags" w:element="stockticker">
        <w:r w:rsidRPr="00806B7A">
          <w:t>CFR</w:t>
        </w:r>
      </w:smartTag>
      <w:r w:rsidRPr="00806B7A">
        <w:t xml:space="preserve"> part 503 unless other test procedures have been specified in this permit.</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7"/>
        </w:numPr>
        <w:suppressAutoHyphens/>
        <w:topLinePunct/>
        <w:textAlignment w:val="center"/>
      </w:pPr>
      <w:r w:rsidRPr="00806B7A">
        <w:rPr>
          <w:u w:val="single"/>
        </w:rPr>
        <w:t>Penalties of Tampering</w:t>
      </w:r>
    </w:p>
    <w:p w:rsidR="00B8581C" w:rsidRPr="00806B7A" w:rsidRDefault="00B8581C" w:rsidP="00B8581C">
      <w:pPr>
        <w:suppressAutoHyphens/>
        <w:topLinePunct/>
        <w:ind w:left="432"/>
        <w:textAlignment w:val="center"/>
      </w:pPr>
      <w:r w:rsidRPr="00806B7A">
        <w:t>The federal Clean Water Act provides that any person who falsifies, tampers with, or knowingly renders inaccurate any monitoring device or method required to be maintained under this permit may, upon conviction, be punished by a fine of not more than $10,000 per violation, imprisonment for not more than two years, or both. If a conviction of a person is for a violation committed after a first conviction of such person, punishment is a fine not more than $20,000 per day of violation, or by imprisonment of not more than four years, or both.</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7"/>
        </w:numPr>
        <w:suppressAutoHyphens/>
        <w:topLinePunct/>
        <w:textAlignment w:val="center"/>
      </w:pPr>
      <w:r w:rsidRPr="00806B7A">
        <w:rPr>
          <w:u w:val="single"/>
        </w:rPr>
        <w:t>Reporting of Monitoring Results</w:t>
      </w:r>
    </w:p>
    <w:p w:rsidR="00B8581C" w:rsidRPr="00806B7A" w:rsidRDefault="00B8581C" w:rsidP="00B8581C">
      <w:pPr>
        <w:suppressAutoHyphens/>
        <w:topLinePunct/>
        <w:ind w:left="432"/>
        <w:textAlignment w:val="center"/>
      </w:pPr>
      <w:r w:rsidRPr="00806B7A">
        <w:t>Monitoring results must be summarized each month on a discharge monitoring report form approved by DEQ. The reports must be submitted monthly and are to be mailed, delivered or otherwise transmitted by the 15th day of the following month unless specifically approved otherwise in Schedule B of this permit.</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7"/>
        </w:numPr>
        <w:suppressAutoHyphens/>
        <w:topLinePunct/>
        <w:textAlignment w:val="center"/>
      </w:pPr>
      <w:r w:rsidRPr="00806B7A">
        <w:rPr>
          <w:u w:val="single"/>
        </w:rPr>
        <w:t>Additional Monitoring by the Permittee</w:t>
      </w:r>
    </w:p>
    <w:p w:rsidR="00B8581C" w:rsidRPr="00806B7A" w:rsidRDefault="00B8581C" w:rsidP="00B8581C">
      <w:pPr>
        <w:suppressAutoHyphens/>
        <w:topLinePunct/>
        <w:ind w:left="432"/>
        <w:textAlignment w:val="center"/>
      </w:pPr>
      <w:r w:rsidRPr="00806B7A">
        <w:t xml:space="preserve">If the permittee monitors any pollutant more frequently than required by this permit, using test procedures approved under 40 </w:t>
      </w:r>
      <w:smartTag w:uri="urn:schemas-microsoft-com:office:smarttags" w:element="stockticker">
        <w:r w:rsidRPr="00806B7A">
          <w:t>CFR</w:t>
        </w:r>
      </w:smartTag>
      <w:r w:rsidRPr="00806B7A">
        <w:t xml:space="preserve"> part 136 or, in the case of sludge use and disposal, approved under 40 </w:t>
      </w:r>
      <w:smartTag w:uri="urn:schemas-microsoft-com:office:smarttags" w:element="stockticker">
        <w:r w:rsidRPr="00806B7A">
          <w:t>CFR</w:t>
        </w:r>
      </w:smartTag>
      <w:r w:rsidRPr="00806B7A">
        <w:t xml:space="preserve"> part 503 or as specified in this permit, the results of this monitoring must be included in the calculation and reporting of the data submitted in the discharge monitoring report. Such increased frequency must also be indicated. For a pollutant parameter that may be sampled more than once per day (for example, total residual chlorine), only the average daily value must be recorded unless otherwise specified in this permit.</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7"/>
        </w:numPr>
        <w:suppressAutoHyphens/>
        <w:topLinePunct/>
        <w:textAlignment w:val="center"/>
      </w:pPr>
      <w:r w:rsidRPr="00806B7A">
        <w:rPr>
          <w:u w:val="single"/>
        </w:rPr>
        <w:t>Averaging of Measurements</w:t>
      </w:r>
    </w:p>
    <w:p w:rsidR="00B8581C" w:rsidRPr="00806B7A" w:rsidRDefault="00B8581C" w:rsidP="00B8581C">
      <w:pPr>
        <w:suppressAutoHyphens/>
        <w:topLinePunct/>
        <w:ind w:left="432"/>
        <w:textAlignment w:val="center"/>
      </w:pPr>
      <w:r w:rsidRPr="00806B7A">
        <w:t>Calculations for all limitations that require averaging of measurements must utilize an arithmetic mean, except for bacteria which must be averaged as specified in this permit.</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7"/>
        </w:numPr>
        <w:suppressAutoHyphens/>
        <w:topLinePunct/>
        <w:textAlignment w:val="center"/>
      </w:pPr>
      <w:r w:rsidRPr="00806B7A">
        <w:rPr>
          <w:u w:val="single"/>
        </w:rPr>
        <w:t>Retention of Records</w:t>
      </w:r>
    </w:p>
    <w:p w:rsidR="00B8581C" w:rsidRPr="00806B7A" w:rsidRDefault="00B8581C" w:rsidP="00B8581C">
      <w:pPr>
        <w:suppressAutoHyphens/>
        <w:topLinePunct/>
        <w:ind w:left="432"/>
        <w:textAlignment w:val="center"/>
      </w:pPr>
      <w:r w:rsidRPr="00806B7A">
        <w:t xml:space="preserve">Records of monitoring information required by this permit related to the permittee’s sewage sludge use and disposal activities must be retained for a period of at least 5 years (or longer as required by 40 </w:t>
      </w:r>
      <w:smartTag w:uri="urn:schemas-microsoft-com:office:smarttags" w:element="stockticker">
        <w:r w:rsidRPr="00806B7A">
          <w:t>CFR</w:t>
        </w:r>
      </w:smartTag>
      <w:r w:rsidRPr="00806B7A">
        <w:t xml:space="preserve"> part 503). Records of all monitoring information including all calibration and maintenance records, all original strip chart recordings for continuous monitoring instrumentation, copies of all reports required by this permit and records of all data used to complete the application for this permit must be retained for a period of at least 3 years from the date of the sample, measurement, report, or application. This period may be extended by request of DEQ at any time.</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7"/>
        </w:numPr>
        <w:suppressAutoHyphens/>
        <w:topLinePunct/>
        <w:textAlignment w:val="center"/>
      </w:pPr>
      <w:r w:rsidRPr="00806B7A">
        <w:rPr>
          <w:u w:val="single"/>
        </w:rPr>
        <w:t>Records Contents</w:t>
      </w:r>
    </w:p>
    <w:p w:rsidR="00B8581C" w:rsidRPr="00806B7A" w:rsidRDefault="00B8581C" w:rsidP="00B8581C">
      <w:pPr>
        <w:suppressAutoHyphens/>
        <w:topLinePunct/>
        <w:ind w:left="432"/>
        <w:textAlignment w:val="center"/>
      </w:pPr>
      <w:r w:rsidRPr="00806B7A">
        <w:t>Records of monitoring information must include:</w:t>
      </w:r>
    </w:p>
    <w:p w:rsidR="00B8581C" w:rsidRPr="00806B7A" w:rsidRDefault="00B8581C" w:rsidP="00B8581C">
      <w:pPr>
        <w:pStyle w:val="ListParagraph"/>
        <w:numPr>
          <w:ilvl w:val="1"/>
          <w:numId w:val="17"/>
        </w:numPr>
        <w:suppressAutoHyphens/>
        <w:topLinePunct/>
        <w:textAlignment w:val="center"/>
      </w:pPr>
      <w:r w:rsidRPr="00806B7A">
        <w:t>The date, exact place, time, and methods of sampling or measurements;</w:t>
      </w:r>
    </w:p>
    <w:p w:rsidR="00B8581C" w:rsidRPr="00806B7A" w:rsidRDefault="00B8581C" w:rsidP="00B8581C">
      <w:pPr>
        <w:pStyle w:val="ListParagraph"/>
        <w:numPr>
          <w:ilvl w:val="1"/>
          <w:numId w:val="17"/>
        </w:numPr>
        <w:suppressAutoHyphens/>
        <w:topLinePunct/>
        <w:textAlignment w:val="center"/>
      </w:pPr>
      <w:r w:rsidRPr="00806B7A">
        <w:t>The individual(s) who performed the sampling or measurements;</w:t>
      </w:r>
    </w:p>
    <w:p w:rsidR="00B8581C" w:rsidRPr="00806B7A" w:rsidRDefault="00B8581C" w:rsidP="00B8581C">
      <w:pPr>
        <w:pStyle w:val="ListParagraph"/>
        <w:numPr>
          <w:ilvl w:val="1"/>
          <w:numId w:val="17"/>
        </w:numPr>
        <w:suppressAutoHyphens/>
        <w:topLinePunct/>
        <w:textAlignment w:val="center"/>
      </w:pPr>
      <w:r w:rsidRPr="00806B7A">
        <w:t>The date(s) analyses were performed;</w:t>
      </w:r>
    </w:p>
    <w:p w:rsidR="00B8581C" w:rsidRPr="00806B7A" w:rsidRDefault="00B8581C" w:rsidP="00B8581C">
      <w:pPr>
        <w:pStyle w:val="ListParagraph"/>
        <w:numPr>
          <w:ilvl w:val="1"/>
          <w:numId w:val="17"/>
        </w:numPr>
        <w:suppressAutoHyphens/>
        <w:topLinePunct/>
        <w:textAlignment w:val="center"/>
      </w:pPr>
      <w:r w:rsidRPr="00806B7A">
        <w:t>The individual(s) who performed the analyses;</w:t>
      </w:r>
    </w:p>
    <w:p w:rsidR="00B8581C" w:rsidRPr="00806B7A" w:rsidRDefault="00B8581C" w:rsidP="00B8581C">
      <w:pPr>
        <w:pStyle w:val="ListParagraph"/>
        <w:numPr>
          <w:ilvl w:val="1"/>
          <w:numId w:val="17"/>
        </w:numPr>
        <w:suppressAutoHyphens/>
        <w:topLinePunct/>
        <w:textAlignment w:val="center"/>
      </w:pPr>
      <w:r w:rsidRPr="00806B7A">
        <w:t>The analytical techniques or methods used; and</w:t>
      </w:r>
    </w:p>
    <w:p w:rsidR="00B8581C" w:rsidRPr="00806B7A" w:rsidRDefault="00B8581C" w:rsidP="00B8581C">
      <w:pPr>
        <w:pStyle w:val="ListParagraph"/>
        <w:numPr>
          <w:ilvl w:val="1"/>
          <w:numId w:val="17"/>
        </w:numPr>
        <w:suppressAutoHyphens/>
        <w:topLinePunct/>
        <w:textAlignment w:val="center"/>
      </w:pPr>
      <w:r w:rsidRPr="00806B7A">
        <w:t>The results of such analyses.</w:t>
      </w:r>
    </w:p>
    <w:p w:rsidR="00B8581C" w:rsidRPr="00806B7A" w:rsidRDefault="00B8581C" w:rsidP="00B8581C">
      <w:pPr>
        <w:suppressAutoHyphens/>
        <w:topLinePunct/>
        <w:ind w:left="720" w:hanging="360"/>
        <w:textAlignment w:val="center"/>
      </w:pPr>
    </w:p>
    <w:p w:rsidR="00B8581C" w:rsidRPr="00806B7A" w:rsidRDefault="00B8581C" w:rsidP="00B8581C">
      <w:pPr>
        <w:pStyle w:val="ListParagraph"/>
        <w:keepNext/>
        <w:numPr>
          <w:ilvl w:val="0"/>
          <w:numId w:val="17"/>
        </w:numPr>
        <w:suppressAutoHyphens/>
        <w:topLinePunct/>
        <w:textAlignment w:val="center"/>
        <w:rPr>
          <w:u w:val="single"/>
        </w:rPr>
      </w:pPr>
      <w:r w:rsidRPr="00806B7A">
        <w:rPr>
          <w:u w:val="single"/>
        </w:rPr>
        <w:t>Inspection and Entry</w:t>
      </w:r>
    </w:p>
    <w:p w:rsidR="00B8581C" w:rsidRPr="00806B7A" w:rsidRDefault="00B8581C" w:rsidP="00B8581C">
      <w:pPr>
        <w:suppressAutoHyphens/>
        <w:topLinePunct/>
        <w:ind w:left="432"/>
        <w:textAlignment w:val="center"/>
      </w:pPr>
      <w:r w:rsidRPr="00806B7A">
        <w:t>The permittee must allow DEQ or EPA upon the presentation of credentials to:</w:t>
      </w:r>
    </w:p>
    <w:p w:rsidR="00B8581C" w:rsidRPr="00806B7A" w:rsidRDefault="00B8581C" w:rsidP="00B8581C">
      <w:pPr>
        <w:pStyle w:val="ListParagraph"/>
        <w:numPr>
          <w:ilvl w:val="1"/>
          <w:numId w:val="17"/>
        </w:numPr>
        <w:suppressAutoHyphens/>
        <w:topLinePunct/>
        <w:textAlignment w:val="center"/>
      </w:pPr>
      <w:r w:rsidRPr="00806B7A">
        <w:t>Enter upon the permittee's premises where a regulated facility or activity is located or conducted, or where records must be kept under the conditions of this permit;</w:t>
      </w:r>
    </w:p>
    <w:p w:rsidR="00B8581C" w:rsidRPr="00806B7A" w:rsidRDefault="00B8581C" w:rsidP="00B8581C">
      <w:pPr>
        <w:pStyle w:val="ListParagraph"/>
        <w:numPr>
          <w:ilvl w:val="1"/>
          <w:numId w:val="17"/>
        </w:numPr>
        <w:suppressAutoHyphens/>
        <w:topLinePunct/>
        <w:textAlignment w:val="center"/>
      </w:pPr>
      <w:r w:rsidRPr="00806B7A">
        <w:t>Have access to and copy, at reasonable times, any records that must be kept under the conditions of this permit;</w:t>
      </w:r>
    </w:p>
    <w:p w:rsidR="00B8581C" w:rsidRPr="00806B7A" w:rsidRDefault="00B8581C" w:rsidP="00B8581C">
      <w:pPr>
        <w:pStyle w:val="ListParagraph"/>
        <w:numPr>
          <w:ilvl w:val="1"/>
          <w:numId w:val="17"/>
        </w:numPr>
        <w:suppressAutoHyphens/>
        <w:topLinePunct/>
        <w:textAlignment w:val="center"/>
      </w:pPr>
      <w:r w:rsidRPr="00806B7A">
        <w:lastRenderedPageBreak/>
        <w:t>Inspect at reasonable times any facilities, equipment (including monitoring and control equipment), practices, or operations regulated or required under this permit; and</w:t>
      </w:r>
    </w:p>
    <w:p w:rsidR="00B8581C" w:rsidRPr="00806B7A" w:rsidRDefault="00B8581C" w:rsidP="00B8581C">
      <w:pPr>
        <w:pStyle w:val="ListParagraph"/>
        <w:numPr>
          <w:ilvl w:val="1"/>
          <w:numId w:val="17"/>
        </w:numPr>
        <w:suppressAutoHyphens/>
        <w:topLinePunct/>
        <w:textAlignment w:val="center"/>
      </w:pPr>
      <w:r w:rsidRPr="00806B7A">
        <w:t>Sample or monitor at reasonable times, for the purpose of assuring permit compliance or as otherwise authorized by state law, any substances or parameters at any location.</w:t>
      </w:r>
    </w:p>
    <w:p w:rsidR="00B8581C" w:rsidRPr="00806B7A" w:rsidRDefault="00B8581C" w:rsidP="00B8581C">
      <w:pPr>
        <w:suppressAutoHyphens/>
        <w:topLinePunct/>
        <w:ind w:left="360" w:hanging="360"/>
        <w:textAlignment w:val="center"/>
        <w:rPr>
          <w:u w:val="single"/>
        </w:rPr>
      </w:pPr>
    </w:p>
    <w:p w:rsidR="00B8581C" w:rsidRPr="00806B7A" w:rsidRDefault="00B8581C" w:rsidP="00B8581C">
      <w:pPr>
        <w:keepNext/>
        <w:numPr>
          <w:ilvl w:val="0"/>
          <w:numId w:val="17"/>
        </w:numPr>
        <w:suppressAutoHyphens/>
        <w:topLinePunct/>
        <w:textAlignment w:val="center"/>
      </w:pPr>
      <w:r w:rsidRPr="00806B7A">
        <w:rPr>
          <w:u w:val="single"/>
        </w:rPr>
        <w:t>Confidentiality of Information</w:t>
      </w:r>
    </w:p>
    <w:p w:rsidR="00B8581C" w:rsidRPr="00806B7A" w:rsidRDefault="00B8581C" w:rsidP="00B8581C">
      <w:pPr>
        <w:topLinePunct/>
        <w:ind w:left="432"/>
      </w:pPr>
      <w:r w:rsidRPr="00806B7A">
        <w:t xml:space="preserve">Any information relating to this permit that is submitted to or obtained by DEQ is available to the public unless classified as confidential by the Director of DEQ under ORS 468.095. The permittee may request that information be classified as confidential if it is a trade secret as defined by that statute. The name and address of the permittee, permit applications, permits, effluent data, and information required by NPDES application forms under 40 </w:t>
      </w:r>
      <w:smartTag w:uri="urn:schemas-microsoft-com:office:smarttags" w:element="stockticker">
        <w:r w:rsidRPr="00806B7A">
          <w:t>CFR</w:t>
        </w:r>
      </w:smartTag>
      <w:r w:rsidRPr="00806B7A">
        <w:t xml:space="preserve"> § 122.21 are not classified as confidential [40 </w:t>
      </w:r>
      <w:smartTag w:uri="urn:schemas-microsoft-com:office:smarttags" w:element="stockticker">
        <w:r w:rsidRPr="00806B7A">
          <w:t>CFR</w:t>
        </w:r>
      </w:smartTag>
      <w:r w:rsidRPr="00806B7A">
        <w:t xml:space="preserve"> § 122.7(b)]. </w:t>
      </w:r>
    </w:p>
    <w:p w:rsidR="00B8581C" w:rsidRPr="00806B7A" w:rsidRDefault="00B8581C" w:rsidP="00B8581C">
      <w:pPr>
        <w:suppressAutoHyphens/>
        <w:topLinePunct/>
        <w:ind w:left="720" w:hanging="720"/>
        <w:textAlignment w:val="center"/>
      </w:pPr>
    </w:p>
    <w:p w:rsidR="00B8581C" w:rsidRPr="00806B7A" w:rsidRDefault="00B8581C" w:rsidP="00B8581C">
      <w:pPr>
        <w:keepNext/>
        <w:rPr>
          <w:b/>
        </w:rPr>
      </w:pPr>
      <w:bookmarkStart w:id="28" w:name="_Toc302723390"/>
      <w:r w:rsidRPr="00806B7A">
        <w:rPr>
          <w:b/>
        </w:rPr>
        <w:t>SECTION D. REPORTING REQUIREMENTS</w:t>
      </w:r>
      <w:bookmarkEnd w:id="28"/>
    </w:p>
    <w:p w:rsidR="00B8581C" w:rsidRPr="00806B7A" w:rsidRDefault="00B8581C" w:rsidP="00B8581C">
      <w:pPr>
        <w:pStyle w:val="ListParagraph"/>
        <w:keepNext/>
        <w:numPr>
          <w:ilvl w:val="0"/>
          <w:numId w:val="18"/>
        </w:numPr>
        <w:suppressAutoHyphens/>
        <w:topLinePunct/>
        <w:textAlignment w:val="center"/>
      </w:pPr>
      <w:r w:rsidRPr="00806B7A">
        <w:rPr>
          <w:u w:val="single"/>
        </w:rPr>
        <w:t>Planned Changes</w:t>
      </w:r>
    </w:p>
    <w:p w:rsidR="00B8581C" w:rsidRPr="00806B7A" w:rsidRDefault="00B8581C" w:rsidP="00B8581C">
      <w:pPr>
        <w:suppressAutoHyphens/>
        <w:topLinePunct/>
        <w:ind w:left="432"/>
        <w:textAlignment w:val="center"/>
      </w:pPr>
      <w:r w:rsidRPr="00806B7A">
        <w:t xml:space="preserve">The permittee must comply with </w:t>
      </w:r>
      <w:smartTag w:uri="urn:schemas-microsoft-com:office:smarttags" w:element="stockticker">
        <w:r w:rsidRPr="00806B7A">
          <w:t>OAR</w:t>
        </w:r>
      </w:smartTag>
      <w:r w:rsidRPr="00806B7A">
        <w:t xml:space="preserve"> 340-052, “Review of Plans and Specifications” and 40 </w:t>
      </w:r>
      <w:smartTag w:uri="urn:schemas-microsoft-com:office:smarttags" w:element="stockticker">
        <w:r w:rsidRPr="00806B7A">
          <w:t>CFR</w:t>
        </w:r>
      </w:smartTag>
      <w:r w:rsidRPr="00806B7A">
        <w:t xml:space="preserve"> § 122.41(l</w:t>
      </w:r>
      <w:proofErr w:type="gramStart"/>
      <w:r w:rsidRPr="00806B7A">
        <w:t>)(</w:t>
      </w:r>
      <w:proofErr w:type="gramEnd"/>
      <w:r w:rsidRPr="00806B7A">
        <w:t xml:space="preserve">1). Except where exempted under </w:t>
      </w:r>
      <w:smartTag w:uri="urn:schemas-microsoft-com:office:smarttags" w:element="stockticker">
        <w:r w:rsidRPr="00806B7A">
          <w:t>OAR</w:t>
        </w:r>
      </w:smartTag>
      <w:r w:rsidRPr="00806B7A">
        <w:t xml:space="preserve"> 340-052, no construction, installation, or modification involving disposal systems, treatment works, sewerage systems, or common sewers may be commenced until the plans and specifications are submitted to and approved by DEQ. The permittee must give notice to DEQ as soon as possible of any planned physical alternations or additions to the permitted facility.</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8"/>
        </w:numPr>
        <w:suppressAutoHyphens/>
        <w:topLinePunct/>
        <w:textAlignment w:val="center"/>
      </w:pPr>
      <w:r w:rsidRPr="00806B7A">
        <w:rPr>
          <w:u w:val="single"/>
        </w:rPr>
        <w:t>Anticipated Noncompliance</w:t>
      </w:r>
    </w:p>
    <w:p w:rsidR="00B8581C" w:rsidRPr="00806B7A" w:rsidRDefault="00B8581C" w:rsidP="00B8581C">
      <w:pPr>
        <w:suppressAutoHyphens/>
        <w:topLinePunct/>
        <w:ind w:left="432"/>
        <w:textAlignment w:val="center"/>
      </w:pPr>
      <w:r w:rsidRPr="00806B7A">
        <w:t>The permittee must give advance notice to DEQ of any planned changes in the permitted facility or activity that may result in noncompliance with permit requirements.</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8"/>
        </w:numPr>
        <w:suppressAutoHyphens/>
        <w:topLinePunct/>
        <w:textAlignment w:val="center"/>
      </w:pPr>
      <w:r w:rsidRPr="00806B7A">
        <w:rPr>
          <w:u w:val="single"/>
        </w:rPr>
        <w:t>Transfers</w:t>
      </w:r>
    </w:p>
    <w:p w:rsidR="00B8581C" w:rsidRPr="00806B7A" w:rsidRDefault="00B8581C" w:rsidP="00B8581C">
      <w:pPr>
        <w:suppressAutoHyphens/>
        <w:topLinePunct/>
        <w:ind w:left="432"/>
        <w:textAlignment w:val="center"/>
      </w:pPr>
      <w:r w:rsidRPr="00806B7A">
        <w:t>This permit may be transferred to a new permittee provided the transferee acquires a property interest in the permitted activity and agrees in writing to fully comply with all the terms and conditions of the permit and EQC rules. No permit may be transferred to a third party without prior written approval from DEQ. DEQ may require modification</w:t>
      </w:r>
      <w:r w:rsidRPr="00806B7A">
        <w:rPr>
          <w:color w:val="000000"/>
        </w:rPr>
        <w:t xml:space="preserve"> or revocation</w:t>
      </w:r>
      <w:r w:rsidRPr="00806B7A">
        <w:t xml:space="preserve"> and reissuance of the permit to change the name of the permittee and incorporate such other requirements as may be necessary under 40 CFR § 122.61. The permittee must notify DEQ when a transfer of property interest takes place.</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8"/>
        </w:numPr>
        <w:suppressAutoHyphens/>
        <w:topLinePunct/>
        <w:textAlignment w:val="center"/>
      </w:pPr>
      <w:r w:rsidRPr="00806B7A">
        <w:rPr>
          <w:u w:val="single"/>
        </w:rPr>
        <w:t>Compliance Schedule</w:t>
      </w:r>
    </w:p>
    <w:p w:rsidR="00B8581C" w:rsidRPr="00806B7A" w:rsidRDefault="00B8581C" w:rsidP="00B8581C">
      <w:pPr>
        <w:suppressAutoHyphens/>
        <w:topLinePunct/>
        <w:ind w:left="432"/>
        <w:textAlignment w:val="center"/>
      </w:pPr>
      <w:r w:rsidRPr="00806B7A">
        <w:t>Reports of compliance or noncompliance with, or any progress reports on interim and final requirements contained in any compliance schedule of this permit must be submitted no later than 14 days following each schedule date. Any reports of noncompliance must include the cause of noncompliance, any remedial actions taken, and the probability of meeting the next scheduled requirements.</w:t>
      </w:r>
    </w:p>
    <w:p w:rsidR="00B8581C" w:rsidRPr="00806B7A" w:rsidRDefault="00B8581C" w:rsidP="00B8581C">
      <w:pPr>
        <w:suppressAutoHyphens/>
        <w:topLinePunct/>
        <w:ind w:left="360" w:hanging="360"/>
        <w:textAlignment w:val="center"/>
      </w:pPr>
    </w:p>
    <w:p w:rsidR="00B8581C" w:rsidRPr="00806B7A" w:rsidRDefault="00B8581C" w:rsidP="00B8581C">
      <w:pPr>
        <w:pStyle w:val="ListParagraph"/>
        <w:keepNext/>
        <w:numPr>
          <w:ilvl w:val="0"/>
          <w:numId w:val="18"/>
        </w:numPr>
        <w:suppressAutoHyphens/>
        <w:topLinePunct/>
        <w:textAlignment w:val="center"/>
        <w:rPr>
          <w:color w:val="000000"/>
          <w:u w:val="single"/>
        </w:rPr>
      </w:pPr>
      <w:r w:rsidRPr="00806B7A">
        <w:rPr>
          <w:u w:val="single"/>
        </w:rPr>
        <w:t>Twenty-Four Hour Reporting</w:t>
      </w:r>
      <w:r w:rsidRPr="00806B7A">
        <w:rPr>
          <w:color w:val="000000"/>
          <w:u w:val="single"/>
        </w:rPr>
        <w:t xml:space="preserve"> </w:t>
      </w:r>
    </w:p>
    <w:p w:rsidR="00B8581C" w:rsidRPr="00806B7A" w:rsidRDefault="00B8581C" w:rsidP="00B8581C">
      <w:pPr>
        <w:autoSpaceDE w:val="0"/>
        <w:autoSpaceDN w:val="0"/>
        <w:adjustRightInd w:val="0"/>
        <w:ind w:left="432"/>
        <w:rPr>
          <w:color w:val="000000"/>
        </w:rPr>
      </w:pPr>
      <w:r w:rsidRPr="00806B7A">
        <w:rPr>
          <w:color w:val="000000"/>
        </w:rPr>
        <w:t xml:space="preserve">The permittee must report any noncompliance that may endanger health or the environment. Any information must be provided orally (by telephone) within 24 hours from the time the permittee becomes aware of the circumstances, unless a shorter time is specified in the permit. During normal business hours, the DEQ regional office must be called. Outside of normal business hours, DEQ must be contacted at 1-800-452-0311 (Oregon Emergency Response System). </w:t>
      </w:r>
    </w:p>
    <w:p w:rsidR="00B8581C" w:rsidRPr="00806B7A" w:rsidRDefault="00B8581C" w:rsidP="00B8581C">
      <w:pPr>
        <w:autoSpaceDE w:val="0"/>
        <w:autoSpaceDN w:val="0"/>
        <w:adjustRightInd w:val="0"/>
        <w:ind w:left="720"/>
        <w:rPr>
          <w:color w:val="000000"/>
        </w:rPr>
      </w:pPr>
    </w:p>
    <w:p w:rsidR="00B8581C" w:rsidRPr="00806B7A" w:rsidRDefault="00B8581C" w:rsidP="00B8581C">
      <w:pPr>
        <w:pStyle w:val="Level3"/>
        <w:numPr>
          <w:ilvl w:val="0"/>
          <w:numId w:val="0"/>
        </w:numPr>
        <w:tabs>
          <w:tab w:val="clear" w:pos="-720"/>
          <w:tab w:val="clear" w:pos="0"/>
          <w:tab w:val="clear" w:pos="720"/>
          <w:tab w:val="clear" w:pos="1440"/>
        </w:tabs>
        <w:ind w:left="432"/>
        <w:rPr>
          <w:sz w:val="22"/>
          <w:szCs w:val="22"/>
        </w:rPr>
      </w:pPr>
      <w:r w:rsidRPr="00806B7A">
        <w:rPr>
          <w:sz w:val="22"/>
          <w:szCs w:val="22"/>
        </w:rPr>
        <w:t>The following must be included as information that must be reported within 24 hours under this paragraph:</w:t>
      </w:r>
    </w:p>
    <w:p w:rsidR="00B8581C" w:rsidRPr="00806B7A" w:rsidRDefault="00B8581C" w:rsidP="00B8581C">
      <w:pPr>
        <w:pStyle w:val="Level4"/>
        <w:numPr>
          <w:ilvl w:val="1"/>
          <w:numId w:val="18"/>
        </w:numPr>
        <w:rPr>
          <w:sz w:val="22"/>
          <w:szCs w:val="22"/>
        </w:rPr>
      </w:pPr>
      <w:r w:rsidRPr="00806B7A">
        <w:rPr>
          <w:sz w:val="22"/>
          <w:szCs w:val="22"/>
        </w:rPr>
        <w:t xml:space="preserve">Any unanticipated bypass that exceeds any effluent limitation in this permit; </w:t>
      </w:r>
    </w:p>
    <w:p w:rsidR="00B8581C" w:rsidRPr="00806B7A" w:rsidRDefault="00B8581C" w:rsidP="00B8581C">
      <w:pPr>
        <w:pStyle w:val="Style5"/>
        <w:numPr>
          <w:ilvl w:val="1"/>
          <w:numId w:val="18"/>
        </w:numPr>
        <w:rPr>
          <w:sz w:val="22"/>
          <w:szCs w:val="22"/>
        </w:rPr>
      </w:pPr>
      <w:r w:rsidRPr="00806B7A">
        <w:rPr>
          <w:sz w:val="22"/>
          <w:szCs w:val="22"/>
        </w:rPr>
        <w:t xml:space="preserve">Any upset that exceeds any effluent limitation in this permit; </w:t>
      </w:r>
    </w:p>
    <w:p w:rsidR="00B8581C" w:rsidRPr="00806B7A" w:rsidRDefault="00B8581C" w:rsidP="00B8581C">
      <w:pPr>
        <w:pStyle w:val="Style5"/>
        <w:numPr>
          <w:ilvl w:val="1"/>
          <w:numId w:val="18"/>
        </w:numPr>
        <w:rPr>
          <w:sz w:val="22"/>
          <w:szCs w:val="22"/>
        </w:rPr>
      </w:pPr>
      <w:r w:rsidRPr="00806B7A">
        <w:rPr>
          <w:sz w:val="22"/>
          <w:szCs w:val="22"/>
        </w:rPr>
        <w:t xml:space="preserve">Violation of maximum daily discharge limitation for any of the pollutants listed by DEQ in this permit; and </w:t>
      </w:r>
    </w:p>
    <w:p w:rsidR="00B8581C" w:rsidRPr="00806B7A" w:rsidRDefault="00B8581C" w:rsidP="00B8581C">
      <w:pPr>
        <w:pStyle w:val="Style5"/>
        <w:numPr>
          <w:ilvl w:val="1"/>
          <w:numId w:val="18"/>
        </w:numPr>
        <w:rPr>
          <w:sz w:val="22"/>
          <w:szCs w:val="22"/>
        </w:rPr>
      </w:pPr>
      <w:r w:rsidRPr="00806B7A">
        <w:rPr>
          <w:sz w:val="22"/>
          <w:szCs w:val="22"/>
        </w:rPr>
        <w:t xml:space="preserve">Any noncompliance that may endanger human health or the environment. </w:t>
      </w:r>
    </w:p>
    <w:p w:rsidR="00B8581C" w:rsidRPr="00806B7A" w:rsidRDefault="00B8581C" w:rsidP="00B8581C">
      <w:pPr>
        <w:pStyle w:val="Level3"/>
        <w:numPr>
          <w:ilvl w:val="0"/>
          <w:numId w:val="0"/>
        </w:numPr>
        <w:tabs>
          <w:tab w:val="clear" w:pos="-720"/>
          <w:tab w:val="clear" w:pos="0"/>
          <w:tab w:val="clear" w:pos="720"/>
          <w:tab w:val="clear" w:pos="1440"/>
        </w:tabs>
        <w:ind w:left="1080" w:hanging="360"/>
        <w:rPr>
          <w:sz w:val="22"/>
          <w:szCs w:val="22"/>
        </w:rPr>
      </w:pPr>
    </w:p>
    <w:p w:rsidR="00B8581C" w:rsidRPr="00806B7A" w:rsidRDefault="00B8581C" w:rsidP="00B8581C">
      <w:pPr>
        <w:pStyle w:val="Level3"/>
        <w:numPr>
          <w:ilvl w:val="0"/>
          <w:numId w:val="0"/>
        </w:numPr>
        <w:tabs>
          <w:tab w:val="clear" w:pos="-720"/>
          <w:tab w:val="clear" w:pos="0"/>
          <w:tab w:val="clear" w:pos="720"/>
          <w:tab w:val="clear" w:pos="1440"/>
        </w:tabs>
        <w:ind w:left="432"/>
        <w:rPr>
          <w:sz w:val="22"/>
          <w:szCs w:val="22"/>
        </w:rPr>
      </w:pPr>
      <w:r w:rsidRPr="00806B7A">
        <w:rPr>
          <w:sz w:val="22"/>
          <w:szCs w:val="22"/>
        </w:rPr>
        <w:t xml:space="preserve">A written submission must also be provided within 5 days of the time the permittee becomes aware of the circumstances. The written submission must contain: </w:t>
      </w:r>
    </w:p>
    <w:p w:rsidR="00B8581C" w:rsidRPr="00806B7A" w:rsidRDefault="00B8581C" w:rsidP="00B8581C">
      <w:pPr>
        <w:pStyle w:val="Style5"/>
        <w:numPr>
          <w:ilvl w:val="1"/>
          <w:numId w:val="18"/>
        </w:numPr>
        <w:rPr>
          <w:sz w:val="22"/>
          <w:szCs w:val="22"/>
        </w:rPr>
      </w:pPr>
      <w:r w:rsidRPr="00806B7A">
        <w:rPr>
          <w:sz w:val="22"/>
          <w:szCs w:val="22"/>
        </w:rPr>
        <w:lastRenderedPageBreak/>
        <w:t xml:space="preserve">A description of noncompliance and its cause; </w:t>
      </w:r>
    </w:p>
    <w:p w:rsidR="00B8581C" w:rsidRPr="00806B7A" w:rsidRDefault="00B8581C" w:rsidP="00B8581C">
      <w:pPr>
        <w:pStyle w:val="Style5"/>
        <w:numPr>
          <w:ilvl w:val="1"/>
          <w:numId w:val="18"/>
        </w:numPr>
        <w:rPr>
          <w:sz w:val="22"/>
          <w:szCs w:val="22"/>
        </w:rPr>
      </w:pPr>
      <w:r w:rsidRPr="00806B7A">
        <w:rPr>
          <w:sz w:val="22"/>
          <w:szCs w:val="22"/>
        </w:rPr>
        <w:t xml:space="preserve">The period of noncompliance, including exact dates and times; </w:t>
      </w:r>
    </w:p>
    <w:p w:rsidR="00B8581C" w:rsidRPr="00806B7A" w:rsidRDefault="00B8581C" w:rsidP="00B8581C">
      <w:pPr>
        <w:pStyle w:val="Style5"/>
        <w:numPr>
          <w:ilvl w:val="1"/>
          <w:numId w:val="18"/>
        </w:numPr>
        <w:rPr>
          <w:sz w:val="22"/>
          <w:szCs w:val="22"/>
        </w:rPr>
      </w:pPr>
      <w:r w:rsidRPr="00806B7A">
        <w:rPr>
          <w:sz w:val="22"/>
          <w:szCs w:val="22"/>
        </w:rPr>
        <w:t xml:space="preserve">The estimated time noncompliance is expected to continue if it has not been corrected; </w:t>
      </w:r>
    </w:p>
    <w:p w:rsidR="00B8581C" w:rsidRPr="00806B7A" w:rsidRDefault="00B8581C" w:rsidP="00B8581C">
      <w:pPr>
        <w:pStyle w:val="Style5"/>
        <w:numPr>
          <w:ilvl w:val="1"/>
          <w:numId w:val="18"/>
        </w:numPr>
        <w:rPr>
          <w:sz w:val="22"/>
          <w:szCs w:val="22"/>
        </w:rPr>
      </w:pPr>
      <w:r w:rsidRPr="00806B7A">
        <w:rPr>
          <w:sz w:val="22"/>
          <w:szCs w:val="22"/>
        </w:rPr>
        <w:t>Steps taken or planned to reduce, eliminate and prevent reoccurrence of the noncompliance; and</w:t>
      </w:r>
    </w:p>
    <w:p w:rsidR="00B8581C" w:rsidRPr="00806B7A" w:rsidRDefault="00B8581C" w:rsidP="00B8581C">
      <w:pPr>
        <w:pStyle w:val="Style5"/>
        <w:numPr>
          <w:ilvl w:val="1"/>
          <w:numId w:val="18"/>
        </w:numPr>
        <w:rPr>
          <w:sz w:val="22"/>
          <w:szCs w:val="22"/>
        </w:rPr>
      </w:pPr>
      <w:r w:rsidRPr="00806B7A">
        <w:rPr>
          <w:sz w:val="22"/>
          <w:szCs w:val="22"/>
        </w:rPr>
        <w:t xml:space="preserve">Public notification steps taken, pursuant to General Condition B7. </w:t>
      </w:r>
    </w:p>
    <w:p w:rsidR="00B8581C" w:rsidRPr="00806B7A" w:rsidRDefault="00B8581C" w:rsidP="00B8581C">
      <w:pPr>
        <w:autoSpaceDE w:val="0"/>
        <w:autoSpaceDN w:val="0"/>
        <w:adjustRightInd w:val="0"/>
      </w:pPr>
    </w:p>
    <w:p w:rsidR="00B8581C" w:rsidRPr="00806B7A" w:rsidRDefault="00B8581C" w:rsidP="00B8581C">
      <w:pPr>
        <w:autoSpaceDE w:val="0"/>
        <w:autoSpaceDN w:val="0"/>
        <w:adjustRightInd w:val="0"/>
        <w:ind w:left="432"/>
      </w:pPr>
      <w:r w:rsidRPr="00806B7A">
        <w:t>DEQ may waive the written report on a case-by-case basis if the oral report has been received within 24 hours.</w:t>
      </w:r>
    </w:p>
    <w:p w:rsidR="00B8581C" w:rsidRPr="00806B7A" w:rsidRDefault="00B8581C" w:rsidP="00B8581C">
      <w:pPr>
        <w:autoSpaceDE w:val="0"/>
        <w:autoSpaceDN w:val="0"/>
        <w:adjustRightInd w:val="0"/>
        <w:ind w:left="360"/>
      </w:pPr>
    </w:p>
    <w:p w:rsidR="00B8581C" w:rsidRPr="00806B7A" w:rsidRDefault="00B8581C" w:rsidP="00B8581C">
      <w:pPr>
        <w:numPr>
          <w:ilvl w:val="0"/>
          <w:numId w:val="18"/>
        </w:numPr>
        <w:autoSpaceDE w:val="0"/>
        <w:autoSpaceDN w:val="0"/>
        <w:adjustRightInd w:val="0"/>
        <w:rPr>
          <w:color w:val="000000"/>
        </w:rPr>
      </w:pPr>
      <w:r w:rsidRPr="00806B7A">
        <w:rPr>
          <w:color w:val="000000"/>
          <w:u w:val="single"/>
        </w:rPr>
        <w:t xml:space="preserve">Other Noncompliance </w:t>
      </w:r>
    </w:p>
    <w:p w:rsidR="00B8581C" w:rsidRPr="00806B7A" w:rsidRDefault="00B8581C" w:rsidP="00B8581C">
      <w:pPr>
        <w:autoSpaceDE w:val="0"/>
        <w:autoSpaceDN w:val="0"/>
        <w:adjustRightInd w:val="0"/>
        <w:ind w:left="432"/>
        <w:rPr>
          <w:color w:val="000000"/>
        </w:rPr>
      </w:pPr>
      <w:r w:rsidRPr="00806B7A">
        <w:rPr>
          <w:color w:val="000000"/>
        </w:rPr>
        <w:t xml:space="preserve">The permittee must report all instances of noncompliance not reported under General Condition D4 or D5, at the time monitoring reports are submitted. The reports must contain: </w:t>
      </w:r>
    </w:p>
    <w:p w:rsidR="00B8581C" w:rsidRPr="00806B7A" w:rsidRDefault="00B8581C" w:rsidP="00B8581C">
      <w:pPr>
        <w:numPr>
          <w:ilvl w:val="1"/>
          <w:numId w:val="18"/>
        </w:numPr>
        <w:autoSpaceDE w:val="0"/>
        <w:autoSpaceDN w:val="0"/>
        <w:adjustRightInd w:val="0"/>
        <w:rPr>
          <w:color w:val="000000"/>
        </w:rPr>
      </w:pPr>
      <w:r w:rsidRPr="00806B7A">
        <w:rPr>
          <w:color w:val="000000"/>
        </w:rPr>
        <w:t xml:space="preserve">A description of the noncompliance and its cause; </w:t>
      </w:r>
    </w:p>
    <w:p w:rsidR="00B8581C" w:rsidRPr="00806B7A" w:rsidRDefault="00B8581C" w:rsidP="00B8581C">
      <w:pPr>
        <w:numPr>
          <w:ilvl w:val="1"/>
          <w:numId w:val="18"/>
        </w:numPr>
        <w:autoSpaceDE w:val="0"/>
        <w:autoSpaceDN w:val="0"/>
        <w:adjustRightInd w:val="0"/>
        <w:rPr>
          <w:color w:val="000000"/>
        </w:rPr>
      </w:pPr>
      <w:r w:rsidRPr="00806B7A">
        <w:rPr>
          <w:color w:val="000000"/>
        </w:rPr>
        <w:t xml:space="preserve">The period of noncompliance, including exact dates and times; </w:t>
      </w:r>
    </w:p>
    <w:p w:rsidR="00B8581C" w:rsidRPr="00806B7A" w:rsidRDefault="00B8581C" w:rsidP="00B8581C">
      <w:pPr>
        <w:numPr>
          <w:ilvl w:val="1"/>
          <w:numId w:val="18"/>
        </w:numPr>
        <w:autoSpaceDE w:val="0"/>
        <w:autoSpaceDN w:val="0"/>
        <w:adjustRightInd w:val="0"/>
        <w:rPr>
          <w:color w:val="000000"/>
        </w:rPr>
      </w:pPr>
      <w:r w:rsidRPr="00806B7A">
        <w:rPr>
          <w:color w:val="000000"/>
        </w:rPr>
        <w:t xml:space="preserve">The estimated time noncompliance is expected to continue if it has not been corrected; and </w:t>
      </w:r>
    </w:p>
    <w:p w:rsidR="00B8581C" w:rsidRPr="00806B7A" w:rsidRDefault="00B8581C" w:rsidP="00B8581C">
      <w:pPr>
        <w:numPr>
          <w:ilvl w:val="1"/>
          <w:numId w:val="18"/>
        </w:numPr>
        <w:autoSpaceDE w:val="0"/>
        <w:autoSpaceDN w:val="0"/>
        <w:adjustRightInd w:val="0"/>
        <w:rPr>
          <w:color w:val="000000"/>
        </w:rPr>
      </w:pPr>
      <w:r w:rsidRPr="00806B7A">
        <w:rPr>
          <w:color w:val="000000"/>
        </w:rPr>
        <w:t xml:space="preserve">Steps taken or planned to reduce, eliminate, and prevent reoccurrence of the noncompliance. </w:t>
      </w:r>
    </w:p>
    <w:p w:rsidR="00B8581C" w:rsidRPr="00806B7A" w:rsidRDefault="00B8581C" w:rsidP="00B8581C">
      <w:pPr>
        <w:autoSpaceDE w:val="0"/>
        <w:autoSpaceDN w:val="0"/>
        <w:adjustRightInd w:val="0"/>
        <w:ind w:left="1440" w:hanging="1440"/>
        <w:rPr>
          <w:color w:val="000000"/>
        </w:rPr>
      </w:pPr>
    </w:p>
    <w:p w:rsidR="00B8581C" w:rsidRPr="00806B7A" w:rsidRDefault="00B8581C" w:rsidP="00B8581C">
      <w:pPr>
        <w:pStyle w:val="ListParagraph"/>
        <w:keepNext/>
        <w:numPr>
          <w:ilvl w:val="0"/>
          <w:numId w:val="18"/>
        </w:numPr>
        <w:suppressAutoHyphens/>
        <w:topLinePunct/>
        <w:textAlignment w:val="center"/>
      </w:pPr>
      <w:r w:rsidRPr="00806B7A">
        <w:rPr>
          <w:u w:val="single"/>
        </w:rPr>
        <w:t>Duty to Provide Information</w:t>
      </w:r>
    </w:p>
    <w:p w:rsidR="00B8581C" w:rsidRPr="00806B7A" w:rsidRDefault="00B8581C" w:rsidP="00B8581C">
      <w:pPr>
        <w:suppressAutoHyphens/>
        <w:topLinePunct/>
        <w:ind w:left="432"/>
        <w:textAlignment w:val="center"/>
      </w:pPr>
      <w:r w:rsidRPr="00806B7A">
        <w:t>The permittee must furnish to DEQ within a reasonable time any information that DEQ may request to determine compliance with the permit or to determine whether cause exists for modifying, revoking and reissuing, or terminating this permit. The permittee must also furnish to DEQ, upon request, copies of records required to be kept by this permit.</w:t>
      </w:r>
    </w:p>
    <w:p w:rsidR="00B8581C" w:rsidRPr="00806B7A" w:rsidRDefault="00B8581C" w:rsidP="00B8581C">
      <w:pPr>
        <w:suppressAutoHyphens/>
        <w:topLinePunct/>
        <w:textAlignment w:val="center"/>
      </w:pPr>
    </w:p>
    <w:p w:rsidR="00B8581C" w:rsidRPr="00806B7A" w:rsidRDefault="00B8581C" w:rsidP="00B8581C">
      <w:pPr>
        <w:suppressAutoHyphens/>
        <w:topLinePunct/>
        <w:ind w:left="432"/>
        <w:textAlignment w:val="center"/>
      </w:pPr>
      <w:r w:rsidRPr="00806B7A">
        <w:t>Other Information: When the permittee becomes aware that it has failed to submit any relevant facts or has submitted incorrect information in a permit application or any report to DEQ, it must promptly submit such facts or information.</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8"/>
        </w:numPr>
        <w:suppressAutoHyphens/>
        <w:topLinePunct/>
        <w:textAlignment w:val="center"/>
      </w:pPr>
      <w:r w:rsidRPr="00806B7A">
        <w:rPr>
          <w:u w:val="single"/>
        </w:rPr>
        <w:t>Signatory Requirements</w:t>
      </w:r>
    </w:p>
    <w:p w:rsidR="00B8581C" w:rsidRPr="00806B7A" w:rsidRDefault="00B8581C" w:rsidP="00B8581C">
      <w:pPr>
        <w:suppressAutoHyphens/>
        <w:topLinePunct/>
        <w:ind w:left="432"/>
        <w:textAlignment w:val="center"/>
      </w:pPr>
      <w:r w:rsidRPr="00806B7A">
        <w:t>All applications, reports or information submitted to DEQ must be signed and certified in accordance with 40 CFR § 122.22.</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8"/>
        </w:numPr>
        <w:suppressAutoHyphens/>
        <w:topLinePunct/>
        <w:textAlignment w:val="center"/>
      </w:pPr>
      <w:r w:rsidRPr="00806B7A">
        <w:rPr>
          <w:u w:val="single"/>
        </w:rPr>
        <w:t>Falsification of Information</w:t>
      </w:r>
    </w:p>
    <w:p w:rsidR="00B8581C" w:rsidRPr="00806B7A" w:rsidRDefault="00B8581C" w:rsidP="00B8581C">
      <w:pPr>
        <w:suppressAutoHyphens/>
        <w:topLinePunct/>
        <w:ind w:left="432"/>
        <w:textAlignment w:val="center"/>
      </w:pPr>
      <w:r w:rsidRPr="00806B7A">
        <w:t>Under ORS 468.953, any person who knowingly makes any false statement, representation, or certification in any record or other document submitted or required to be maintained under this permit, including monitoring reports or reports of compliance or noncompliance, is subject to a Class C felony punishable by a fine not to exceed $125,000 per violation and up to 5 years in prison per ORS chapter 161. Additionally, according to 40 CFR § 122.41(k</w:t>
      </w:r>
      <w:proofErr w:type="gramStart"/>
      <w:r w:rsidRPr="00806B7A">
        <w:t>)(</w:t>
      </w:r>
      <w:proofErr w:type="gramEnd"/>
      <w:r w:rsidRPr="00806B7A">
        <w:t>2), any person who knowingly makes any false statement, representation, or certification in any record or other document submitted or required to be maintained under this permit including monitoring reports or reports of compliance or non-compliance will, upon conviction, be punished by a federal civil penalty not to exceed $10,000 per violation, or by imprisonment for not more than 6 months per violation, or by both.</w:t>
      </w:r>
    </w:p>
    <w:p w:rsidR="00B8581C" w:rsidRPr="00806B7A" w:rsidRDefault="00B8581C" w:rsidP="00B8581C">
      <w:pPr>
        <w:suppressAutoHyphens/>
        <w:topLinePunct/>
        <w:textAlignment w:val="center"/>
      </w:pPr>
    </w:p>
    <w:p w:rsidR="00B8581C" w:rsidRPr="00806B7A" w:rsidRDefault="00B8581C" w:rsidP="00B8581C">
      <w:pPr>
        <w:pStyle w:val="ListParagraph"/>
        <w:keepNext/>
        <w:numPr>
          <w:ilvl w:val="0"/>
          <w:numId w:val="18"/>
        </w:numPr>
        <w:suppressAutoHyphens/>
        <w:topLinePunct/>
        <w:textAlignment w:val="center"/>
        <w:rPr>
          <w:color w:val="000000"/>
        </w:rPr>
      </w:pPr>
      <w:r w:rsidRPr="00806B7A">
        <w:rPr>
          <w:color w:val="000000"/>
          <w:u w:val="single"/>
        </w:rPr>
        <w:t xml:space="preserve">Changes to Discharges of Toxic Pollutant </w:t>
      </w:r>
    </w:p>
    <w:p w:rsidR="00B8581C" w:rsidRPr="00806B7A" w:rsidRDefault="00B8581C" w:rsidP="00B8581C">
      <w:pPr>
        <w:keepNext/>
        <w:suppressAutoHyphens/>
        <w:topLinePunct/>
        <w:ind w:left="432"/>
        <w:textAlignment w:val="center"/>
        <w:rPr>
          <w:color w:val="000000"/>
        </w:rPr>
      </w:pPr>
      <w:r w:rsidRPr="00806B7A">
        <w:rPr>
          <w:color w:val="000000"/>
        </w:rPr>
        <w:t xml:space="preserve">The permittee must notify DEQ as soon as it knows or has reason to believe the following: </w:t>
      </w:r>
    </w:p>
    <w:p w:rsidR="00B8581C" w:rsidRPr="00806B7A" w:rsidRDefault="00B8581C" w:rsidP="00B8581C">
      <w:pPr>
        <w:numPr>
          <w:ilvl w:val="1"/>
          <w:numId w:val="18"/>
        </w:numPr>
        <w:autoSpaceDE w:val="0"/>
        <w:autoSpaceDN w:val="0"/>
        <w:adjustRightInd w:val="0"/>
        <w:rPr>
          <w:color w:val="000000"/>
        </w:rPr>
      </w:pPr>
      <w:r w:rsidRPr="00806B7A">
        <w:rPr>
          <w:color w:val="000000"/>
        </w:rPr>
        <w:t xml:space="preserve">That any activity has occurred or will occur that would result in the discharge, on a routine or frequent basis, of any toxic pollutant that is not limited in the permit, if that discharge will exceed the highest of the following “notification levels: </w:t>
      </w:r>
    </w:p>
    <w:p w:rsidR="00B8581C" w:rsidRPr="00806B7A" w:rsidRDefault="00B8581C" w:rsidP="00B8581C">
      <w:pPr>
        <w:pStyle w:val="ListParagraph"/>
        <w:numPr>
          <w:ilvl w:val="2"/>
          <w:numId w:val="18"/>
        </w:numPr>
        <w:suppressAutoHyphens/>
        <w:topLinePunct/>
        <w:textAlignment w:val="center"/>
      </w:pPr>
      <w:r w:rsidRPr="00806B7A">
        <w:rPr>
          <w:color w:val="000000"/>
        </w:rPr>
        <w:t xml:space="preserve">One hundred micrograms per liter (100 </w:t>
      </w:r>
      <w:proofErr w:type="spellStart"/>
      <w:r w:rsidRPr="00806B7A">
        <w:rPr>
          <w:color w:val="000000"/>
        </w:rPr>
        <w:t>μg</w:t>
      </w:r>
      <w:proofErr w:type="spellEnd"/>
      <w:r w:rsidRPr="00806B7A">
        <w:rPr>
          <w:color w:val="000000"/>
        </w:rPr>
        <w:t xml:space="preserve">/l); </w:t>
      </w:r>
    </w:p>
    <w:p w:rsidR="00B8581C" w:rsidRPr="00806B7A" w:rsidRDefault="00B8581C" w:rsidP="00B8581C">
      <w:pPr>
        <w:numPr>
          <w:ilvl w:val="2"/>
          <w:numId w:val="18"/>
        </w:numPr>
        <w:autoSpaceDE w:val="0"/>
        <w:autoSpaceDN w:val="0"/>
        <w:adjustRightInd w:val="0"/>
        <w:rPr>
          <w:color w:val="000000"/>
        </w:rPr>
      </w:pPr>
      <w:r w:rsidRPr="00806B7A">
        <w:rPr>
          <w:color w:val="000000"/>
        </w:rPr>
        <w:t xml:space="preserve">Two hundred micrograms per liter (200 </w:t>
      </w:r>
      <w:proofErr w:type="spellStart"/>
      <w:r w:rsidRPr="00806B7A">
        <w:rPr>
          <w:color w:val="000000"/>
        </w:rPr>
        <w:t>μg</w:t>
      </w:r>
      <w:proofErr w:type="spellEnd"/>
      <w:r w:rsidRPr="00806B7A">
        <w:rPr>
          <w:color w:val="000000"/>
        </w:rPr>
        <w:t xml:space="preserve">/l) for </w:t>
      </w:r>
      <w:proofErr w:type="spellStart"/>
      <w:r w:rsidRPr="00806B7A">
        <w:rPr>
          <w:color w:val="000000"/>
        </w:rPr>
        <w:t>acrolein</w:t>
      </w:r>
      <w:proofErr w:type="spellEnd"/>
      <w:r w:rsidRPr="00806B7A">
        <w:rPr>
          <w:color w:val="000000"/>
        </w:rPr>
        <w:t xml:space="preserve"> and </w:t>
      </w:r>
      <w:proofErr w:type="spellStart"/>
      <w:r w:rsidRPr="00806B7A">
        <w:rPr>
          <w:color w:val="000000"/>
        </w:rPr>
        <w:t>acrylonitrile</w:t>
      </w:r>
      <w:proofErr w:type="spellEnd"/>
      <w:r w:rsidRPr="00806B7A">
        <w:rPr>
          <w:color w:val="000000"/>
        </w:rPr>
        <w:t xml:space="preserve">; five hundred micrograms per liter (500 </w:t>
      </w:r>
      <w:proofErr w:type="spellStart"/>
      <w:r w:rsidRPr="00806B7A">
        <w:rPr>
          <w:color w:val="000000"/>
        </w:rPr>
        <w:t>μg</w:t>
      </w:r>
      <w:proofErr w:type="spellEnd"/>
      <w:r w:rsidRPr="00806B7A">
        <w:rPr>
          <w:color w:val="000000"/>
        </w:rPr>
        <w:t xml:space="preserve">/l) for 2,4-dinitrophenol and for 2-methyl-4,6-dinitrophenol; and one milligram per liter (1 mg/l) for antimony; </w:t>
      </w:r>
    </w:p>
    <w:p w:rsidR="00B8581C" w:rsidRPr="00806B7A" w:rsidRDefault="00B8581C" w:rsidP="00B8581C">
      <w:pPr>
        <w:numPr>
          <w:ilvl w:val="2"/>
          <w:numId w:val="18"/>
        </w:numPr>
        <w:autoSpaceDE w:val="0"/>
        <w:autoSpaceDN w:val="0"/>
        <w:adjustRightInd w:val="0"/>
        <w:rPr>
          <w:color w:val="000000"/>
        </w:rPr>
      </w:pPr>
      <w:r w:rsidRPr="00806B7A">
        <w:rPr>
          <w:color w:val="000000"/>
        </w:rPr>
        <w:t xml:space="preserve">Five (5) times the maximum concentration value reported for that pollutant in the permit application in accordance with 40 </w:t>
      </w:r>
      <w:smartTag w:uri="urn:schemas-microsoft-com:office:smarttags" w:element="stockticker">
        <w:r w:rsidRPr="00806B7A">
          <w:rPr>
            <w:color w:val="000000"/>
          </w:rPr>
          <w:t>CFR</w:t>
        </w:r>
      </w:smartTag>
      <w:r w:rsidRPr="00806B7A">
        <w:rPr>
          <w:color w:val="000000"/>
        </w:rPr>
        <w:t xml:space="preserve"> § 122.21(g)(7); or </w:t>
      </w:r>
    </w:p>
    <w:p w:rsidR="00B8581C" w:rsidRPr="00806B7A" w:rsidRDefault="00B8581C" w:rsidP="00B8581C">
      <w:pPr>
        <w:numPr>
          <w:ilvl w:val="2"/>
          <w:numId w:val="18"/>
        </w:numPr>
        <w:autoSpaceDE w:val="0"/>
        <w:autoSpaceDN w:val="0"/>
        <w:adjustRightInd w:val="0"/>
        <w:rPr>
          <w:color w:val="000000"/>
        </w:rPr>
      </w:pPr>
      <w:r w:rsidRPr="00806B7A">
        <w:rPr>
          <w:color w:val="000000"/>
        </w:rPr>
        <w:t xml:space="preserve">The level established by DEQ in accordance with 40 </w:t>
      </w:r>
      <w:smartTag w:uri="urn:schemas-microsoft-com:office:smarttags" w:element="stockticker">
        <w:r w:rsidRPr="00806B7A">
          <w:rPr>
            <w:color w:val="000000"/>
          </w:rPr>
          <w:t>CFR</w:t>
        </w:r>
      </w:smartTag>
      <w:r w:rsidRPr="00806B7A">
        <w:rPr>
          <w:color w:val="000000"/>
        </w:rPr>
        <w:t xml:space="preserve"> § 122.44(f). </w:t>
      </w:r>
    </w:p>
    <w:p w:rsidR="00B8581C" w:rsidRPr="00806B7A" w:rsidRDefault="00B8581C" w:rsidP="00B8581C">
      <w:pPr>
        <w:numPr>
          <w:ilvl w:val="1"/>
          <w:numId w:val="18"/>
        </w:numPr>
        <w:autoSpaceDE w:val="0"/>
        <w:autoSpaceDN w:val="0"/>
        <w:adjustRightInd w:val="0"/>
        <w:rPr>
          <w:color w:val="000000"/>
        </w:rPr>
      </w:pPr>
      <w:r w:rsidRPr="00806B7A">
        <w:rPr>
          <w:color w:val="000000"/>
        </w:rPr>
        <w:lastRenderedPageBreak/>
        <w:t xml:space="preserve">That any activity has occurred or will occur that would result in any discharge, on a non-routine or infrequent basis, of a toxic pollutant that is not limited in the permit, if that discharge will exceed the highest of the following “notification levels”: </w:t>
      </w:r>
    </w:p>
    <w:p w:rsidR="00B8581C" w:rsidRPr="00806B7A" w:rsidRDefault="00B8581C" w:rsidP="00B8581C">
      <w:pPr>
        <w:pStyle w:val="ListParagraph"/>
        <w:numPr>
          <w:ilvl w:val="2"/>
          <w:numId w:val="18"/>
        </w:numPr>
        <w:suppressAutoHyphens/>
        <w:topLinePunct/>
        <w:textAlignment w:val="center"/>
      </w:pPr>
      <w:r w:rsidRPr="00806B7A">
        <w:rPr>
          <w:color w:val="000000"/>
        </w:rPr>
        <w:t xml:space="preserve">Five hundred micrograms per liter (500 </w:t>
      </w:r>
      <w:proofErr w:type="spellStart"/>
      <w:r w:rsidRPr="00806B7A">
        <w:rPr>
          <w:color w:val="000000"/>
        </w:rPr>
        <w:t>μg</w:t>
      </w:r>
      <w:proofErr w:type="spellEnd"/>
      <w:r w:rsidRPr="00806B7A">
        <w:rPr>
          <w:color w:val="000000"/>
        </w:rPr>
        <w:t xml:space="preserve">/l); </w:t>
      </w:r>
    </w:p>
    <w:p w:rsidR="00B8581C" w:rsidRPr="00806B7A" w:rsidRDefault="00B8581C" w:rsidP="00B8581C">
      <w:pPr>
        <w:pStyle w:val="ListParagraph"/>
        <w:numPr>
          <w:ilvl w:val="2"/>
          <w:numId w:val="18"/>
        </w:numPr>
        <w:suppressAutoHyphens/>
        <w:topLinePunct/>
        <w:textAlignment w:val="center"/>
      </w:pPr>
      <w:r w:rsidRPr="00806B7A">
        <w:rPr>
          <w:color w:val="000000"/>
        </w:rPr>
        <w:t xml:space="preserve">One milligram per liter (1 mg/l) for antimony; </w:t>
      </w:r>
    </w:p>
    <w:p w:rsidR="00B8581C" w:rsidRPr="00806B7A" w:rsidRDefault="00B8581C" w:rsidP="00B8581C">
      <w:pPr>
        <w:numPr>
          <w:ilvl w:val="2"/>
          <w:numId w:val="18"/>
        </w:numPr>
        <w:suppressAutoHyphens/>
        <w:topLinePunct/>
        <w:autoSpaceDE w:val="0"/>
        <w:autoSpaceDN w:val="0"/>
        <w:adjustRightInd w:val="0"/>
        <w:textAlignment w:val="center"/>
      </w:pPr>
      <w:r w:rsidRPr="00806B7A">
        <w:rPr>
          <w:color w:val="000000"/>
        </w:rPr>
        <w:t xml:space="preserve">Ten (10) times the maximum concentration value reported for that pollutant in the permit application in accordance with 40 </w:t>
      </w:r>
      <w:smartTag w:uri="urn:schemas-microsoft-com:office:smarttags" w:element="stockticker">
        <w:r w:rsidRPr="00806B7A">
          <w:rPr>
            <w:color w:val="000000"/>
          </w:rPr>
          <w:t>CFR</w:t>
        </w:r>
      </w:smartTag>
      <w:r w:rsidRPr="00806B7A">
        <w:rPr>
          <w:color w:val="000000"/>
        </w:rPr>
        <w:t xml:space="preserve"> § 122.21(g)(7); or </w:t>
      </w:r>
    </w:p>
    <w:p w:rsidR="00B8581C" w:rsidRPr="00806B7A" w:rsidRDefault="00B8581C" w:rsidP="00B8581C">
      <w:pPr>
        <w:pStyle w:val="ListParagraph"/>
        <w:numPr>
          <w:ilvl w:val="2"/>
          <w:numId w:val="18"/>
        </w:numPr>
        <w:suppressAutoHyphens/>
        <w:topLinePunct/>
        <w:textAlignment w:val="center"/>
      </w:pPr>
      <w:r w:rsidRPr="00806B7A">
        <w:rPr>
          <w:color w:val="000000"/>
        </w:rPr>
        <w:t xml:space="preserve">The level established by DEQ in accordance with 40 </w:t>
      </w:r>
      <w:smartTag w:uri="urn:schemas-microsoft-com:office:smarttags" w:element="stockticker">
        <w:r w:rsidRPr="00806B7A">
          <w:rPr>
            <w:color w:val="000000"/>
          </w:rPr>
          <w:t>CFR</w:t>
        </w:r>
      </w:smartTag>
      <w:r w:rsidRPr="00806B7A">
        <w:rPr>
          <w:color w:val="000000"/>
        </w:rPr>
        <w:t xml:space="preserve"> § 122.44(f). </w:t>
      </w:r>
    </w:p>
    <w:p w:rsidR="00B8581C" w:rsidRPr="00806B7A" w:rsidRDefault="00B8581C" w:rsidP="00B8581C">
      <w:pPr>
        <w:autoSpaceDE w:val="0"/>
        <w:autoSpaceDN w:val="0"/>
        <w:adjustRightInd w:val="0"/>
        <w:ind w:left="360"/>
        <w:rPr>
          <w:color w:val="000000"/>
        </w:rPr>
      </w:pPr>
    </w:p>
    <w:p w:rsidR="00B8581C" w:rsidRPr="00806B7A" w:rsidRDefault="00B8581C" w:rsidP="00B8581C">
      <w:pPr>
        <w:keepNext/>
        <w:rPr>
          <w:rFonts w:eastAsiaTheme="majorEastAsia"/>
          <w:b/>
        </w:rPr>
      </w:pPr>
      <w:bookmarkStart w:id="29" w:name="_Toc302723391"/>
      <w:r w:rsidRPr="00806B7A">
        <w:rPr>
          <w:b/>
        </w:rPr>
        <w:t>SECTION</w:t>
      </w:r>
      <w:r w:rsidRPr="00806B7A">
        <w:rPr>
          <w:rFonts w:eastAsiaTheme="majorEastAsia"/>
          <w:b/>
        </w:rPr>
        <w:t xml:space="preserve"> E. </w:t>
      </w:r>
      <w:r w:rsidRPr="00806B7A">
        <w:rPr>
          <w:b/>
        </w:rPr>
        <w:t>DEFINITIONS</w:t>
      </w:r>
      <w:bookmarkEnd w:id="29"/>
    </w:p>
    <w:p w:rsidR="00B8581C" w:rsidRPr="00806B7A" w:rsidRDefault="00B8581C" w:rsidP="00B8581C">
      <w:pPr>
        <w:pStyle w:val="ListParagraph"/>
        <w:numPr>
          <w:ilvl w:val="0"/>
          <w:numId w:val="19"/>
        </w:numPr>
        <w:autoSpaceDE w:val="0"/>
        <w:autoSpaceDN w:val="0"/>
        <w:adjustRightInd w:val="0"/>
        <w:rPr>
          <w:color w:val="000000"/>
        </w:rPr>
      </w:pPr>
      <w:r w:rsidRPr="00806B7A">
        <w:rPr>
          <w:i/>
          <w:color w:val="000000"/>
        </w:rPr>
        <w:t>BOD or BOD</w:t>
      </w:r>
      <w:r w:rsidRPr="00806B7A">
        <w:rPr>
          <w:i/>
          <w:color w:val="000000"/>
          <w:vertAlign w:val="subscript"/>
        </w:rPr>
        <w:t>5</w:t>
      </w:r>
      <w:r w:rsidRPr="00806B7A">
        <w:rPr>
          <w:i/>
          <w:color w:val="000000"/>
        </w:rPr>
        <w:t xml:space="preserve"> </w:t>
      </w:r>
      <w:r w:rsidRPr="00806B7A">
        <w:rPr>
          <w:color w:val="000000"/>
        </w:rPr>
        <w:t>means five-day biochemical oxygen demand.</w:t>
      </w:r>
    </w:p>
    <w:p w:rsidR="00B8581C" w:rsidRPr="00806B7A" w:rsidRDefault="00B8581C" w:rsidP="00B8581C">
      <w:pPr>
        <w:pStyle w:val="ListParagraph"/>
        <w:numPr>
          <w:ilvl w:val="0"/>
          <w:numId w:val="19"/>
        </w:numPr>
        <w:autoSpaceDE w:val="0"/>
        <w:autoSpaceDN w:val="0"/>
        <w:adjustRightInd w:val="0"/>
      </w:pPr>
      <w:r w:rsidRPr="00806B7A">
        <w:rPr>
          <w:i/>
        </w:rPr>
        <w:t>CBOD or CBOD</w:t>
      </w:r>
      <w:r w:rsidRPr="00806B7A">
        <w:rPr>
          <w:i/>
          <w:vertAlign w:val="subscript"/>
        </w:rPr>
        <w:t>5</w:t>
      </w:r>
      <w:r w:rsidRPr="00806B7A">
        <w:t xml:space="preserve"> means five-day carbonaceous biochemical oxygen demand.</w:t>
      </w:r>
    </w:p>
    <w:p w:rsidR="00B8581C" w:rsidRPr="00806B7A" w:rsidRDefault="00B8581C" w:rsidP="00B8581C">
      <w:pPr>
        <w:pStyle w:val="ListParagraph"/>
        <w:numPr>
          <w:ilvl w:val="0"/>
          <w:numId w:val="19"/>
        </w:numPr>
        <w:autoSpaceDE w:val="0"/>
        <w:autoSpaceDN w:val="0"/>
        <w:adjustRightInd w:val="0"/>
      </w:pPr>
      <w:r w:rsidRPr="00806B7A">
        <w:rPr>
          <w:i/>
        </w:rPr>
        <w:t>TSS</w:t>
      </w:r>
      <w:r w:rsidRPr="00806B7A">
        <w:t xml:space="preserve"> means total suspended solids.</w:t>
      </w:r>
    </w:p>
    <w:p w:rsidR="00B8581C" w:rsidRPr="00806B7A" w:rsidRDefault="00B8581C" w:rsidP="00B8581C">
      <w:pPr>
        <w:pStyle w:val="ListParagraph"/>
        <w:numPr>
          <w:ilvl w:val="0"/>
          <w:numId w:val="19"/>
        </w:numPr>
        <w:autoSpaceDE w:val="0"/>
        <w:autoSpaceDN w:val="0"/>
        <w:adjustRightInd w:val="0"/>
      </w:pPr>
      <w:r w:rsidRPr="00806B7A">
        <w:rPr>
          <w:i/>
        </w:rPr>
        <w:t>Bacteria</w:t>
      </w:r>
      <w:r w:rsidRPr="00806B7A">
        <w:t xml:space="preserve"> means but is not limited to fecal </w:t>
      </w:r>
      <w:proofErr w:type="spellStart"/>
      <w:r w:rsidRPr="00806B7A">
        <w:t>coliform</w:t>
      </w:r>
      <w:proofErr w:type="spellEnd"/>
      <w:r w:rsidRPr="00806B7A">
        <w:t xml:space="preserve"> bacteria, total </w:t>
      </w:r>
      <w:proofErr w:type="spellStart"/>
      <w:r w:rsidRPr="00806B7A">
        <w:t>coliform</w:t>
      </w:r>
      <w:proofErr w:type="spellEnd"/>
      <w:r w:rsidRPr="00806B7A">
        <w:t xml:space="preserve"> bacteria, </w:t>
      </w:r>
      <w:r w:rsidRPr="00806B7A">
        <w:rPr>
          <w:bCs/>
          <w:i/>
          <w:iCs/>
        </w:rPr>
        <w:t xml:space="preserve">Escherichia coli </w:t>
      </w:r>
      <w:r w:rsidRPr="00806B7A">
        <w:rPr>
          <w:bCs/>
          <w:iCs/>
        </w:rPr>
        <w:t>(</w:t>
      </w:r>
      <w:r w:rsidRPr="00806B7A">
        <w:rPr>
          <w:i/>
        </w:rPr>
        <w:t>E. coli</w:t>
      </w:r>
      <w:r w:rsidRPr="00806B7A">
        <w:t xml:space="preserve">) bacteria, and </w:t>
      </w:r>
      <w:proofErr w:type="spellStart"/>
      <w:r w:rsidRPr="00806B7A">
        <w:rPr>
          <w:i/>
        </w:rPr>
        <w:t>Enterococcus</w:t>
      </w:r>
      <w:proofErr w:type="spellEnd"/>
      <w:r w:rsidRPr="00806B7A">
        <w:rPr>
          <w:i/>
        </w:rPr>
        <w:t xml:space="preserve"> </w:t>
      </w:r>
      <w:r w:rsidRPr="00806B7A">
        <w:t xml:space="preserve">bacteria. </w:t>
      </w:r>
    </w:p>
    <w:p w:rsidR="00B8581C" w:rsidRPr="00806B7A" w:rsidRDefault="00B8581C" w:rsidP="00B8581C">
      <w:pPr>
        <w:pStyle w:val="ListParagraph"/>
        <w:numPr>
          <w:ilvl w:val="0"/>
          <w:numId w:val="19"/>
        </w:numPr>
        <w:autoSpaceDE w:val="0"/>
        <w:autoSpaceDN w:val="0"/>
        <w:adjustRightInd w:val="0"/>
      </w:pPr>
      <w:r w:rsidRPr="00806B7A">
        <w:rPr>
          <w:i/>
        </w:rPr>
        <w:t>FC</w:t>
      </w:r>
      <w:r w:rsidRPr="00806B7A">
        <w:t xml:space="preserve"> means fecal </w:t>
      </w:r>
      <w:proofErr w:type="spellStart"/>
      <w:r w:rsidRPr="00806B7A">
        <w:t>coliform</w:t>
      </w:r>
      <w:proofErr w:type="spellEnd"/>
      <w:r w:rsidRPr="00806B7A">
        <w:t xml:space="preserve"> bacteria.</w:t>
      </w:r>
    </w:p>
    <w:p w:rsidR="00B8581C" w:rsidRPr="00806B7A" w:rsidRDefault="00B8581C" w:rsidP="00B8581C">
      <w:pPr>
        <w:pStyle w:val="ListParagraph"/>
        <w:numPr>
          <w:ilvl w:val="0"/>
          <w:numId w:val="19"/>
        </w:numPr>
        <w:autoSpaceDE w:val="0"/>
        <w:autoSpaceDN w:val="0"/>
        <w:adjustRightInd w:val="0"/>
      </w:pPr>
      <w:r w:rsidRPr="00806B7A">
        <w:rPr>
          <w:i/>
        </w:rPr>
        <w:t>Total residual chlorine</w:t>
      </w:r>
      <w:r w:rsidRPr="00806B7A">
        <w:t xml:space="preserve"> means combined chlorine forms plus free residual chlorine</w:t>
      </w:r>
    </w:p>
    <w:p w:rsidR="00B8581C" w:rsidRPr="00806B7A" w:rsidRDefault="00B8581C" w:rsidP="00B8581C">
      <w:pPr>
        <w:pStyle w:val="ListParagraph"/>
        <w:numPr>
          <w:ilvl w:val="0"/>
          <w:numId w:val="19"/>
        </w:numPr>
        <w:autoSpaceDE w:val="0"/>
        <w:autoSpaceDN w:val="0"/>
        <w:adjustRightInd w:val="0"/>
      </w:pPr>
      <w:r w:rsidRPr="00806B7A">
        <w:rPr>
          <w:i/>
        </w:rPr>
        <w:t>Technology based permit effluent limitations</w:t>
      </w:r>
      <w:r w:rsidRPr="00806B7A">
        <w:t xml:space="preserve"> means technology-based treatment requirements as defined in 40 CFR § 125.3, and concentration and mass load effluent limitations that are based on minimum design criteria specified in OAR 340-041. </w:t>
      </w:r>
    </w:p>
    <w:p w:rsidR="00B8581C" w:rsidRPr="00806B7A" w:rsidRDefault="00B8581C" w:rsidP="00B8581C">
      <w:pPr>
        <w:pStyle w:val="ListParagraph"/>
        <w:numPr>
          <w:ilvl w:val="0"/>
          <w:numId w:val="19"/>
        </w:numPr>
        <w:autoSpaceDE w:val="0"/>
        <w:autoSpaceDN w:val="0"/>
        <w:adjustRightInd w:val="0"/>
      </w:pPr>
      <w:proofErr w:type="gramStart"/>
      <w:r w:rsidRPr="00806B7A">
        <w:rPr>
          <w:i/>
        </w:rPr>
        <w:t>mg/l</w:t>
      </w:r>
      <w:proofErr w:type="gramEnd"/>
      <w:r w:rsidRPr="00806B7A">
        <w:t xml:space="preserve"> means milligrams per liter.</w:t>
      </w:r>
    </w:p>
    <w:p w:rsidR="00B8581C" w:rsidRPr="00806B7A" w:rsidRDefault="00B8581C" w:rsidP="00B8581C">
      <w:pPr>
        <w:pStyle w:val="ListParagraph"/>
        <w:numPr>
          <w:ilvl w:val="0"/>
          <w:numId w:val="19"/>
        </w:numPr>
        <w:autoSpaceDE w:val="0"/>
        <w:autoSpaceDN w:val="0"/>
        <w:adjustRightInd w:val="0"/>
      </w:pPr>
      <w:r w:rsidRPr="00806B7A">
        <w:rPr>
          <w:i/>
        </w:rPr>
        <w:t xml:space="preserve">µg/l </w:t>
      </w:r>
      <w:r w:rsidRPr="00806B7A">
        <w:t>means microgram per liter.</w:t>
      </w:r>
    </w:p>
    <w:p w:rsidR="00B8581C" w:rsidRPr="00806B7A" w:rsidRDefault="00B8581C" w:rsidP="00B8581C">
      <w:pPr>
        <w:pStyle w:val="ListParagraph"/>
        <w:numPr>
          <w:ilvl w:val="0"/>
          <w:numId w:val="19"/>
        </w:numPr>
        <w:autoSpaceDE w:val="0"/>
        <w:autoSpaceDN w:val="0"/>
        <w:adjustRightInd w:val="0"/>
      </w:pPr>
      <w:proofErr w:type="gramStart"/>
      <w:r w:rsidRPr="00806B7A">
        <w:rPr>
          <w:i/>
        </w:rPr>
        <w:t>kg</w:t>
      </w:r>
      <w:proofErr w:type="gramEnd"/>
      <w:r w:rsidRPr="00806B7A">
        <w:t xml:space="preserve"> means kilograms.</w:t>
      </w:r>
    </w:p>
    <w:p w:rsidR="00B8581C" w:rsidRPr="00806B7A" w:rsidRDefault="00B8581C" w:rsidP="00B8581C">
      <w:pPr>
        <w:pStyle w:val="ListParagraph"/>
        <w:numPr>
          <w:ilvl w:val="0"/>
          <w:numId w:val="19"/>
        </w:numPr>
        <w:autoSpaceDE w:val="0"/>
        <w:autoSpaceDN w:val="0"/>
        <w:adjustRightInd w:val="0"/>
      </w:pPr>
      <w:proofErr w:type="gramStart"/>
      <w:r w:rsidRPr="00806B7A">
        <w:rPr>
          <w:i/>
        </w:rPr>
        <w:t>m</w:t>
      </w:r>
      <w:r w:rsidRPr="00806B7A">
        <w:rPr>
          <w:i/>
          <w:vertAlign w:val="superscript"/>
        </w:rPr>
        <w:t>3</w:t>
      </w:r>
      <w:r w:rsidRPr="00806B7A">
        <w:rPr>
          <w:i/>
        </w:rPr>
        <w:t>/d</w:t>
      </w:r>
      <w:proofErr w:type="gramEnd"/>
      <w:r w:rsidRPr="00806B7A">
        <w:t xml:space="preserve"> means cubic meters per day.</w:t>
      </w:r>
    </w:p>
    <w:p w:rsidR="00B8581C" w:rsidRPr="00806B7A" w:rsidRDefault="00B8581C" w:rsidP="00B8581C">
      <w:pPr>
        <w:pStyle w:val="ListParagraph"/>
        <w:numPr>
          <w:ilvl w:val="0"/>
          <w:numId w:val="19"/>
        </w:numPr>
        <w:autoSpaceDE w:val="0"/>
        <w:autoSpaceDN w:val="0"/>
        <w:adjustRightInd w:val="0"/>
      </w:pPr>
      <w:r w:rsidRPr="00806B7A">
        <w:rPr>
          <w:i/>
        </w:rPr>
        <w:t>MGD</w:t>
      </w:r>
      <w:r w:rsidRPr="00806B7A">
        <w:t xml:space="preserve"> means million gallons per day.</w:t>
      </w:r>
    </w:p>
    <w:p w:rsidR="00B8581C" w:rsidRPr="00806B7A" w:rsidRDefault="00B8581C" w:rsidP="00B8581C">
      <w:pPr>
        <w:pStyle w:val="ListParagraph"/>
        <w:numPr>
          <w:ilvl w:val="0"/>
          <w:numId w:val="19"/>
        </w:numPr>
        <w:suppressAutoHyphens/>
        <w:topLinePunct/>
        <w:textAlignment w:val="center"/>
      </w:pPr>
      <w:r w:rsidRPr="00806B7A">
        <w:rPr>
          <w:i/>
        </w:rPr>
        <w:t>Average monthly effluent limitation</w:t>
      </w:r>
      <w:r w:rsidRPr="00806B7A">
        <w:t xml:space="preserve"> as defined at 40 CFR § 122.2 means the highest allowable average of daily discharges over a calendar month, calculated as the sum of all daily discharges measured during a calendar month divided by the number of daily discharges measured during that month.</w:t>
      </w:r>
    </w:p>
    <w:p w:rsidR="00B8581C" w:rsidRPr="00806B7A" w:rsidRDefault="00B8581C" w:rsidP="00B8581C">
      <w:pPr>
        <w:pStyle w:val="ListParagraph"/>
        <w:numPr>
          <w:ilvl w:val="0"/>
          <w:numId w:val="19"/>
        </w:numPr>
        <w:suppressAutoHyphens/>
        <w:topLinePunct/>
        <w:textAlignment w:val="center"/>
      </w:pPr>
      <w:r w:rsidRPr="00806B7A">
        <w:rPr>
          <w:i/>
        </w:rPr>
        <w:t>Average weekly effluent limitation</w:t>
      </w:r>
      <w:r w:rsidRPr="00806B7A">
        <w:t xml:space="preserve"> as defined at 40 CFR § 122.2 means the highest allowable average of daily discharges over a calendar week, calculated as the sum of all daily discharges measured during a calendar week divided by the number of daily discharges measured during that week.</w:t>
      </w:r>
    </w:p>
    <w:p w:rsidR="00B8581C" w:rsidRPr="00806B7A" w:rsidRDefault="00B8581C" w:rsidP="00B8581C">
      <w:pPr>
        <w:pStyle w:val="ListParagraph"/>
        <w:numPr>
          <w:ilvl w:val="0"/>
          <w:numId w:val="19"/>
        </w:numPr>
        <w:suppressAutoHyphens/>
        <w:topLinePunct/>
        <w:textAlignment w:val="center"/>
      </w:pPr>
      <w:r w:rsidRPr="00806B7A">
        <w:rPr>
          <w:i/>
          <w:iCs/>
        </w:rPr>
        <w:t xml:space="preserve">Daily discharge </w:t>
      </w:r>
      <w:r w:rsidRPr="00806B7A">
        <w:t xml:space="preserve">as defined at 40 CFR § 122.2 </w:t>
      </w:r>
      <w:r w:rsidRPr="00806B7A">
        <w:rPr>
          <w:iCs/>
        </w:rPr>
        <w:t>means the discharge of a pollutant measured during a calendar day or any 24-hour period that reasonably represents the calendar day for purposes of sampling. For pollutants with limitations expressed in units of mass, the daily discharge must be calculated as the total mass of the pollutant discharged over the day. For pollutants with limitations expressed in other units of measurement, the daily discharge must be calculated as the average measurement of the pollutant over the day.</w:t>
      </w:r>
    </w:p>
    <w:p w:rsidR="00B8581C" w:rsidRPr="00806B7A" w:rsidRDefault="00B8581C" w:rsidP="00B8581C">
      <w:pPr>
        <w:pStyle w:val="ListParagraph"/>
        <w:numPr>
          <w:ilvl w:val="0"/>
          <w:numId w:val="19"/>
        </w:numPr>
        <w:autoSpaceDE w:val="0"/>
        <w:autoSpaceDN w:val="0"/>
        <w:adjustRightInd w:val="0"/>
        <w:rPr>
          <w:color w:val="000000"/>
        </w:rPr>
      </w:pPr>
      <w:r w:rsidRPr="00806B7A">
        <w:rPr>
          <w:i/>
        </w:rPr>
        <w:t>24-hour</w:t>
      </w:r>
      <w:r w:rsidRPr="00806B7A">
        <w:t xml:space="preserve"> </w:t>
      </w:r>
      <w:r w:rsidRPr="00806B7A">
        <w:rPr>
          <w:i/>
        </w:rPr>
        <w:t>composite</w:t>
      </w:r>
      <w:r w:rsidRPr="00806B7A">
        <w:rPr>
          <w:i/>
          <w:color w:val="000000"/>
        </w:rPr>
        <w:t xml:space="preserve"> sample </w:t>
      </w:r>
      <w:r w:rsidRPr="00806B7A">
        <w:rPr>
          <w:color w:val="000000"/>
        </w:rPr>
        <w:t xml:space="preserve">means a combination of at least six discrete sample aliquots of at least 100 milliliters, collected at periodic intervals from the same location, during the operating hours of the facility over a 24 hour period. Four (rather than six) aliquots should be collected for volatile organics analyses. The composite must be flow or time proportional, whichever is more appropriate. The sample aliquots must be collected and stored in accordance with procedures prescribed in the most recent edition of </w:t>
      </w:r>
      <w:r w:rsidRPr="00806B7A">
        <w:rPr>
          <w:i/>
          <w:iCs/>
          <w:color w:val="000000"/>
        </w:rPr>
        <w:t>Standard Methods for the Examination of Water and Wastewater</w:t>
      </w:r>
      <w:r w:rsidRPr="00806B7A">
        <w:rPr>
          <w:color w:val="000000"/>
        </w:rPr>
        <w:t xml:space="preserve">. </w:t>
      </w:r>
    </w:p>
    <w:p w:rsidR="00B8581C" w:rsidRPr="00806B7A" w:rsidRDefault="00B8581C" w:rsidP="00B8581C">
      <w:pPr>
        <w:pStyle w:val="ListParagraph"/>
        <w:numPr>
          <w:ilvl w:val="0"/>
          <w:numId w:val="19"/>
        </w:numPr>
        <w:autoSpaceDE w:val="0"/>
        <w:autoSpaceDN w:val="0"/>
        <w:adjustRightInd w:val="0"/>
      </w:pPr>
      <w:r w:rsidRPr="00806B7A">
        <w:rPr>
          <w:i/>
          <w:color w:val="000000"/>
        </w:rPr>
        <w:t>Grab sample</w:t>
      </w:r>
      <w:r w:rsidRPr="00806B7A">
        <w:t xml:space="preserve"> means an individual discrete sample collected over a period of time not to exceed 15 minutes.</w:t>
      </w:r>
    </w:p>
    <w:p w:rsidR="00B8581C" w:rsidRPr="00806B7A" w:rsidRDefault="00B8581C" w:rsidP="00B8581C">
      <w:pPr>
        <w:pStyle w:val="ListParagraph"/>
        <w:numPr>
          <w:ilvl w:val="0"/>
          <w:numId w:val="19"/>
        </w:numPr>
        <w:autoSpaceDE w:val="0"/>
        <w:autoSpaceDN w:val="0"/>
        <w:adjustRightInd w:val="0"/>
      </w:pPr>
      <w:r w:rsidRPr="00806B7A">
        <w:rPr>
          <w:i/>
        </w:rPr>
        <w:t>Quarter</w:t>
      </w:r>
      <w:r w:rsidRPr="00806B7A">
        <w:t xml:space="preserve"> means January through March, April through June, July through September, or October through December.</w:t>
      </w:r>
    </w:p>
    <w:p w:rsidR="00B8581C" w:rsidRPr="00806B7A" w:rsidRDefault="00B8581C" w:rsidP="00B8581C">
      <w:pPr>
        <w:pStyle w:val="ListParagraph"/>
        <w:numPr>
          <w:ilvl w:val="0"/>
          <w:numId w:val="19"/>
        </w:numPr>
        <w:autoSpaceDE w:val="0"/>
        <w:autoSpaceDN w:val="0"/>
        <w:adjustRightInd w:val="0"/>
      </w:pPr>
      <w:r w:rsidRPr="00806B7A">
        <w:rPr>
          <w:i/>
        </w:rPr>
        <w:t>Month</w:t>
      </w:r>
      <w:r w:rsidRPr="00806B7A">
        <w:t xml:space="preserve"> means calendar month. </w:t>
      </w:r>
    </w:p>
    <w:p w:rsidR="00B8581C" w:rsidRPr="00806B7A" w:rsidRDefault="00B8581C" w:rsidP="00B8581C">
      <w:pPr>
        <w:pStyle w:val="ListParagraph"/>
        <w:numPr>
          <w:ilvl w:val="0"/>
          <w:numId w:val="19"/>
        </w:numPr>
        <w:autoSpaceDE w:val="0"/>
        <w:autoSpaceDN w:val="0"/>
        <w:adjustRightInd w:val="0"/>
      </w:pPr>
      <w:r w:rsidRPr="00806B7A">
        <w:rPr>
          <w:i/>
        </w:rPr>
        <w:t>Week</w:t>
      </w:r>
      <w:r w:rsidRPr="00806B7A">
        <w:t xml:space="preserve"> means a calendar week of Sunday through Saturday.</w:t>
      </w:r>
    </w:p>
    <w:p w:rsidR="00D05D9B" w:rsidRPr="00806B7A" w:rsidRDefault="00D05D9B" w:rsidP="00F532C2"/>
    <w:sectPr w:rsidR="00D05D9B" w:rsidRPr="00806B7A" w:rsidSect="002F627C">
      <w:endnotePr>
        <w:numFmt w:val="decimal"/>
      </w:endnotePr>
      <w:pgSz w:w="12240" w:h="15840"/>
      <w:pgMar w:top="1440" w:right="1080" w:bottom="720" w:left="108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151" w:rsidRDefault="000B1151" w:rsidP="00E01A81">
      <w:r>
        <w:separator/>
      </w:r>
    </w:p>
  </w:endnote>
  <w:endnote w:type="continuationSeparator" w:id="0">
    <w:p w:rsidR="000B1151" w:rsidRDefault="000B1151" w:rsidP="00E01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151" w:rsidRDefault="000B1151" w:rsidP="00E01A81">
      <w:r>
        <w:separator/>
      </w:r>
    </w:p>
  </w:footnote>
  <w:footnote w:type="continuationSeparator" w:id="0">
    <w:p w:rsidR="000B1151" w:rsidRDefault="000B1151" w:rsidP="00E01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51" w:rsidRPr="007A0E6F" w:rsidRDefault="000B1151" w:rsidP="00806B7A">
    <w:pPr>
      <w:ind w:left="7920"/>
    </w:pPr>
    <w:r>
      <w:t xml:space="preserve">Expiration: </w:t>
    </w:r>
    <w:r w:rsidR="00CB66F7">
      <w:t>8/31/2018</w:t>
    </w:r>
  </w:p>
  <w:p w:rsidR="000B1151" w:rsidRDefault="000B1151" w:rsidP="00806B7A">
    <w:pPr>
      <w:ind w:left="7920"/>
    </w:pPr>
    <w:r>
      <w:t xml:space="preserve">Permit #: </w:t>
    </w:r>
    <w:r w:rsidR="00AE0CF7">
      <w:t>103061</w:t>
    </w:r>
  </w:p>
  <w:p w:rsidR="000B1151" w:rsidRDefault="000B1151" w:rsidP="00806B7A">
    <w:pPr>
      <w:ind w:left="7920"/>
    </w:pPr>
    <w:r>
      <w:t>File #:120589</w:t>
    </w:r>
  </w:p>
  <w:p w:rsidR="000B1151" w:rsidRDefault="000B1151" w:rsidP="00806B7A">
    <w:pPr>
      <w:ind w:left="7920"/>
    </w:pPr>
    <w:r>
      <w:t xml:space="preserve">Page </w:t>
    </w:r>
    <w:fldSimple w:instr=" PAGE ">
      <w:r w:rsidR="00045ABB">
        <w:rPr>
          <w:noProof/>
        </w:rPr>
        <w:t>1</w:t>
      </w:r>
    </w:fldSimple>
    <w:r>
      <w:t xml:space="preserve"> of </w:t>
    </w:r>
    <w:fldSimple w:instr=" NUMPAGES  ">
      <w:r w:rsidR="00045ABB">
        <w:rPr>
          <w:noProof/>
        </w:rPr>
        <w:t>18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51" w:rsidRPr="007A0E6F" w:rsidRDefault="000B1151" w:rsidP="000C460C">
    <w:pPr>
      <w:ind w:left="7200"/>
    </w:pPr>
    <w:r w:rsidRPr="007A0E6F">
      <w:t xml:space="preserve">Expiration: </w:t>
    </w:r>
  </w:p>
  <w:p w:rsidR="000B1151" w:rsidRPr="007A0E6F" w:rsidRDefault="000B1151" w:rsidP="000C460C">
    <w:pPr>
      <w:ind w:left="7200"/>
    </w:pPr>
    <w:r w:rsidRPr="007A0E6F">
      <w:t xml:space="preserve">Permit #: </w:t>
    </w:r>
  </w:p>
  <w:p w:rsidR="000B1151" w:rsidRPr="007A0E6F" w:rsidRDefault="000B1151" w:rsidP="000C460C">
    <w:pPr>
      <w:ind w:left="7200"/>
    </w:pPr>
    <w:r w:rsidRPr="007A0E6F">
      <w:t xml:space="preserve">File #: </w:t>
    </w:r>
  </w:p>
  <w:p w:rsidR="000B1151" w:rsidRPr="007A0E6F" w:rsidRDefault="000B1151" w:rsidP="000C460C">
    <w:pPr>
      <w:ind w:left="7200"/>
    </w:pPr>
    <w:r>
      <w:t xml:space="preserve">Page </w:t>
    </w:r>
    <w:fldSimple w:instr=" PAGE ">
      <w:r>
        <w:rPr>
          <w:noProof/>
        </w:rPr>
        <w:t>1</w:t>
      </w:r>
    </w:fldSimple>
    <w:r>
      <w:t xml:space="preserve"> of </w:t>
    </w:r>
    <w:fldSimple w:instr=" NUMPAGES  ">
      <w:r w:rsidR="00045ABB">
        <w:rPr>
          <w:noProof/>
        </w:rPr>
        <w:t>18</w:t>
      </w:r>
    </w:fldSimple>
  </w:p>
  <w:p w:rsidR="000B1151" w:rsidRDefault="000B1151">
    <w:pPr>
      <w:pStyle w:val="Header"/>
    </w:pPr>
  </w:p>
  <w:p w:rsidR="000B1151" w:rsidRDefault="000B11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51" w:rsidRDefault="000B115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51" w:rsidRDefault="000B1151" w:rsidP="00D14464">
    <w:pPr>
      <w:ind w:left="7920"/>
    </w:pPr>
    <w:r>
      <w:t>File #:120589</w:t>
    </w:r>
  </w:p>
  <w:p w:rsidR="000B1151" w:rsidRDefault="000B1151" w:rsidP="00D14464">
    <w:pPr>
      <w:ind w:left="7920"/>
    </w:pPr>
    <w:r w:rsidRPr="00395DE4">
      <w:t xml:space="preserve">Page </w:t>
    </w:r>
    <w:fldSimple w:instr=" PAGE ">
      <w:r w:rsidR="00045ABB">
        <w:rPr>
          <w:noProof/>
        </w:rPr>
        <w:t>2</w:t>
      </w:r>
    </w:fldSimple>
    <w:r>
      <w:t xml:space="preserve"> of </w:t>
    </w:r>
    <w:fldSimple w:instr=" NUMPAGES  ">
      <w:r w:rsidR="00045ABB">
        <w:rPr>
          <w:noProof/>
        </w:rPr>
        <w:t>18</w:t>
      </w:r>
    </w:fldSimple>
  </w:p>
  <w:p w:rsidR="000B1151" w:rsidRDefault="000B1151" w:rsidP="00D14464">
    <w:pPr>
      <w:pStyle w:val="Header"/>
      <w:tabs>
        <w:tab w:val="clear" w:pos="9360"/>
        <w:tab w:val="right" w:pos="10080"/>
      </w:tabs>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51" w:rsidRPr="007A0E6F" w:rsidRDefault="000B1151" w:rsidP="009602B0">
    <w:pPr>
      <w:ind w:left="7200"/>
    </w:pPr>
    <w:r>
      <w:t>Expiration:</w:t>
    </w:r>
  </w:p>
  <w:p w:rsidR="000B1151" w:rsidRDefault="000B1151" w:rsidP="009602B0">
    <w:pPr>
      <w:ind w:left="7200"/>
    </w:pPr>
    <w:r>
      <w:t>Permit #:</w:t>
    </w:r>
  </w:p>
  <w:p w:rsidR="000B1151" w:rsidRDefault="000B1151" w:rsidP="009602B0">
    <w:pPr>
      <w:ind w:left="7200"/>
    </w:pPr>
    <w:r>
      <w:t>File #:</w:t>
    </w:r>
  </w:p>
  <w:p w:rsidR="000B1151" w:rsidRDefault="000B1151" w:rsidP="009602B0">
    <w:pPr>
      <w:ind w:left="7200"/>
    </w:pPr>
    <w:r>
      <w:t xml:space="preserve">Page </w:t>
    </w:r>
    <w:fldSimple w:instr=" PAGE ">
      <w:r>
        <w:rPr>
          <w:noProof/>
        </w:rPr>
        <w:t>24</w:t>
      </w:r>
    </w:fldSimple>
    <w:r>
      <w:t xml:space="preserve"> of </w:t>
    </w:r>
    <w:fldSimple w:instr=" NUMPAGES  ">
      <w:r w:rsidR="00045ABB">
        <w:rPr>
          <w:noProof/>
        </w:rPr>
        <w:t>18</w:t>
      </w:r>
    </w:fldSimple>
  </w:p>
  <w:p w:rsidR="000B1151" w:rsidRDefault="000B11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A22"/>
    <w:multiLevelType w:val="multilevel"/>
    <w:tmpl w:val="970C3C28"/>
    <w:lvl w:ilvl="0">
      <w:start w:val="1"/>
      <w:numFmt w:val="decimal"/>
      <w:lvlText w:val="A%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decimal"/>
      <w:lvlText w:val="(%3)"/>
      <w:lvlJc w:val="left"/>
      <w:pPr>
        <w:tabs>
          <w:tab w:val="num" w:pos="1296"/>
        </w:tabs>
        <w:ind w:left="1296" w:hanging="432"/>
      </w:pPr>
      <w:rPr>
        <w:rFonts w:hint="default"/>
      </w:rPr>
    </w:lvl>
    <w:lvl w:ilvl="3">
      <w:start w:val="1"/>
      <w:numFmt w:val="lowerRoman"/>
      <w:lvlText w:val="%4."/>
      <w:lvlJc w:val="left"/>
      <w:pPr>
        <w:tabs>
          <w:tab w:val="num" w:pos="1728"/>
        </w:tabs>
        <w:ind w:left="1728" w:hanging="432"/>
      </w:pPr>
      <w:rPr>
        <w:rFonts w:hint="default"/>
      </w:rPr>
    </w:lvl>
    <w:lvl w:ilvl="4">
      <w:start w:val="1"/>
      <w:numFmt w:val="lowerLetter"/>
      <w:lvlText w:val="(%5)"/>
      <w:lvlJc w:val="left"/>
      <w:pPr>
        <w:tabs>
          <w:tab w:val="num" w:pos="2160"/>
        </w:tabs>
        <w:ind w:left="2160" w:hanging="432"/>
      </w:pPr>
      <w:rPr>
        <w:rFonts w:hint="default"/>
        <w:b w:val="0"/>
        <w:i/>
      </w:rPr>
    </w:lvl>
    <w:lvl w:ilvl="5">
      <w:start w:val="1"/>
      <w:numFmt w:val="none"/>
      <w:lvlText w:val=""/>
      <w:lvlJc w:val="right"/>
      <w:pPr>
        <w:ind w:left="2592" w:hanging="432"/>
      </w:pPr>
      <w:rPr>
        <w:rFonts w:hint="default"/>
      </w:rPr>
    </w:lvl>
    <w:lvl w:ilvl="6">
      <w:start w:val="1"/>
      <w:numFmt w:val="none"/>
      <w:lvlText w:val=""/>
      <w:lvlJc w:val="left"/>
      <w:pPr>
        <w:ind w:left="3024" w:hanging="432"/>
      </w:pPr>
      <w:rPr>
        <w:rFonts w:hint="default"/>
      </w:rPr>
    </w:lvl>
    <w:lvl w:ilvl="7">
      <w:start w:val="1"/>
      <w:numFmt w:val="none"/>
      <w:lvlText w:val=""/>
      <w:lvlJc w:val="left"/>
      <w:pPr>
        <w:ind w:left="3456" w:hanging="432"/>
      </w:pPr>
      <w:rPr>
        <w:rFonts w:hint="default"/>
      </w:rPr>
    </w:lvl>
    <w:lvl w:ilvl="8">
      <w:start w:val="1"/>
      <w:numFmt w:val="none"/>
      <w:lvlText w:val=""/>
      <w:lvlJc w:val="right"/>
      <w:pPr>
        <w:ind w:left="3888" w:hanging="432"/>
      </w:pPr>
      <w:rPr>
        <w:rFonts w:hint="default"/>
      </w:rPr>
    </w:lvl>
  </w:abstractNum>
  <w:abstractNum w:abstractNumId="1">
    <w:nsid w:val="02A9450D"/>
    <w:multiLevelType w:val="multilevel"/>
    <w:tmpl w:val="AE044286"/>
    <w:lvl w:ilvl="0">
      <w:start w:val="1"/>
      <w:numFmt w:val="decimal"/>
      <w:lvlText w:val="E%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decimal"/>
      <w:lvlText w:val="(%3)"/>
      <w:lvlJc w:val="left"/>
      <w:pPr>
        <w:tabs>
          <w:tab w:val="num" w:pos="1296"/>
        </w:tabs>
        <w:ind w:left="1296" w:hanging="432"/>
      </w:pPr>
      <w:rPr>
        <w:rFonts w:hint="default"/>
      </w:rPr>
    </w:lvl>
    <w:lvl w:ilvl="3">
      <w:start w:val="1"/>
      <w:numFmt w:val="lowerRoman"/>
      <w:lvlText w:val="%4."/>
      <w:lvlJc w:val="left"/>
      <w:pPr>
        <w:tabs>
          <w:tab w:val="num" w:pos="1728"/>
        </w:tabs>
        <w:ind w:left="1728" w:hanging="432"/>
      </w:pPr>
      <w:rPr>
        <w:rFonts w:hint="default"/>
      </w:rPr>
    </w:lvl>
    <w:lvl w:ilvl="4">
      <w:start w:val="1"/>
      <w:numFmt w:val="lowerLetter"/>
      <w:lvlText w:val="(%5)"/>
      <w:lvlJc w:val="left"/>
      <w:pPr>
        <w:tabs>
          <w:tab w:val="num" w:pos="2160"/>
        </w:tabs>
        <w:ind w:left="2160" w:hanging="432"/>
      </w:pPr>
      <w:rPr>
        <w:rFonts w:hint="default"/>
        <w:b w:val="0"/>
        <w:i/>
      </w:rPr>
    </w:lvl>
    <w:lvl w:ilvl="5">
      <w:start w:val="1"/>
      <w:numFmt w:val="none"/>
      <w:lvlText w:val=""/>
      <w:lvlJc w:val="left"/>
      <w:pPr>
        <w:ind w:left="2592" w:hanging="432"/>
      </w:pPr>
      <w:rPr>
        <w:rFonts w:hint="default"/>
      </w:rPr>
    </w:lvl>
    <w:lvl w:ilvl="6">
      <w:start w:val="1"/>
      <w:numFmt w:val="none"/>
      <w:lvlText w:val=""/>
      <w:lvlJc w:val="left"/>
      <w:pPr>
        <w:ind w:left="3024" w:hanging="432"/>
      </w:pPr>
      <w:rPr>
        <w:rFonts w:hint="default"/>
      </w:rPr>
    </w:lvl>
    <w:lvl w:ilvl="7">
      <w:start w:val="1"/>
      <w:numFmt w:val="none"/>
      <w:lvlText w:val=""/>
      <w:lvlJc w:val="left"/>
      <w:pPr>
        <w:ind w:left="3456" w:hanging="432"/>
      </w:pPr>
      <w:rPr>
        <w:rFonts w:hint="default"/>
      </w:rPr>
    </w:lvl>
    <w:lvl w:ilvl="8">
      <w:start w:val="1"/>
      <w:numFmt w:val="none"/>
      <w:lvlText w:val=""/>
      <w:lvlJc w:val="right"/>
      <w:pPr>
        <w:ind w:left="3888" w:hanging="432"/>
      </w:pPr>
      <w:rPr>
        <w:rFonts w:hint="default"/>
      </w:rPr>
    </w:lvl>
  </w:abstractNum>
  <w:abstractNum w:abstractNumId="2">
    <w:nsid w:val="0CE6067C"/>
    <w:multiLevelType w:val="multilevel"/>
    <w:tmpl w:val="E856D000"/>
    <w:lvl w:ilvl="0">
      <w:start w:val="1"/>
      <w:numFmt w:val="lowerLetter"/>
      <w:lvlText w:val="%1."/>
      <w:lvlJc w:val="left"/>
      <w:pPr>
        <w:tabs>
          <w:tab w:val="num" w:pos="864"/>
        </w:tabs>
        <w:ind w:left="864" w:hanging="432"/>
      </w:pPr>
      <w:rPr>
        <w:rFonts w:hint="default"/>
      </w:rPr>
    </w:lvl>
    <w:lvl w:ilvl="1">
      <w:start w:val="1"/>
      <w:numFmt w:val="lowerRoman"/>
      <w:lvlText w:val="%2."/>
      <w:lvlJc w:val="left"/>
      <w:pPr>
        <w:tabs>
          <w:tab w:val="num" w:pos="1296"/>
        </w:tabs>
        <w:ind w:left="1296" w:hanging="432"/>
      </w:pPr>
      <w:rPr>
        <w:rFonts w:hint="default"/>
      </w:rPr>
    </w:lvl>
    <w:lvl w:ilvl="2">
      <w:start w:val="1"/>
      <w:numFmt w:val="lowerRoman"/>
      <w:lvlText w:val="%3."/>
      <w:lvlJc w:val="right"/>
      <w:pPr>
        <w:tabs>
          <w:tab w:val="num" w:pos="1728"/>
        </w:tabs>
        <w:ind w:left="1728" w:hanging="432"/>
      </w:pPr>
      <w:rPr>
        <w:rFonts w:hint="default"/>
      </w:rPr>
    </w:lvl>
    <w:lvl w:ilvl="3">
      <w:start w:val="1"/>
      <w:numFmt w:val="decimal"/>
      <w:lvlText w:val="%4."/>
      <w:lvlJc w:val="left"/>
      <w:pPr>
        <w:tabs>
          <w:tab w:val="num" w:pos="2160"/>
        </w:tabs>
        <w:ind w:left="2160" w:hanging="432"/>
      </w:pPr>
      <w:rPr>
        <w:rFonts w:hint="default"/>
      </w:rPr>
    </w:lvl>
    <w:lvl w:ilvl="4">
      <w:start w:val="1"/>
      <w:numFmt w:val="lowerLetter"/>
      <w:lvlText w:val="%5."/>
      <w:lvlJc w:val="left"/>
      <w:pPr>
        <w:tabs>
          <w:tab w:val="num" w:pos="2592"/>
        </w:tabs>
        <w:ind w:left="2592" w:hanging="432"/>
      </w:pPr>
      <w:rPr>
        <w:rFonts w:hint="default"/>
      </w:rPr>
    </w:lvl>
    <w:lvl w:ilvl="5">
      <w:start w:val="1"/>
      <w:numFmt w:val="lowerRoman"/>
      <w:lvlText w:val="%6."/>
      <w:lvlJc w:val="right"/>
      <w:pPr>
        <w:tabs>
          <w:tab w:val="num" w:pos="3024"/>
        </w:tabs>
        <w:ind w:left="3024" w:hanging="432"/>
      </w:pPr>
      <w:rPr>
        <w:rFonts w:hint="default"/>
      </w:rPr>
    </w:lvl>
    <w:lvl w:ilvl="6">
      <w:start w:val="1"/>
      <w:numFmt w:val="decimal"/>
      <w:lvlText w:val="%7."/>
      <w:lvlJc w:val="left"/>
      <w:pPr>
        <w:tabs>
          <w:tab w:val="num" w:pos="3456"/>
        </w:tabs>
        <w:ind w:left="3456" w:hanging="432"/>
      </w:pPr>
      <w:rPr>
        <w:rFonts w:hint="default"/>
      </w:rPr>
    </w:lvl>
    <w:lvl w:ilvl="7">
      <w:start w:val="1"/>
      <w:numFmt w:val="lowerLetter"/>
      <w:lvlText w:val="%8."/>
      <w:lvlJc w:val="left"/>
      <w:pPr>
        <w:tabs>
          <w:tab w:val="num" w:pos="3888"/>
        </w:tabs>
        <w:ind w:left="3888" w:hanging="432"/>
      </w:pPr>
      <w:rPr>
        <w:rFonts w:hint="default"/>
      </w:rPr>
    </w:lvl>
    <w:lvl w:ilvl="8">
      <w:start w:val="1"/>
      <w:numFmt w:val="lowerRoman"/>
      <w:lvlText w:val="%9."/>
      <w:lvlJc w:val="right"/>
      <w:pPr>
        <w:tabs>
          <w:tab w:val="num" w:pos="4320"/>
        </w:tabs>
        <w:ind w:left="4320" w:hanging="432"/>
      </w:pPr>
      <w:rPr>
        <w:rFonts w:hint="default"/>
      </w:rPr>
    </w:lvl>
  </w:abstractNum>
  <w:abstractNum w:abstractNumId="3">
    <w:nsid w:val="0DD84258"/>
    <w:multiLevelType w:val="hybridMultilevel"/>
    <w:tmpl w:val="B3CE86E2"/>
    <w:lvl w:ilvl="0" w:tplc="04090017">
      <w:start w:val="1"/>
      <w:numFmt w:val="lowerLetter"/>
      <w:lvlText w:val="%1)"/>
      <w:lvlJc w:val="left"/>
      <w:pPr>
        <w:ind w:left="2070" w:hanging="360"/>
      </w:pPr>
    </w:lvl>
    <w:lvl w:ilvl="1" w:tplc="10D04098">
      <w:start w:val="1"/>
      <w:numFmt w:val="decimal"/>
      <w:lvlText w:val="%2."/>
      <w:lvlJc w:val="left"/>
      <w:pPr>
        <w:ind w:left="3150" w:hanging="72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0E27208F"/>
    <w:multiLevelType w:val="hybridMultilevel"/>
    <w:tmpl w:val="77768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30E7D"/>
    <w:multiLevelType w:val="multilevel"/>
    <w:tmpl w:val="C84A3A44"/>
    <w:lvl w:ilvl="0">
      <w:start w:val="1"/>
      <w:numFmt w:val="decimal"/>
      <w:lvlText w:val="C%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decimal"/>
      <w:lvlText w:val="(%3)"/>
      <w:lvlJc w:val="left"/>
      <w:pPr>
        <w:tabs>
          <w:tab w:val="num" w:pos="1296"/>
        </w:tabs>
        <w:ind w:left="1296" w:hanging="432"/>
      </w:pPr>
      <w:rPr>
        <w:rFonts w:hint="default"/>
      </w:rPr>
    </w:lvl>
    <w:lvl w:ilvl="3">
      <w:start w:val="1"/>
      <w:numFmt w:val="lowerRoman"/>
      <w:lvlText w:val="%4."/>
      <w:lvlJc w:val="left"/>
      <w:pPr>
        <w:tabs>
          <w:tab w:val="num" w:pos="1728"/>
        </w:tabs>
        <w:ind w:left="1728" w:hanging="432"/>
      </w:pPr>
      <w:rPr>
        <w:rFonts w:hint="default"/>
      </w:rPr>
    </w:lvl>
    <w:lvl w:ilvl="4">
      <w:start w:val="1"/>
      <w:numFmt w:val="lowerLetter"/>
      <w:lvlText w:val="(%5)"/>
      <w:lvlJc w:val="left"/>
      <w:pPr>
        <w:tabs>
          <w:tab w:val="num" w:pos="2160"/>
        </w:tabs>
        <w:ind w:left="2160" w:hanging="432"/>
      </w:pPr>
      <w:rPr>
        <w:rFonts w:hint="default"/>
        <w:b w:val="0"/>
        <w:i/>
      </w:rPr>
    </w:lvl>
    <w:lvl w:ilvl="5">
      <w:start w:val="1"/>
      <w:numFmt w:val="none"/>
      <w:lvlText w:val=""/>
      <w:lvlJc w:val="left"/>
      <w:pPr>
        <w:ind w:left="2592" w:hanging="432"/>
      </w:pPr>
      <w:rPr>
        <w:rFonts w:hint="default"/>
      </w:rPr>
    </w:lvl>
    <w:lvl w:ilvl="6">
      <w:start w:val="1"/>
      <w:numFmt w:val="none"/>
      <w:lvlText w:val=""/>
      <w:lvlJc w:val="left"/>
      <w:pPr>
        <w:ind w:left="3024" w:hanging="432"/>
      </w:pPr>
      <w:rPr>
        <w:rFonts w:hint="default"/>
      </w:rPr>
    </w:lvl>
    <w:lvl w:ilvl="7">
      <w:start w:val="1"/>
      <w:numFmt w:val="none"/>
      <w:lvlText w:val=""/>
      <w:lvlJc w:val="left"/>
      <w:pPr>
        <w:ind w:left="3456" w:hanging="432"/>
      </w:pPr>
      <w:rPr>
        <w:rFonts w:hint="default"/>
      </w:rPr>
    </w:lvl>
    <w:lvl w:ilvl="8">
      <w:start w:val="1"/>
      <w:numFmt w:val="none"/>
      <w:lvlText w:val=""/>
      <w:lvlJc w:val="right"/>
      <w:pPr>
        <w:ind w:left="3888" w:hanging="432"/>
      </w:pPr>
      <w:rPr>
        <w:rFonts w:hint="default"/>
      </w:rPr>
    </w:lvl>
  </w:abstractNum>
  <w:abstractNum w:abstractNumId="6">
    <w:nsid w:val="12BC6E12"/>
    <w:multiLevelType w:val="hybridMultilevel"/>
    <w:tmpl w:val="8FD2EA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690336"/>
    <w:multiLevelType w:val="hybridMultilevel"/>
    <w:tmpl w:val="842E3E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72452D"/>
    <w:multiLevelType w:val="multilevel"/>
    <w:tmpl w:val="A3964934"/>
    <w:styleLink w:val="permittemplate"/>
    <w:lvl w:ilvl="0">
      <w:start w:val="1"/>
      <w:numFmt w:val="upperLetter"/>
      <w:suff w:val="nothing"/>
      <w:lvlText w:val="Schedule %1"/>
      <w:lvlJc w:val="center"/>
      <w:pPr>
        <w:ind w:left="0" w:firstLine="0"/>
      </w:pPr>
      <w:rPr>
        <w:rFonts w:hint="default"/>
        <w:b/>
        <w:color w:val="000000"/>
        <w:sz w:val="22"/>
        <w:szCs w:val="22"/>
      </w:rPr>
    </w:lvl>
    <w:lvl w:ilvl="1">
      <w:start w:val="1"/>
      <w:numFmt w:val="decimal"/>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9">
    <w:nsid w:val="1F0A7AC9"/>
    <w:multiLevelType w:val="multilevel"/>
    <w:tmpl w:val="2E4C6482"/>
    <w:lvl w:ilvl="0">
      <w:start w:val="1"/>
      <w:numFmt w:val="upperLetter"/>
      <w:suff w:val="space"/>
      <w:lvlText w:val="SCHEDULE %1"/>
      <w:lvlJc w:val="center"/>
      <w:pPr>
        <w:ind w:left="5472" w:hanging="432"/>
      </w:pPr>
      <w:rPr>
        <w:rFonts w:hint="default"/>
        <w:color w:val="auto"/>
        <w:sz w:val="22"/>
        <w:szCs w:val="22"/>
      </w:rPr>
    </w:lvl>
    <w:lvl w:ilvl="1">
      <w:start w:val="1"/>
      <w:numFmt w:val="decimal"/>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10">
    <w:nsid w:val="1F4F3EBB"/>
    <w:multiLevelType w:val="multilevel"/>
    <w:tmpl w:val="7834C79C"/>
    <w:lvl w:ilvl="0">
      <w:start w:val="1"/>
      <w:numFmt w:val="upperLetter"/>
      <w:suff w:val="space"/>
      <w:lvlText w:val="SCHEDULE %1"/>
      <w:lvlJc w:val="center"/>
      <w:pPr>
        <w:ind w:left="5472" w:hanging="432"/>
      </w:pPr>
      <w:rPr>
        <w:rFonts w:hint="default"/>
        <w:color w:val="auto"/>
        <w:sz w:val="22"/>
        <w:szCs w:val="22"/>
      </w:rPr>
    </w:lvl>
    <w:lvl w:ilvl="1">
      <w:start w:val="1"/>
      <w:numFmt w:val="lowerLetter"/>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11">
    <w:nsid w:val="1F9427FA"/>
    <w:multiLevelType w:val="multilevel"/>
    <w:tmpl w:val="17D6AE98"/>
    <w:lvl w:ilvl="0">
      <w:start w:val="1"/>
      <w:numFmt w:val="upperLetter"/>
      <w:suff w:val="space"/>
      <w:lvlText w:val="SCHEDULE %1"/>
      <w:lvlJc w:val="center"/>
      <w:pPr>
        <w:ind w:left="5472" w:hanging="432"/>
      </w:pPr>
      <w:rPr>
        <w:rFonts w:hint="default"/>
        <w:color w:val="auto"/>
        <w:sz w:val="22"/>
        <w:szCs w:val="22"/>
      </w:rPr>
    </w:lvl>
    <w:lvl w:ilvl="1">
      <w:start w:val="1"/>
      <w:numFmt w:val="decimal"/>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12">
    <w:nsid w:val="205938F5"/>
    <w:multiLevelType w:val="hybridMultilevel"/>
    <w:tmpl w:val="E8326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4D4A99"/>
    <w:multiLevelType w:val="hybridMultilevel"/>
    <w:tmpl w:val="4558C96A"/>
    <w:lvl w:ilvl="0" w:tplc="7312F474">
      <w:start w:val="1"/>
      <w:numFmt w:val="decimal"/>
      <w:lvlText w:val="%1."/>
      <w:lvlJc w:val="left"/>
      <w:pPr>
        <w:ind w:left="360" w:hanging="360"/>
      </w:pPr>
      <w:rPr>
        <w:rFonts w:hint="default"/>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1A0BED"/>
    <w:multiLevelType w:val="multilevel"/>
    <w:tmpl w:val="D27A46BA"/>
    <w:lvl w:ilvl="0">
      <w:start w:val="1"/>
      <w:numFmt w:val="upperLetter"/>
      <w:suff w:val="nothing"/>
      <w:lvlText w:val="Schedule %1"/>
      <w:lvlJc w:val="center"/>
      <w:pPr>
        <w:ind w:left="0" w:firstLine="0"/>
      </w:pPr>
      <w:rPr>
        <w:rFonts w:ascii="Arial" w:hAnsi="Arial" w:hint="default"/>
        <w:b/>
        <w:color w:val="auto"/>
        <w:sz w:val="22"/>
        <w:szCs w:val="22"/>
      </w:rPr>
    </w:lvl>
    <w:lvl w:ilvl="1">
      <w:start w:val="1"/>
      <w:numFmt w:val="decimal"/>
      <w:pStyle w:val="Heading2"/>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15">
    <w:nsid w:val="33FF711F"/>
    <w:multiLevelType w:val="hybridMultilevel"/>
    <w:tmpl w:val="FFF4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82530"/>
    <w:multiLevelType w:val="hybridMultilevel"/>
    <w:tmpl w:val="B426A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BC44EC"/>
    <w:multiLevelType w:val="hybridMultilevel"/>
    <w:tmpl w:val="197E3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226D06"/>
    <w:multiLevelType w:val="hybridMultilevel"/>
    <w:tmpl w:val="76F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FF1A71"/>
    <w:multiLevelType w:val="multilevel"/>
    <w:tmpl w:val="F8B85254"/>
    <w:lvl w:ilvl="0">
      <w:start w:val="1"/>
      <w:numFmt w:val="decimal"/>
      <w:lvlText w:val="D%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decimal"/>
      <w:lvlText w:val="(%3)"/>
      <w:lvlJc w:val="left"/>
      <w:pPr>
        <w:tabs>
          <w:tab w:val="num" w:pos="1296"/>
        </w:tabs>
        <w:ind w:left="1296" w:hanging="432"/>
      </w:pPr>
      <w:rPr>
        <w:rFonts w:hint="default"/>
      </w:rPr>
    </w:lvl>
    <w:lvl w:ilvl="3">
      <w:start w:val="1"/>
      <w:numFmt w:val="lowerRoman"/>
      <w:lvlText w:val="%4."/>
      <w:lvlJc w:val="left"/>
      <w:pPr>
        <w:tabs>
          <w:tab w:val="num" w:pos="1728"/>
        </w:tabs>
        <w:ind w:left="1728" w:hanging="432"/>
      </w:pPr>
      <w:rPr>
        <w:rFonts w:hint="default"/>
      </w:rPr>
    </w:lvl>
    <w:lvl w:ilvl="4">
      <w:start w:val="1"/>
      <w:numFmt w:val="lowerLetter"/>
      <w:lvlText w:val="(%5)"/>
      <w:lvlJc w:val="left"/>
      <w:pPr>
        <w:tabs>
          <w:tab w:val="num" w:pos="2160"/>
        </w:tabs>
        <w:ind w:left="2160" w:hanging="432"/>
      </w:pPr>
      <w:rPr>
        <w:rFonts w:hint="default"/>
        <w:b w:val="0"/>
        <w:i/>
      </w:rPr>
    </w:lvl>
    <w:lvl w:ilvl="5">
      <w:start w:val="1"/>
      <w:numFmt w:val="none"/>
      <w:lvlText w:val=""/>
      <w:lvlJc w:val="left"/>
      <w:pPr>
        <w:ind w:left="2592" w:hanging="432"/>
      </w:pPr>
      <w:rPr>
        <w:rFonts w:hint="default"/>
      </w:rPr>
    </w:lvl>
    <w:lvl w:ilvl="6">
      <w:start w:val="1"/>
      <w:numFmt w:val="none"/>
      <w:lvlText w:val=""/>
      <w:lvlJc w:val="left"/>
      <w:pPr>
        <w:ind w:left="3024" w:hanging="432"/>
      </w:pPr>
      <w:rPr>
        <w:rFonts w:hint="default"/>
      </w:rPr>
    </w:lvl>
    <w:lvl w:ilvl="7">
      <w:start w:val="1"/>
      <w:numFmt w:val="none"/>
      <w:lvlText w:val=""/>
      <w:lvlJc w:val="left"/>
      <w:pPr>
        <w:ind w:left="3456" w:hanging="432"/>
      </w:pPr>
      <w:rPr>
        <w:rFonts w:hint="default"/>
      </w:rPr>
    </w:lvl>
    <w:lvl w:ilvl="8">
      <w:start w:val="1"/>
      <w:numFmt w:val="none"/>
      <w:lvlText w:val=""/>
      <w:lvlJc w:val="right"/>
      <w:pPr>
        <w:ind w:left="3888" w:hanging="432"/>
      </w:pPr>
      <w:rPr>
        <w:rFonts w:hint="default"/>
      </w:rPr>
    </w:lvl>
  </w:abstractNum>
  <w:abstractNum w:abstractNumId="20">
    <w:nsid w:val="426D090D"/>
    <w:multiLevelType w:val="multilevel"/>
    <w:tmpl w:val="C5CEFB4A"/>
    <w:lvl w:ilvl="0">
      <w:start w:val="1"/>
      <w:numFmt w:val="decimal"/>
      <w:lvlText w:val="B%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decimal"/>
      <w:lvlText w:val="(%3)"/>
      <w:lvlJc w:val="left"/>
      <w:pPr>
        <w:tabs>
          <w:tab w:val="num" w:pos="1296"/>
        </w:tabs>
        <w:ind w:left="1296" w:hanging="432"/>
      </w:pPr>
      <w:rPr>
        <w:rFonts w:hint="default"/>
      </w:rPr>
    </w:lvl>
    <w:lvl w:ilvl="3">
      <w:start w:val="1"/>
      <w:numFmt w:val="lowerRoman"/>
      <w:lvlText w:val="%4."/>
      <w:lvlJc w:val="left"/>
      <w:pPr>
        <w:tabs>
          <w:tab w:val="num" w:pos="1728"/>
        </w:tabs>
        <w:ind w:left="1728" w:hanging="432"/>
      </w:pPr>
      <w:rPr>
        <w:rFonts w:hint="default"/>
      </w:rPr>
    </w:lvl>
    <w:lvl w:ilvl="4">
      <w:start w:val="1"/>
      <w:numFmt w:val="lowerLetter"/>
      <w:lvlText w:val="(%5)"/>
      <w:lvlJc w:val="left"/>
      <w:pPr>
        <w:tabs>
          <w:tab w:val="num" w:pos="2160"/>
        </w:tabs>
        <w:ind w:left="2160" w:hanging="432"/>
      </w:pPr>
      <w:rPr>
        <w:rFonts w:hint="default"/>
        <w:b w:val="0"/>
        <w:i/>
      </w:rPr>
    </w:lvl>
    <w:lvl w:ilvl="5">
      <w:start w:val="1"/>
      <w:numFmt w:val="none"/>
      <w:lvlText w:val=""/>
      <w:lvlJc w:val="left"/>
      <w:pPr>
        <w:ind w:left="2592" w:hanging="432"/>
      </w:pPr>
      <w:rPr>
        <w:rFonts w:hint="default"/>
      </w:rPr>
    </w:lvl>
    <w:lvl w:ilvl="6">
      <w:start w:val="1"/>
      <w:numFmt w:val="none"/>
      <w:lvlText w:val=""/>
      <w:lvlJc w:val="left"/>
      <w:pPr>
        <w:ind w:left="3024" w:hanging="432"/>
      </w:pPr>
      <w:rPr>
        <w:rFonts w:hint="default"/>
      </w:rPr>
    </w:lvl>
    <w:lvl w:ilvl="7">
      <w:start w:val="1"/>
      <w:numFmt w:val="none"/>
      <w:lvlText w:val=""/>
      <w:lvlJc w:val="left"/>
      <w:pPr>
        <w:ind w:left="3456" w:hanging="432"/>
      </w:pPr>
      <w:rPr>
        <w:rFonts w:hint="default"/>
      </w:rPr>
    </w:lvl>
    <w:lvl w:ilvl="8">
      <w:start w:val="1"/>
      <w:numFmt w:val="none"/>
      <w:lvlText w:val=""/>
      <w:lvlJc w:val="right"/>
      <w:pPr>
        <w:ind w:left="3888" w:hanging="432"/>
      </w:pPr>
      <w:rPr>
        <w:rFonts w:hint="default"/>
      </w:rPr>
    </w:lvl>
  </w:abstractNum>
  <w:abstractNum w:abstractNumId="21">
    <w:nsid w:val="44FC44A0"/>
    <w:multiLevelType w:val="hybridMultilevel"/>
    <w:tmpl w:val="7AF0DB4A"/>
    <w:lvl w:ilvl="0" w:tplc="6D642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66896"/>
    <w:multiLevelType w:val="hybridMultilevel"/>
    <w:tmpl w:val="0C2404E6"/>
    <w:lvl w:ilvl="0" w:tplc="7312F474">
      <w:start w:val="1"/>
      <w:numFmt w:val="decimal"/>
      <w:lvlText w:val="%1."/>
      <w:lvlJc w:val="left"/>
      <w:pPr>
        <w:ind w:left="360" w:hanging="360"/>
      </w:pPr>
      <w:rPr>
        <w:rFonts w:hint="default"/>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C45F5D"/>
    <w:multiLevelType w:val="hybridMultilevel"/>
    <w:tmpl w:val="8794C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3335EF"/>
    <w:multiLevelType w:val="hybridMultilevel"/>
    <w:tmpl w:val="DA1AAB66"/>
    <w:lvl w:ilvl="0" w:tplc="AFE2E224">
      <w:start w:val="1"/>
      <w:numFmt w:val="bullet"/>
      <w:lvlText w:val=""/>
      <w:lvlJc w:val="left"/>
      <w:pPr>
        <w:ind w:left="360" w:hanging="360"/>
      </w:pPr>
      <w:rPr>
        <w:rFonts w:ascii="Symbol" w:hAnsi="Symbol" w:hint="default"/>
      </w:rPr>
    </w:lvl>
    <w:lvl w:ilvl="1" w:tplc="001696BC" w:tentative="1">
      <w:start w:val="1"/>
      <w:numFmt w:val="bullet"/>
      <w:lvlText w:val="o"/>
      <w:lvlJc w:val="left"/>
      <w:pPr>
        <w:ind w:left="1080" w:hanging="360"/>
      </w:pPr>
      <w:rPr>
        <w:rFonts w:ascii="Courier New" w:hAnsi="Courier New" w:cs="Courier New" w:hint="default"/>
      </w:rPr>
    </w:lvl>
    <w:lvl w:ilvl="2" w:tplc="3AF4FECC" w:tentative="1">
      <w:start w:val="1"/>
      <w:numFmt w:val="bullet"/>
      <w:lvlText w:val=""/>
      <w:lvlJc w:val="left"/>
      <w:pPr>
        <w:ind w:left="1800" w:hanging="360"/>
      </w:pPr>
      <w:rPr>
        <w:rFonts w:ascii="Wingdings" w:hAnsi="Wingdings" w:hint="default"/>
      </w:rPr>
    </w:lvl>
    <w:lvl w:ilvl="3" w:tplc="7B666E16" w:tentative="1">
      <w:start w:val="1"/>
      <w:numFmt w:val="bullet"/>
      <w:lvlText w:val=""/>
      <w:lvlJc w:val="left"/>
      <w:pPr>
        <w:ind w:left="2520" w:hanging="360"/>
      </w:pPr>
      <w:rPr>
        <w:rFonts w:ascii="Symbol" w:hAnsi="Symbol" w:hint="default"/>
      </w:rPr>
    </w:lvl>
    <w:lvl w:ilvl="4" w:tplc="DB0849E6" w:tentative="1">
      <w:start w:val="1"/>
      <w:numFmt w:val="bullet"/>
      <w:lvlText w:val="o"/>
      <w:lvlJc w:val="left"/>
      <w:pPr>
        <w:ind w:left="3240" w:hanging="360"/>
      </w:pPr>
      <w:rPr>
        <w:rFonts w:ascii="Courier New" w:hAnsi="Courier New" w:cs="Courier New" w:hint="default"/>
      </w:rPr>
    </w:lvl>
    <w:lvl w:ilvl="5" w:tplc="7700DFC6" w:tentative="1">
      <w:start w:val="1"/>
      <w:numFmt w:val="bullet"/>
      <w:lvlText w:val=""/>
      <w:lvlJc w:val="left"/>
      <w:pPr>
        <w:ind w:left="3960" w:hanging="360"/>
      </w:pPr>
      <w:rPr>
        <w:rFonts w:ascii="Wingdings" w:hAnsi="Wingdings" w:hint="default"/>
      </w:rPr>
    </w:lvl>
    <w:lvl w:ilvl="6" w:tplc="7430F0A0" w:tentative="1">
      <w:start w:val="1"/>
      <w:numFmt w:val="bullet"/>
      <w:lvlText w:val=""/>
      <w:lvlJc w:val="left"/>
      <w:pPr>
        <w:ind w:left="4680" w:hanging="360"/>
      </w:pPr>
      <w:rPr>
        <w:rFonts w:ascii="Symbol" w:hAnsi="Symbol" w:hint="default"/>
      </w:rPr>
    </w:lvl>
    <w:lvl w:ilvl="7" w:tplc="E2B6E4C8" w:tentative="1">
      <w:start w:val="1"/>
      <w:numFmt w:val="bullet"/>
      <w:lvlText w:val="o"/>
      <w:lvlJc w:val="left"/>
      <w:pPr>
        <w:ind w:left="5400" w:hanging="360"/>
      </w:pPr>
      <w:rPr>
        <w:rFonts w:ascii="Courier New" w:hAnsi="Courier New" w:cs="Courier New" w:hint="default"/>
      </w:rPr>
    </w:lvl>
    <w:lvl w:ilvl="8" w:tplc="479811A4" w:tentative="1">
      <w:start w:val="1"/>
      <w:numFmt w:val="bullet"/>
      <w:lvlText w:val=""/>
      <w:lvlJc w:val="left"/>
      <w:pPr>
        <w:ind w:left="6120" w:hanging="360"/>
      </w:pPr>
      <w:rPr>
        <w:rFonts w:ascii="Wingdings" w:hAnsi="Wingdings" w:hint="default"/>
      </w:rPr>
    </w:lvl>
  </w:abstractNum>
  <w:abstractNum w:abstractNumId="25">
    <w:nsid w:val="61D869FA"/>
    <w:multiLevelType w:val="hybridMultilevel"/>
    <w:tmpl w:val="BC8A9DDA"/>
    <w:lvl w:ilvl="0" w:tplc="7312F474">
      <w:start w:val="1"/>
      <w:numFmt w:val="decimal"/>
      <w:lvlText w:val="%1."/>
      <w:lvlJc w:val="left"/>
      <w:pPr>
        <w:ind w:left="346" w:hanging="360"/>
      </w:pPr>
      <w:rPr>
        <w:rFonts w:hint="default"/>
        <w:i w:val="0"/>
        <w:sz w:val="20"/>
      </w:rPr>
    </w:lvl>
    <w:lvl w:ilvl="1" w:tplc="DB32C726" w:tentative="1">
      <w:start w:val="1"/>
      <w:numFmt w:val="bullet"/>
      <w:lvlText w:val="o"/>
      <w:lvlJc w:val="left"/>
      <w:pPr>
        <w:ind w:left="1066" w:hanging="360"/>
      </w:pPr>
      <w:rPr>
        <w:rFonts w:ascii="Courier New" w:hAnsi="Courier New" w:cs="Courier New" w:hint="default"/>
      </w:rPr>
    </w:lvl>
    <w:lvl w:ilvl="2" w:tplc="AE766C0A" w:tentative="1">
      <w:start w:val="1"/>
      <w:numFmt w:val="bullet"/>
      <w:lvlText w:val=""/>
      <w:lvlJc w:val="left"/>
      <w:pPr>
        <w:ind w:left="1786" w:hanging="360"/>
      </w:pPr>
      <w:rPr>
        <w:rFonts w:ascii="Wingdings" w:hAnsi="Wingdings" w:hint="default"/>
      </w:rPr>
    </w:lvl>
    <w:lvl w:ilvl="3" w:tplc="123492F8" w:tentative="1">
      <w:start w:val="1"/>
      <w:numFmt w:val="bullet"/>
      <w:lvlText w:val=""/>
      <w:lvlJc w:val="left"/>
      <w:pPr>
        <w:ind w:left="2506" w:hanging="360"/>
      </w:pPr>
      <w:rPr>
        <w:rFonts w:ascii="Symbol" w:hAnsi="Symbol" w:hint="default"/>
      </w:rPr>
    </w:lvl>
    <w:lvl w:ilvl="4" w:tplc="C602B844" w:tentative="1">
      <w:start w:val="1"/>
      <w:numFmt w:val="bullet"/>
      <w:lvlText w:val="o"/>
      <w:lvlJc w:val="left"/>
      <w:pPr>
        <w:ind w:left="3226" w:hanging="360"/>
      </w:pPr>
      <w:rPr>
        <w:rFonts w:ascii="Courier New" w:hAnsi="Courier New" w:cs="Courier New" w:hint="default"/>
      </w:rPr>
    </w:lvl>
    <w:lvl w:ilvl="5" w:tplc="80B0631A" w:tentative="1">
      <w:start w:val="1"/>
      <w:numFmt w:val="bullet"/>
      <w:lvlText w:val=""/>
      <w:lvlJc w:val="left"/>
      <w:pPr>
        <w:ind w:left="3946" w:hanging="360"/>
      </w:pPr>
      <w:rPr>
        <w:rFonts w:ascii="Wingdings" w:hAnsi="Wingdings" w:hint="default"/>
      </w:rPr>
    </w:lvl>
    <w:lvl w:ilvl="6" w:tplc="63ECBFB8" w:tentative="1">
      <w:start w:val="1"/>
      <w:numFmt w:val="bullet"/>
      <w:lvlText w:val=""/>
      <w:lvlJc w:val="left"/>
      <w:pPr>
        <w:ind w:left="4666" w:hanging="360"/>
      </w:pPr>
      <w:rPr>
        <w:rFonts w:ascii="Symbol" w:hAnsi="Symbol" w:hint="default"/>
      </w:rPr>
    </w:lvl>
    <w:lvl w:ilvl="7" w:tplc="AED0F9FA" w:tentative="1">
      <w:start w:val="1"/>
      <w:numFmt w:val="bullet"/>
      <w:lvlText w:val="o"/>
      <w:lvlJc w:val="left"/>
      <w:pPr>
        <w:ind w:left="5386" w:hanging="360"/>
      </w:pPr>
      <w:rPr>
        <w:rFonts w:ascii="Courier New" w:hAnsi="Courier New" w:cs="Courier New" w:hint="default"/>
      </w:rPr>
    </w:lvl>
    <w:lvl w:ilvl="8" w:tplc="821860FC" w:tentative="1">
      <w:start w:val="1"/>
      <w:numFmt w:val="bullet"/>
      <w:lvlText w:val=""/>
      <w:lvlJc w:val="left"/>
      <w:pPr>
        <w:ind w:left="6106" w:hanging="360"/>
      </w:pPr>
      <w:rPr>
        <w:rFonts w:ascii="Wingdings" w:hAnsi="Wingdings" w:hint="default"/>
      </w:rPr>
    </w:lvl>
  </w:abstractNum>
  <w:abstractNum w:abstractNumId="26">
    <w:nsid w:val="61EA26A3"/>
    <w:multiLevelType w:val="hybridMultilevel"/>
    <w:tmpl w:val="F9003EF6"/>
    <w:lvl w:ilvl="0" w:tplc="78F239CE">
      <w:start w:val="1"/>
      <w:numFmt w:val="bullet"/>
      <w:lvlText w:val=""/>
      <w:lvlJc w:val="left"/>
      <w:pPr>
        <w:ind w:left="360" w:hanging="360"/>
      </w:pPr>
      <w:rPr>
        <w:rFonts w:ascii="Symbol" w:hAnsi="Symbol" w:hint="default"/>
      </w:rPr>
    </w:lvl>
    <w:lvl w:ilvl="1" w:tplc="1548AE96" w:tentative="1">
      <w:start w:val="1"/>
      <w:numFmt w:val="bullet"/>
      <w:lvlText w:val="o"/>
      <w:lvlJc w:val="left"/>
      <w:pPr>
        <w:ind w:left="1080" w:hanging="360"/>
      </w:pPr>
      <w:rPr>
        <w:rFonts w:ascii="Courier New" w:hAnsi="Courier New" w:cs="Courier New" w:hint="default"/>
      </w:rPr>
    </w:lvl>
    <w:lvl w:ilvl="2" w:tplc="41D272B6" w:tentative="1">
      <w:start w:val="1"/>
      <w:numFmt w:val="bullet"/>
      <w:lvlText w:val=""/>
      <w:lvlJc w:val="left"/>
      <w:pPr>
        <w:ind w:left="1800" w:hanging="360"/>
      </w:pPr>
      <w:rPr>
        <w:rFonts w:ascii="Wingdings" w:hAnsi="Wingdings" w:hint="default"/>
      </w:rPr>
    </w:lvl>
    <w:lvl w:ilvl="3" w:tplc="521425E2" w:tentative="1">
      <w:start w:val="1"/>
      <w:numFmt w:val="bullet"/>
      <w:lvlText w:val=""/>
      <w:lvlJc w:val="left"/>
      <w:pPr>
        <w:ind w:left="2520" w:hanging="360"/>
      </w:pPr>
      <w:rPr>
        <w:rFonts w:ascii="Symbol" w:hAnsi="Symbol" w:hint="default"/>
      </w:rPr>
    </w:lvl>
    <w:lvl w:ilvl="4" w:tplc="ADDC7D44" w:tentative="1">
      <w:start w:val="1"/>
      <w:numFmt w:val="bullet"/>
      <w:lvlText w:val="o"/>
      <w:lvlJc w:val="left"/>
      <w:pPr>
        <w:ind w:left="3240" w:hanging="360"/>
      </w:pPr>
      <w:rPr>
        <w:rFonts w:ascii="Courier New" w:hAnsi="Courier New" w:cs="Courier New" w:hint="default"/>
      </w:rPr>
    </w:lvl>
    <w:lvl w:ilvl="5" w:tplc="F606F240" w:tentative="1">
      <w:start w:val="1"/>
      <w:numFmt w:val="bullet"/>
      <w:lvlText w:val=""/>
      <w:lvlJc w:val="left"/>
      <w:pPr>
        <w:ind w:left="3960" w:hanging="360"/>
      </w:pPr>
      <w:rPr>
        <w:rFonts w:ascii="Wingdings" w:hAnsi="Wingdings" w:hint="default"/>
      </w:rPr>
    </w:lvl>
    <w:lvl w:ilvl="6" w:tplc="3B4C4314" w:tentative="1">
      <w:start w:val="1"/>
      <w:numFmt w:val="bullet"/>
      <w:lvlText w:val=""/>
      <w:lvlJc w:val="left"/>
      <w:pPr>
        <w:ind w:left="4680" w:hanging="360"/>
      </w:pPr>
      <w:rPr>
        <w:rFonts w:ascii="Symbol" w:hAnsi="Symbol" w:hint="default"/>
      </w:rPr>
    </w:lvl>
    <w:lvl w:ilvl="7" w:tplc="D668FFBA" w:tentative="1">
      <w:start w:val="1"/>
      <w:numFmt w:val="bullet"/>
      <w:lvlText w:val="o"/>
      <w:lvlJc w:val="left"/>
      <w:pPr>
        <w:ind w:left="5400" w:hanging="360"/>
      </w:pPr>
      <w:rPr>
        <w:rFonts w:ascii="Courier New" w:hAnsi="Courier New" w:cs="Courier New" w:hint="default"/>
      </w:rPr>
    </w:lvl>
    <w:lvl w:ilvl="8" w:tplc="450083F0" w:tentative="1">
      <w:start w:val="1"/>
      <w:numFmt w:val="bullet"/>
      <w:lvlText w:val=""/>
      <w:lvlJc w:val="left"/>
      <w:pPr>
        <w:ind w:left="6120" w:hanging="360"/>
      </w:pPr>
      <w:rPr>
        <w:rFonts w:ascii="Wingdings" w:hAnsi="Wingdings" w:hint="default"/>
      </w:rPr>
    </w:lvl>
  </w:abstractNum>
  <w:abstractNum w:abstractNumId="27">
    <w:nsid w:val="62343B7D"/>
    <w:multiLevelType w:val="hybridMultilevel"/>
    <w:tmpl w:val="0B2E29FE"/>
    <w:lvl w:ilvl="0" w:tplc="687CB5CE">
      <w:start w:val="1"/>
      <w:numFmt w:val="lowerLetter"/>
      <w:pStyle w:val="Style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A6618CD"/>
    <w:multiLevelType w:val="hybridMultilevel"/>
    <w:tmpl w:val="5A26E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E5A3355"/>
    <w:multiLevelType w:val="hybridMultilevel"/>
    <w:tmpl w:val="4BDCBCB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71AF20CC"/>
    <w:multiLevelType w:val="multilevel"/>
    <w:tmpl w:val="BAB093F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nsid w:val="720F7D3C"/>
    <w:multiLevelType w:val="hybridMultilevel"/>
    <w:tmpl w:val="743A42D8"/>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2">
    <w:nsid w:val="7523218B"/>
    <w:multiLevelType w:val="multilevel"/>
    <w:tmpl w:val="B3E86D00"/>
    <w:lvl w:ilvl="0">
      <w:start w:val="1"/>
      <w:numFmt w:val="upperLetter"/>
      <w:suff w:val="space"/>
      <w:lvlText w:val="SCHEDULE %1"/>
      <w:lvlJc w:val="center"/>
      <w:pPr>
        <w:ind w:left="5472" w:hanging="432"/>
      </w:pPr>
      <w:rPr>
        <w:rFonts w:hint="default"/>
        <w:color w:val="auto"/>
        <w:sz w:val="22"/>
        <w:szCs w:val="22"/>
      </w:rPr>
    </w:lvl>
    <w:lvl w:ilvl="1">
      <w:start w:val="1"/>
      <w:numFmt w:val="decimal"/>
      <w:lvlText w:val="%2."/>
      <w:lvlJc w:val="left"/>
      <w:pPr>
        <w:tabs>
          <w:tab w:val="num" w:pos="432"/>
        </w:tabs>
        <w:ind w:left="432" w:hanging="432"/>
      </w:pPr>
      <w:rPr>
        <w:rFonts w:hint="default"/>
      </w:rPr>
    </w:lvl>
    <w:lvl w:ilvl="2">
      <w:start w:val="1"/>
      <w:numFmt w:val="lowerLetter"/>
      <w:lvlText w:val="%3."/>
      <w:lvlJc w:val="left"/>
      <w:pPr>
        <w:tabs>
          <w:tab w:val="num" w:pos="864"/>
        </w:tabs>
        <w:ind w:left="864" w:hanging="432"/>
      </w:pPr>
      <w:rPr>
        <w:rFonts w:hint="default"/>
      </w:rPr>
    </w:lvl>
    <w:lvl w:ilvl="3">
      <w:start w:val="1"/>
      <w:numFmt w:val="lowerRoman"/>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b w:val="0"/>
        <w:i/>
      </w:rPr>
    </w:lvl>
    <w:lvl w:ilvl="5">
      <w:start w:val="1"/>
      <w:numFmt w:val="none"/>
      <w:lvlText w:val=""/>
      <w:lvlJc w:val="left"/>
      <w:pPr>
        <w:tabs>
          <w:tab w:val="num" w:pos="216"/>
        </w:tabs>
        <w:ind w:left="432" w:hanging="432"/>
      </w:pPr>
      <w:rPr>
        <w:rFonts w:hint="default"/>
      </w:rPr>
    </w:lvl>
    <w:lvl w:ilvl="6">
      <w:start w:val="1"/>
      <w:numFmt w:val="none"/>
      <w:lvlText w:val=""/>
      <w:lvlJc w:val="right"/>
      <w:pPr>
        <w:tabs>
          <w:tab w:val="num" w:pos="216"/>
        </w:tabs>
        <w:ind w:left="432" w:hanging="432"/>
      </w:pPr>
      <w:rPr>
        <w:rFonts w:hint="default"/>
      </w:rPr>
    </w:lvl>
    <w:lvl w:ilvl="7">
      <w:start w:val="1"/>
      <w:numFmt w:val="none"/>
      <w:lvlText w:val=""/>
      <w:lvlJc w:val="left"/>
      <w:pPr>
        <w:tabs>
          <w:tab w:val="num" w:pos="216"/>
        </w:tabs>
        <w:ind w:left="432" w:hanging="432"/>
      </w:pPr>
      <w:rPr>
        <w:rFonts w:hint="default"/>
      </w:rPr>
    </w:lvl>
    <w:lvl w:ilvl="8">
      <w:start w:val="1"/>
      <w:numFmt w:val="none"/>
      <w:lvlText w:val=""/>
      <w:lvlJc w:val="right"/>
      <w:pPr>
        <w:tabs>
          <w:tab w:val="num" w:pos="216"/>
        </w:tabs>
        <w:ind w:left="432" w:hanging="432"/>
      </w:pPr>
      <w:rPr>
        <w:rFonts w:hint="default"/>
      </w:rPr>
    </w:lvl>
  </w:abstractNum>
  <w:abstractNum w:abstractNumId="33">
    <w:nsid w:val="75383B28"/>
    <w:multiLevelType w:val="hybridMultilevel"/>
    <w:tmpl w:val="3FB4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F573B5"/>
    <w:multiLevelType w:val="hybridMultilevel"/>
    <w:tmpl w:val="CF3CC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9EF18CF"/>
    <w:multiLevelType w:val="hybridMultilevel"/>
    <w:tmpl w:val="FBD22A7E"/>
    <w:lvl w:ilvl="0" w:tplc="04090019">
      <w:start w:val="1"/>
      <w:numFmt w:val="lowerLetter"/>
      <w:lvlText w:val="%1."/>
      <w:lvlJc w:val="left"/>
      <w:pPr>
        <w:ind w:left="1080" w:hanging="360"/>
      </w:pPr>
    </w:lvl>
    <w:lvl w:ilvl="1" w:tplc="A62C6C8E">
      <w:start w:val="1"/>
      <w:numFmt w:val="decimal"/>
      <w:pStyle w:val="Level3"/>
      <w:lvlText w:val="(%2)"/>
      <w:lvlJc w:val="left"/>
      <w:pPr>
        <w:ind w:left="1620" w:hanging="360"/>
      </w:pPr>
      <w:rPr>
        <w:rFonts w:ascii="Times New Roman" w:eastAsia="Times New Roman" w:hAnsi="Times New Roman" w:cs="Times New Roman"/>
      </w:rPr>
    </w:lvl>
    <w:lvl w:ilvl="2" w:tplc="2572D000">
      <w:start w:val="1"/>
      <w:numFmt w:val="lowerRoman"/>
      <w:pStyle w:val="Level4"/>
      <w:lvlText w:val="%3."/>
      <w:lvlJc w:val="right"/>
      <w:pPr>
        <w:ind w:left="1548" w:hanging="288"/>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2D80D132">
      <w:start w:val="1"/>
      <w:numFmt w:val="lowerRoman"/>
      <w:lvlText w:val="%6."/>
      <w:lvlJc w:val="left"/>
      <w:pPr>
        <w:ind w:left="4860" w:hanging="360"/>
      </w:pPr>
      <w:rPr>
        <w:rFonts w:ascii="Times New Roman" w:eastAsia="Times New Roman" w:hAnsi="Times New Roman" w:cs="Times New Roman"/>
      </w:rPr>
    </w:lvl>
    <w:lvl w:ilvl="6" w:tplc="8ABA8EA2">
      <w:start w:val="2"/>
      <w:numFmt w:val="decimal"/>
      <w:lvlText w:val="%7"/>
      <w:lvlJc w:val="left"/>
      <w:pPr>
        <w:ind w:left="5400" w:hanging="360"/>
      </w:pPr>
      <w:rPr>
        <w:rFonts w:hint="default"/>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2"/>
  </w:num>
  <w:num w:numId="3">
    <w:abstractNumId w:val="9"/>
  </w:num>
  <w:num w:numId="4">
    <w:abstractNumId w:val="11"/>
  </w:num>
  <w:num w:numId="5">
    <w:abstractNumId w:val="8"/>
  </w:num>
  <w:num w:numId="6">
    <w:abstractNumId w:val="14"/>
  </w:num>
  <w:num w:numId="7">
    <w:abstractNumId w:val="30"/>
  </w:num>
  <w:num w:numId="8">
    <w:abstractNumId w:val="3"/>
  </w:num>
  <w:num w:numId="9">
    <w:abstractNumId w:val="7"/>
  </w:num>
  <w:num w:numId="10">
    <w:abstractNumId w:val="17"/>
  </w:num>
  <w:num w:numId="11">
    <w:abstractNumId w:val="21"/>
  </w:num>
  <w:num w:numId="12">
    <w:abstractNumId w:val="6"/>
  </w:num>
  <w:num w:numId="13">
    <w:abstractNumId w:val="35"/>
  </w:num>
  <w:num w:numId="14">
    <w:abstractNumId w:val="27"/>
  </w:num>
  <w:num w:numId="15">
    <w:abstractNumId w:val="0"/>
  </w:num>
  <w:num w:numId="16">
    <w:abstractNumId w:val="20"/>
  </w:num>
  <w:num w:numId="17">
    <w:abstractNumId w:val="5"/>
  </w:num>
  <w:num w:numId="18">
    <w:abstractNumId w:val="19"/>
  </w:num>
  <w:num w:numId="19">
    <w:abstractNumId w:val="1"/>
  </w:num>
  <w:num w:numId="20">
    <w:abstractNumId w:val="16"/>
  </w:num>
  <w:num w:numId="21">
    <w:abstractNumId w:val="15"/>
  </w:num>
  <w:num w:numId="22">
    <w:abstractNumId w:val="34"/>
  </w:num>
  <w:num w:numId="23">
    <w:abstractNumId w:val="28"/>
  </w:num>
  <w:num w:numId="24">
    <w:abstractNumId w:val="29"/>
  </w:num>
  <w:num w:numId="25">
    <w:abstractNumId w:val="23"/>
  </w:num>
  <w:num w:numId="26">
    <w:abstractNumId w:val="26"/>
  </w:num>
  <w:num w:numId="27">
    <w:abstractNumId w:val="24"/>
  </w:num>
  <w:num w:numId="28">
    <w:abstractNumId w:val="12"/>
  </w:num>
  <w:num w:numId="29">
    <w:abstractNumId w:val="4"/>
  </w:num>
  <w:num w:numId="30">
    <w:abstractNumId w:val="22"/>
  </w:num>
  <w:num w:numId="31">
    <w:abstractNumId w:val="25"/>
  </w:num>
  <w:num w:numId="32">
    <w:abstractNumId w:val="13"/>
  </w:num>
  <w:num w:numId="33">
    <w:abstractNumId w:val="14"/>
  </w:num>
  <w:num w:numId="34">
    <w:abstractNumId w:val="18"/>
  </w:num>
  <w:num w:numId="35">
    <w:abstractNumId w:val="31"/>
  </w:num>
  <w:num w:numId="36">
    <w:abstractNumId w:val="33"/>
  </w:num>
  <w:num w:numId="37">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28"/>
  <w:stylePaneSortMethod w:val="0000"/>
  <w:defaultTabStop w:val="720"/>
  <w:drawingGridHorizontalSpacing w:val="110"/>
  <w:displayHorizontalDrawingGridEvery w:val="2"/>
  <w:characterSpacingControl w:val="doNotCompress"/>
  <w:hdrShapeDefaults>
    <o:shapedefaults v:ext="edit" spidmax="97281"/>
  </w:hdrShapeDefaults>
  <w:footnotePr>
    <w:footnote w:id="-1"/>
    <w:footnote w:id="0"/>
  </w:footnotePr>
  <w:endnotePr>
    <w:numFmt w:val="decimal"/>
    <w:endnote w:id="-1"/>
    <w:endnote w:id="0"/>
  </w:endnotePr>
  <w:compat/>
  <w:rsids>
    <w:rsidRoot w:val="00944DF1"/>
    <w:rsid w:val="00000142"/>
    <w:rsid w:val="00001014"/>
    <w:rsid w:val="00001442"/>
    <w:rsid w:val="00001860"/>
    <w:rsid w:val="00001B08"/>
    <w:rsid w:val="0000250F"/>
    <w:rsid w:val="00003555"/>
    <w:rsid w:val="00003DF5"/>
    <w:rsid w:val="00004266"/>
    <w:rsid w:val="00004764"/>
    <w:rsid w:val="00004ABD"/>
    <w:rsid w:val="00004D2C"/>
    <w:rsid w:val="0000530C"/>
    <w:rsid w:val="00005DFF"/>
    <w:rsid w:val="00005F61"/>
    <w:rsid w:val="0000680C"/>
    <w:rsid w:val="00006AA7"/>
    <w:rsid w:val="00006DB2"/>
    <w:rsid w:val="00010054"/>
    <w:rsid w:val="00011186"/>
    <w:rsid w:val="000136A6"/>
    <w:rsid w:val="00013775"/>
    <w:rsid w:val="0001448D"/>
    <w:rsid w:val="00014A19"/>
    <w:rsid w:val="00014FB5"/>
    <w:rsid w:val="0001512B"/>
    <w:rsid w:val="00015E30"/>
    <w:rsid w:val="000161A4"/>
    <w:rsid w:val="00016260"/>
    <w:rsid w:val="000163C8"/>
    <w:rsid w:val="00016B87"/>
    <w:rsid w:val="00016FFB"/>
    <w:rsid w:val="000208E1"/>
    <w:rsid w:val="0002154C"/>
    <w:rsid w:val="00021781"/>
    <w:rsid w:val="00022623"/>
    <w:rsid w:val="00024057"/>
    <w:rsid w:val="00024D69"/>
    <w:rsid w:val="0002593A"/>
    <w:rsid w:val="00025DEA"/>
    <w:rsid w:val="000260B6"/>
    <w:rsid w:val="00026562"/>
    <w:rsid w:val="000267CA"/>
    <w:rsid w:val="00026958"/>
    <w:rsid w:val="00026EC9"/>
    <w:rsid w:val="00027D62"/>
    <w:rsid w:val="00030287"/>
    <w:rsid w:val="000305A1"/>
    <w:rsid w:val="00031033"/>
    <w:rsid w:val="0003187A"/>
    <w:rsid w:val="00031CFF"/>
    <w:rsid w:val="00033243"/>
    <w:rsid w:val="000333F9"/>
    <w:rsid w:val="00033CEE"/>
    <w:rsid w:val="00034837"/>
    <w:rsid w:val="000354D8"/>
    <w:rsid w:val="00037360"/>
    <w:rsid w:val="0003780B"/>
    <w:rsid w:val="00037F50"/>
    <w:rsid w:val="0004098D"/>
    <w:rsid w:val="00040C2A"/>
    <w:rsid w:val="000410A5"/>
    <w:rsid w:val="0004120A"/>
    <w:rsid w:val="00041443"/>
    <w:rsid w:val="00041CAE"/>
    <w:rsid w:val="000430D7"/>
    <w:rsid w:val="00043595"/>
    <w:rsid w:val="00043DA9"/>
    <w:rsid w:val="0004474C"/>
    <w:rsid w:val="000448DB"/>
    <w:rsid w:val="00045327"/>
    <w:rsid w:val="00045965"/>
    <w:rsid w:val="00045ABB"/>
    <w:rsid w:val="00046939"/>
    <w:rsid w:val="0004760B"/>
    <w:rsid w:val="00047CD3"/>
    <w:rsid w:val="00047EFE"/>
    <w:rsid w:val="00051217"/>
    <w:rsid w:val="00051D4E"/>
    <w:rsid w:val="0005324D"/>
    <w:rsid w:val="00053D69"/>
    <w:rsid w:val="00053DEB"/>
    <w:rsid w:val="000540AF"/>
    <w:rsid w:val="000545F0"/>
    <w:rsid w:val="00054748"/>
    <w:rsid w:val="00055090"/>
    <w:rsid w:val="000558F5"/>
    <w:rsid w:val="000564EB"/>
    <w:rsid w:val="0005692C"/>
    <w:rsid w:val="000569FC"/>
    <w:rsid w:val="00056A1F"/>
    <w:rsid w:val="00057544"/>
    <w:rsid w:val="00060222"/>
    <w:rsid w:val="00060D96"/>
    <w:rsid w:val="00060F8E"/>
    <w:rsid w:val="00061358"/>
    <w:rsid w:val="00061C19"/>
    <w:rsid w:val="00062935"/>
    <w:rsid w:val="0006374C"/>
    <w:rsid w:val="000640F6"/>
    <w:rsid w:val="0006452F"/>
    <w:rsid w:val="000658CF"/>
    <w:rsid w:val="0006639E"/>
    <w:rsid w:val="00066574"/>
    <w:rsid w:val="00066C85"/>
    <w:rsid w:val="00067070"/>
    <w:rsid w:val="00067E30"/>
    <w:rsid w:val="00070047"/>
    <w:rsid w:val="00070160"/>
    <w:rsid w:val="00071017"/>
    <w:rsid w:val="0007103F"/>
    <w:rsid w:val="00071597"/>
    <w:rsid w:val="00072B14"/>
    <w:rsid w:val="00072C5A"/>
    <w:rsid w:val="00074E98"/>
    <w:rsid w:val="000763EB"/>
    <w:rsid w:val="00076DC5"/>
    <w:rsid w:val="00076ED4"/>
    <w:rsid w:val="000775C7"/>
    <w:rsid w:val="000801BB"/>
    <w:rsid w:val="00080611"/>
    <w:rsid w:val="000808EF"/>
    <w:rsid w:val="00081C9D"/>
    <w:rsid w:val="00082039"/>
    <w:rsid w:val="00082227"/>
    <w:rsid w:val="000832C6"/>
    <w:rsid w:val="00083702"/>
    <w:rsid w:val="000848D6"/>
    <w:rsid w:val="00084BB7"/>
    <w:rsid w:val="00085BEF"/>
    <w:rsid w:val="000872CA"/>
    <w:rsid w:val="00087445"/>
    <w:rsid w:val="00087BF9"/>
    <w:rsid w:val="00090B23"/>
    <w:rsid w:val="00091159"/>
    <w:rsid w:val="00091771"/>
    <w:rsid w:val="000924DE"/>
    <w:rsid w:val="0009283F"/>
    <w:rsid w:val="00092FF9"/>
    <w:rsid w:val="00093C76"/>
    <w:rsid w:val="00093E1D"/>
    <w:rsid w:val="00094EE8"/>
    <w:rsid w:val="00095A2B"/>
    <w:rsid w:val="00096280"/>
    <w:rsid w:val="00096AA3"/>
    <w:rsid w:val="000A023D"/>
    <w:rsid w:val="000A0547"/>
    <w:rsid w:val="000A0ACA"/>
    <w:rsid w:val="000A1C40"/>
    <w:rsid w:val="000A1E65"/>
    <w:rsid w:val="000A20F6"/>
    <w:rsid w:val="000A25CA"/>
    <w:rsid w:val="000A2ADB"/>
    <w:rsid w:val="000A3F85"/>
    <w:rsid w:val="000A486C"/>
    <w:rsid w:val="000A50B1"/>
    <w:rsid w:val="000A56B1"/>
    <w:rsid w:val="000A5EE3"/>
    <w:rsid w:val="000A6590"/>
    <w:rsid w:val="000A6B77"/>
    <w:rsid w:val="000B0344"/>
    <w:rsid w:val="000B037F"/>
    <w:rsid w:val="000B1151"/>
    <w:rsid w:val="000B155C"/>
    <w:rsid w:val="000B1964"/>
    <w:rsid w:val="000B19D4"/>
    <w:rsid w:val="000B1B45"/>
    <w:rsid w:val="000B1D34"/>
    <w:rsid w:val="000B22E0"/>
    <w:rsid w:val="000B2812"/>
    <w:rsid w:val="000B3BB0"/>
    <w:rsid w:val="000B428A"/>
    <w:rsid w:val="000B4645"/>
    <w:rsid w:val="000B4A8A"/>
    <w:rsid w:val="000B4AFB"/>
    <w:rsid w:val="000B4E31"/>
    <w:rsid w:val="000B518C"/>
    <w:rsid w:val="000B5457"/>
    <w:rsid w:val="000B58DD"/>
    <w:rsid w:val="000B58EA"/>
    <w:rsid w:val="000B5E49"/>
    <w:rsid w:val="000B679D"/>
    <w:rsid w:val="000B6B6D"/>
    <w:rsid w:val="000B726E"/>
    <w:rsid w:val="000B72F5"/>
    <w:rsid w:val="000B7893"/>
    <w:rsid w:val="000B7AAA"/>
    <w:rsid w:val="000B7C0C"/>
    <w:rsid w:val="000C09DC"/>
    <w:rsid w:val="000C0AD7"/>
    <w:rsid w:val="000C1120"/>
    <w:rsid w:val="000C1722"/>
    <w:rsid w:val="000C19B4"/>
    <w:rsid w:val="000C22C4"/>
    <w:rsid w:val="000C26EB"/>
    <w:rsid w:val="000C29CD"/>
    <w:rsid w:val="000C3045"/>
    <w:rsid w:val="000C316A"/>
    <w:rsid w:val="000C3792"/>
    <w:rsid w:val="000C4143"/>
    <w:rsid w:val="000C460C"/>
    <w:rsid w:val="000C4741"/>
    <w:rsid w:val="000C593F"/>
    <w:rsid w:val="000C59FF"/>
    <w:rsid w:val="000C7301"/>
    <w:rsid w:val="000C7A04"/>
    <w:rsid w:val="000D016A"/>
    <w:rsid w:val="000D04B7"/>
    <w:rsid w:val="000D069C"/>
    <w:rsid w:val="000D09A0"/>
    <w:rsid w:val="000D0EE5"/>
    <w:rsid w:val="000D1502"/>
    <w:rsid w:val="000D2224"/>
    <w:rsid w:val="000D347D"/>
    <w:rsid w:val="000D4A39"/>
    <w:rsid w:val="000D504C"/>
    <w:rsid w:val="000D5560"/>
    <w:rsid w:val="000D5C43"/>
    <w:rsid w:val="000D653C"/>
    <w:rsid w:val="000D6A1D"/>
    <w:rsid w:val="000D6F45"/>
    <w:rsid w:val="000D7D3C"/>
    <w:rsid w:val="000E01E1"/>
    <w:rsid w:val="000E01FE"/>
    <w:rsid w:val="000E0357"/>
    <w:rsid w:val="000E0DB0"/>
    <w:rsid w:val="000E124A"/>
    <w:rsid w:val="000E1B29"/>
    <w:rsid w:val="000E46C5"/>
    <w:rsid w:val="000E5673"/>
    <w:rsid w:val="000E60C6"/>
    <w:rsid w:val="000E64F7"/>
    <w:rsid w:val="000E662B"/>
    <w:rsid w:val="000E6E56"/>
    <w:rsid w:val="000E71E4"/>
    <w:rsid w:val="000E721E"/>
    <w:rsid w:val="000F092F"/>
    <w:rsid w:val="000F0C84"/>
    <w:rsid w:val="000F2BC3"/>
    <w:rsid w:val="000F34B1"/>
    <w:rsid w:val="000F3CD0"/>
    <w:rsid w:val="000F3D8E"/>
    <w:rsid w:val="000F3EEE"/>
    <w:rsid w:val="000F541E"/>
    <w:rsid w:val="000F591F"/>
    <w:rsid w:val="000F67D0"/>
    <w:rsid w:val="000F67E6"/>
    <w:rsid w:val="000F6EBA"/>
    <w:rsid w:val="000F6EE8"/>
    <w:rsid w:val="000F78B9"/>
    <w:rsid w:val="00100AA6"/>
    <w:rsid w:val="00100EF7"/>
    <w:rsid w:val="00100F83"/>
    <w:rsid w:val="001013F4"/>
    <w:rsid w:val="00101C3E"/>
    <w:rsid w:val="0010335B"/>
    <w:rsid w:val="001033CE"/>
    <w:rsid w:val="001034EB"/>
    <w:rsid w:val="00103A5E"/>
    <w:rsid w:val="00103AF2"/>
    <w:rsid w:val="00103FE1"/>
    <w:rsid w:val="00104260"/>
    <w:rsid w:val="0010487E"/>
    <w:rsid w:val="00104AC5"/>
    <w:rsid w:val="00105453"/>
    <w:rsid w:val="00105D84"/>
    <w:rsid w:val="0010613B"/>
    <w:rsid w:val="00106325"/>
    <w:rsid w:val="00106D9E"/>
    <w:rsid w:val="001075EE"/>
    <w:rsid w:val="00110322"/>
    <w:rsid w:val="0011071A"/>
    <w:rsid w:val="00110750"/>
    <w:rsid w:val="00110AF9"/>
    <w:rsid w:val="00110CE1"/>
    <w:rsid w:val="00110F23"/>
    <w:rsid w:val="00111884"/>
    <w:rsid w:val="00112AA3"/>
    <w:rsid w:val="00112BC4"/>
    <w:rsid w:val="00112C98"/>
    <w:rsid w:val="00112CEC"/>
    <w:rsid w:val="00113063"/>
    <w:rsid w:val="001139DB"/>
    <w:rsid w:val="0011413E"/>
    <w:rsid w:val="0011415C"/>
    <w:rsid w:val="001150D5"/>
    <w:rsid w:val="0011514C"/>
    <w:rsid w:val="00116051"/>
    <w:rsid w:val="00116292"/>
    <w:rsid w:val="0011642B"/>
    <w:rsid w:val="00117876"/>
    <w:rsid w:val="001212B9"/>
    <w:rsid w:val="00121A50"/>
    <w:rsid w:val="00121DF4"/>
    <w:rsid w:val="00121F74"/>
    <w:rsid w:val="0012203F"/>
    <w:rsid w:val="00122578"/>
    <w:rsid w:val="00122C22"/>
    <w:rsid w:val="00123657"/>
    <w:rsid w:val="001246BB"/>
    <w:rsid w:val="00124856"/>
    <w:rsid w:val="0012592A"/>
    <w:rsid w:val="00126626"/>
    <w:rsid w:val="00126C80"/>
    <w:rsid w:val="00126D5E"/>
    <w:rsid w:val="00127AA6"/>
    <w:rsid w:val="001304CE"/>
    <w:rsid w:val="00131D2B"/>
    <w:rsid w:val="00132805"/>
    <w:rsid w:val="0013350E"/>
    <w:rsid w:val="001336C7"/>
    <w:rsid w:val="001342A6"/>
    <w:rsid w:val="00135CBC"/>
    <w:rsid w:val="00136F53"/>
    <w:rsid w:val="00137082"/>
    <w:rsid w:val="001372FA"/>
    <w:rsid w:val="0013786D"/>
    <w:rsid w:val="001379B3"/>
    <w:rsid w:val="00140716"/>
    <w:rsid w:val="001407D6"/>
    <w:rsid w:val="00140B07"/>
    <w:rsid w:val="00141166"/>
    <w:rsid w:val="00141269"/>
    <w:rsid w:val="00141638"/>
    <w:rsid w:val="001422F2"/>
    <w:rsid w:val="001426DA"/>
    <w:rsid w:val="0014272A"/>
    <w:rsid w:val="00143A70"/>
    <w:rsid w:val="001441CF"/>
    <w:rsid w:val="00144699"/>
    <w:rsid w:val="001449F5"/>
    <w:rsid w:val="0014547F"/>
    <w:rsid w:val="00145591"/>
    <w:rsid w:val="001464FD"/>
    <w:rsid w:val="00146EB2"/>
    <w:rsid w:val="00147C34"/>
    <w:rsid w:val="00147DAE"/>
    <w:rsid w:val="00150A42"/>
    <w:rsid w:val="00150ADC"/>
    <w:rsid w:val="00151711"/>
    <w:rsid w:val="0015188B"/>
    <w:rsid w:val="00151C2B"/>
    <w:rsid w:val="0015237A"/>
    <w:rsid w:val="0015289A"/>
    <w:rsid w:val="00152BF9"/>
    <w:rsid w:val="00152C9F"/>
    <w:rsid w:val="0015437A"/>
    <w:rsid w:val="00154AD3"/>
    <w:rsid w:val="0015514D"/>
    <w:rsid w:val="001552D5"/>
    <w:rsid w:val="00155973"/>
    <w:rsid w:val="00155DB0"/>
    <w:rsid w:val="001562D3"/>
    <w:rsid w:val="0015696B"/>
    <w:rsid w:val="0015777A"/>
    <w:rsid w:val="001577A5"/>
    <w:rsid w:val="00157BCF"/>
    <w:rsid w:val="00157C39"/>
    <w:rsid w:val="00161A02"/>
    <w:rsid w:val="00162E4A"/>
    <w:rsid w:val="00163E4B"/>
    <w:rsid w:val="0016494E"/>
    <w:rsid w:val="00164DA0"/>
    <w:rsid w:val="00166133"/>
    <w:rsid w:val="00166675"/>
    <w:rsid w:val="00166949"/>
    <w:rsid w:val="00167182"/>
    <w:rsid w:val="00167644"/>
    <w:rsid w:val="001679E0"/>
    <w:rsid w:val="001700D4"/>
    <w:rsid w:val="00171576"/>
    <w:rsid w:val="00171751"/>
    <w:rsid w:val="001718E0"/>
    <w:rsid w:val="00171E1A"/>
    <w:rsid w:val="00172379"/>
    <w:rsid w:val="001739EF"/>
    <w:rsid w:val="00173D56"/>
    <w:rsid w:val="00175964"/>
    <w:rsid w:val="00175A31"/>
    <w:rsid w:val="00176F49"/>
    <w:rsid w:val="00177CA3"/>
    <w:rsid w:val="00180EE2"/>
    <w:rsid w:val="001810B8"/>
    <w:rsid w:val="0018128B"/>
    <w:rsid w:val="001824CD"/>
    <w:rsid w:val="00182F2F"/>
    <w:rsid w:val="00183553"/>
    <w:rsid w:val="001840A6"/>
    <w:rsid w:val="001864B8"/>
    <w:rsid w:val="00186908"/>
    <w:rsid w:val="00186B79"/>
    <w:rsid w:val="001873A7"/>
    <w:rsid w:val="00187524"/>
    <w:rsid w:val="00187C64"/>
    <w:rsid w:val="00190AD3"/>
    <w:rsid w:val="00190FB7"/>
    <w:rsid w:val="00191BD4"/>
    <w:rsid w:val="00191FE8"/>
    <w:rsid w:val="0019242C"/>
    <w:rsid w:val="00192598"/>
    <w:rsid w:val="001928D6"/>
    <w:rsid w:val="00193C13"/>
    <w:rsid w:val="00194A85"/>
    <w:rsid w:val="00195FB8"/>
    <w:rsid w:val="001960B3"/>
    <w:rsid w:val="00196920"/>
    <w:rsid w:val="00197ABE"/>
    <w:rsid w:val="001A05D8"/>
    <w:rsid w:val="001A1554"/>
    <w:rsid w:val="001A167B"/>
    <w:rsid w:val="001A26EF"/>
    <w:rsid w:val="001A3BCA"/>
    <w:rsid w:val="001A4A15"/>
    <w:rsid w:val="001A4FD5"/>
    <w:rsid w:val="001A5023"/>
    <w:rsid w:val="001A5782"/>
    <w:rsid w:val="001A5F55"/>
    <w:rsid w:val="001A633D"/>
    <w:rsid w:val="001B0F6D"/>
    <w:rsid w:val="001B18A6"/>
    <w:rsid w:val="001B27F5"/>
    <w:rsid w:val="001B2D61"/>
    <w:rsid w:val="001B3438"/>
    <w:rsid w:val="001B3A92"/>
    <w:rsid w:val="001B3CFB"/>
    <w:rsid w:val="001B4171"/>
    <w:rsid w:val="001B41DA"/>
    <w:rsid w:val="001B450A"/>
    <w:rsid w:val="001B455B"/>
    <w:rsid w:val="001B5883"/>
    <w:rsid w:val="001B5A1C"/>
    <w:rsid w:val="001B61AE"/>
    <w:rsid w:val="001B7692"/>
    <w:rsid w:val="001C0F1E"/>
    <w:rsid w:val="001C1843"/>
    <w:rsid w:val="001C1F39"/>
    <w:rsid w:val="001C25E5"/>
    <w:rsid w:val="001C282C"/>
    <w:rsid w:val="001C2B09"/>
    <w:rsid w:val="001C31D3"/>
    <w:rsid w:val="001C3850"/>
    <w:rsid w:val="001C41C3"/>
    <w:rsid w:val="001C4F88"/>
    <w:rsid w:val="001C56B2"/>
    <w:rsid w:val="001C5A15"/>
    <w:rsid w:val="001C5A38"/>
    <w:rsid w:val="001C5F01"/>
    <w:rsid w:val="001C6A89"/>
    <w:rsid w:val="001C715B"/>
    <w:rsid w:val="001D05A1"/>
    <w:rsid w:val="001D0870"/>
    <w:rsid w:val="001D1167"/>
    <w:rsid w:val="001D17EB"/>
    <w:rsid w:val="001D23CD"/>
    <w:rsid w:val="001D2527"/>
    <w:rsid w:val="001D2B34"/>
    <w:rsid w:val="001D2EB8"/>
    <w:rsid w:val="001D2F3C"/>
    <w:rsid w:val="001D37AD"/>
    <w:rsid w:val="001D40EF"/>
    <w:rsid w:val="001D4591"/>
    <w:rsid w:val="001D45BE"/>
    <w:rsid w:val="001D4AC7"/>
    <w:rsid w:val="001D57F2"/>
    <w:rsid w:val="001D5A87"/>
    <w:rsid w:val="001D605A"/>
    <w:rsid w:val="001D639A"/>
    <w:rsid w:val="001D65F9"/>
    <w:rsid w:val="001D6F26"/>
    <w:rsid w:val="001D710D"/>
    <w:rsid w:val="001D7146"/>
    <w:rsid w:val="001D726F"/>
    <w:rsid w:val="001D7881"/>
    <w:rsid w:val="001E103B"/>
    <w:rsid w:val="001E1439"/>
    <w:rsid w:val="001E16F0"/>
    <w:rsid w:val="001E346C"/>
    <w:rsid w:val="001E3F99"/>
    <w:rsid w:val="001E4393"/>
    <w:rsid w:val="001E536E"/>
    <w:rsid w:val="001E5C78"/>
    <w:rsid w:val="001E671C"/>
    <w:rsid w:val="001E6A7B"/>
    <w:rsid w:val="001E72DD"/>
    <w:rsid w:val="001E73B1"/>
    <w:rsid w:val="001F0C1E"/>
    <w:rsid w:val="001F0CD0"/>
    <w:rsid w:val="001F0D91"/>
    <w:rsid w:val="001F1431"/>
    <w:rsid w:val="001F29AC"/>
    <w:rsid w:val="001F2D00"/>
    <w:rsid w:val="001F302A"/>
    <w:rsid w:val="001F3816"/>
    <w:rsid w:val="001F42BD"/>
    <w:rsid w:val="001F4684"/>
    <w:rsid w:val="001F4C73"/>
    <w:rsid w:val="001F5B25"/>
    <w:rsid w:val="001F5DF4"/>
    <w:rsid w:val="001F613A"/>
    <w:rsid w:val="001F6D71"/>
    <w:rsid w:val="001F772E"/>
    <w:rsid w:val="001F785B"/>
    <w:rsid w:val="001F7B6E"/>
    <w:rsid w:val="00201D67"/>
    <w:rsid w:val="00202E5A"/>
    <w:rsid w:val="00202F27"/>
    <w:rsid w:val="002040DF"/>
    <w:rsid w:val="00204195"/>
    <w:rsid w:val="0020429A"/>
    <w:rsid w:val="00204A33"/>
    <w:rsid w:val="00204ACD"/>
    <w:rsid w:val="00204CF7"/>
    <w:rsid w:val="00206C48"/>
    <w:rsid w:val="0020790E"/>
    <w:rsid w:val="002103B9"/>
    <w:rsid w:val="00210F6D"/>
    <w:rsid w:val="002131E0"/>
    <w:rsid w:val="002135C4"/>
    <w:rsid w:val="002143E0"/>
    <w:rsid w:val="00214789"/>
    <w:rsid w:val="0021510A"/>
    <w:rsid w:val="002169B4"/>
    <w:rsid w:val="002169F4"/>
    <w:rsid w:val="00216BBA"/>
    <w:rsid w:val="00217DB5"/>
    <w:rsid w:val="00217DFE"/>
    <w:rsid w:val="00221159"/>
    <w:rsid w:val="002211CF"/>
    <w:rsid w:val="002213BE"/>
    <w:rsid w:val="00221624"/>
    <w:rsid w:val="00221B07"/>
    <w:rsid w:val="00222D9C"/>
    <w:rsid w:val="0022304D"/>
    <w:rsid w:val="0022352E"/>
    <w:rsid w:val="00223C7B"/>
    <w:rsid w:val="00224294"/>
    <w:rsid w:val="0022441C"/>
    <w:rsid w:val="0022448F"/>
    <w:rsid w:val="00224610"/>
    <w:rsid w:val="002246CF"/>
    <w:rsid w:val="00224BDF"/>
    <w:rsid w:val="00224FB5"/>
    <w:rsid w:val="00225FDE"/>
    <w:rsid w:val="00226349"/>
    <w:rsid w:val="00226CF6"/>
    <w:rsid w:val="00227C36"/>
    <w:rsid w:val="00230793"/>
    <w:rsid w:val="00231315"/>
    <w:rsid w:val="00231CA9"/>
    <w:rsid w:val="00231DED"/>
    <w:rsid w:val="0023205B"/>
    <w:rsid w:val="002322BC"/>
    <w:rsid w:val="002324C0"/>
    <w:rsid w:val="00232B32"/>
    <w:rsid w:val="002356ED"/>
    <w:rsid w:val="002357E0"/>
    <w:rsid w:val="002359B0"/>
    <w:rsid w:val="00235CE7"/>
    <w:rsid w:val="0023654B"/>
    <w:rsid w:val="002367C4"/>
    <w:rsid w:val="0023688E"/>
    <w:rsid w:val="002368E3"/>
    <w:rsid w:val="00236BB5"/>
    <w:rsid w:val="00237216"/>
    <w:rsid w:val="00237D10"/>
    <w:rsid w:val="00240E32"/>
    <w:rsid w:val="00240F1B"/>
    <w:rsid w:val="00241052"/>
    <w:rsid w:val="002410EF"/>
    <w:rsid w:val="0024204F"/>
    <w:rsid w:val="00242486"/>
    <w:rsid w:val="00242A1D"/>
    <w:rsid w:val="00242EC5"/>
    <w:rsid w:val="002434DC"/>
    <w:rsid w:val="00243B2D"/>
    <w:rsid w:val="00243DFA"/>
    <w:rsid w:val="00243E2C"/>
    <w:rsid w:val="002440B9"/>
    <w:rsid w:val="00244AEC"/>
    <w:rsid w:val="002451B8"/>
    <w:rsid w:val="00246209"/>
    <w:rsid w:val="00247EBC"/>
    <w:rsid w:val="002501F5"/>
    <w:rsid w:val="0025103E"/>
    <w:rsid w:val="00251527"/>
    <w:rsid w:val="002515BF"/>
    <w:rsid w:val="00251AA8"/>
    <w:rsid w:val="00251AE8"/>
    <w:rsid w:val="002528E0"/>
    <w:rsid w:val="00252A8F"/>
    <w:rsid w:val="00252D30"/>
    <w:rsid w:val="00253038"/>
    <w:rsid w:val="00253DCC"/>
    <w:rsid w:val="0025551C"/>
    <w:rsid w:val="00255C7F"/>
    <w:rsid w:val="0025640E"/>
    <w:rsid w:val="00256663"/>
    <w:rsid w:val="00256898"/>
    <w:rsid w:val="0025764F"/>
    <w:rsid w:val="00257B1C"/>
    <w:rsid w:val="00260643"/>
    <w:rsid w:val="002608BE"/>
    <w:rsid w:val="002618A9"/>
    <w:rsid w:val="00262749"/>
    <w:rsid w:val="00262CEE"/>
    <w:rsid w:val="00262DA6"/>
    <w:rsid w:val="00262E85"/>
    <w:rsid w:val="002631A5"/>
    <w:rsid w:val="00263FD2"/>
    <w:rsid w:val="0026504E"/>
    <w:rsid w:val="002652B7"/>
    <w:rsid w:val="002654F5"/>
    <w:rsid w:val="00265691"/>
    <w:rsid w:val="002657F6"/>
    <w:rsid w:val="00265AFB"/>
    <w:rsid w:val="00266540"/>
    <w:rsid w:val="00267492"/>
    <w:rsid w:val="00270BB8"/>
    <w:rsid w:val="00270F55"/>
    <w:rsid w:val="002713C4"/>
    <w:rsid w:val="00271963"/>
    <w:rsid w:val="002720A1"/>
    <w:rsid w:val="00272FD9"/>
    <w:rsid w:val="00274779"/>
    <w:rsid w:val="00274AEA"/>
    <w:rsid w:val="00274FEA"/>
    <w:rsid w:val="0027582E"/>
    <w:rsid w:val="00275AA4"/>
    <w:rsid w:val="00276311"/>
    <w:rsid w:val="00276654"/>
    <w:rsid w:val="00276F85"/>
    <w:rsid w:val="00277FCF"/>
    <w:rsid w:val="002816BE"/>
    <w:rsid w:val="00281815"/>
    <w:rsid w:val="002818E2"/>
    <w:rsid w:val="00282B74"/>
    <w:rsid w:val="00282E58"/>
    <w:rsid w:val="0028470B"/>
    <w:rsid w:val="00284A81"/>
    <w:rsid w:val="002851AD"/>
    <w:rsid w:val="002852FF"/>
    <w:rsid w:val="00285D2B"/>
    <w:rsid w:val="0028679D"/>
    <w:rsid w:val="00287376"/>
    <w:rsid w:val="002879C3"/>
    <w:rsid w:val="00290DAC"/>
    <w:rsid w:val="00291220"/>
    <w:rsid w:val="002912BC"/>
    <w:rsid w:val="00291343"/>
    <w:rsid w:val="00291456"/>
    <w:rsid w:val="00291C9F"/>
    <w:rsid w:val="00291D9A"/>
    <w:rsid w:val="00292D34"/>
    <w:rsid w:val="002931DD"/>
    <w:rsid w:val="00293802"/>
    <w:rsid w:val="00294153"/>
    <w:rsid w:val="00294336"/>
    <w:rsid w:val="002943EC"/>
    <w:rsid w:val="0029451F"/>
    <w:rsid w:val="00294D11"/>
    <w:rsid w:val="00294FC6"/>
    <w:rsid w:val="002954CC"/>
    <w:rsid w:val="002966C0"/>
    <w:rsid w:val="0029675E"/>
    <w:rsid w:val="002968BD"/>
    <w:rsid w:val="002A01BD"/>
    <w:rsid w:val="002A0A37"/>
    <w:rsid w:val="002A0E31"/>
    <w:rsid w:val="002A1C33"/>
    <w:rsid w:val="002A20A2"/>
    <w:rsid w:val="002A2134"/>
    <w:rsid w:val="002A2847"/>
    <w:rsid w:val="002A28C4"/>
    <w:rsid w:val="002A3C37"/>
    <w:rsid w:val="002A3E28"/>
    <w:rsid w:val="002A4894"/>
    <w:rsid w:val="002A4BCC"/>
    <w:rsid w:val="002A5F05"/>
    <w:rsid w:val="002A60FF"/>
    <w:rsid w:val="002A6896"/>
    <w:rsid w:val="002A6F54"/>
    <w:rsid w:val="002A7606"/>
    <w:rsid w:val="002A7C61"/>
    <w:rsid w:val="002A7EE2"/>
    <w:rsid w:val="002B02CC"/>
    <w:rsid w:val="002B07D6"/>
    <w:rsid w:val="002B1294"/>
    <w:rsid w:val="002B1E33"/>
    <w:rsid w:val="002B1ECA"/>
    <w:rsid w:val="002B239C"/>
    <w:rsid w:val="002B23D1"/>
    <w:rsid w:val="002B2767"/>
    <w:rsid w:val="002B2874"/>
    <w:rsid w:val="002B2DBC"/>
    <w:rsid w:val="002B36A1"/>
    <w:rsid w:val="002B3FD6"/>
    <w:rsid w:val="002B47E2"/>
    <w:rsid w:val="002B4922"/>
    <w:rsid w:val="002B62E5"/>
    <w:rsid w:val="002B63C5"/>
    <w:rsid w:val="002B7C36"/>
    <w:rsid w:val="002C00D3"/>
    <w:rsid w:val="002C20C6"/>
    <w:rsid w:val="002C2AF1"/>
    <w:rsid w:val="002C2F9D"/>
    <w:rsid w:val="002C3528"/>
    <w:rsid w:val="002C3A75"/>
    <w:rsid w:val="002C402A"/>
    <w:rsid w:val="002C40A7"/>
    <w:rsid w:val="002C4705"/>
    <w:rsid w:val="002C4B1B"/>
    <w:rsid w:val="002C5090"/>
    <w:rsid w:val="002C566C"/>
    <w:rsid w:val="002C577A"/>
    <w:rsid w:val="002C5C86"/>
    <w:rsid w:val="002C5DEA"/>
    <w:rsid w:val="002C60B8"/>
    <w:rsid w:val="002C6250"/>
    <w:rsid w:val="002C63F3"/>
    <w:rsid w:val="002C6F37"/>
    <w:rsid w:val="002C70D1"/>
    <w:rsid w:val="002C7379"/>
    <w:rsid w:val="002C7648"/>
    <w:rsid w:val="002D19CE"/>
    <w:rsid w:val="002D2378"/>
    <w:rsid w:val="002D28E1"/>
    <w:rsid w:val="002D3DB6"/>
    <w:rsid w:val="002D4765"/>
    <w:rsid w:val="002D5136"/>
    <w:rsid w:val="002D5371"/>
    <w:rsid w:val="002D56EB"/>
    <w:rsid w:val="002D57A7"/>
    <w:rsid w:val="002D5C89"/>
    <w:rsid w:val="002D6040"/>
    <w:rsid w:val="002D614E"/>
    <w:rsid w:val="002D6C95"/>
    <w:rsid w:val="002D7243"/>
    <w:rsid w:val="002D77D8"/>
    <w:rsid w:val="002E0314"/>
    <w:rsid w:val="002E0DEB"/>
    <w:rsid w:val="002E0F14"/>
    <w:rsid w:val="002E12B0"/>
    <w:rsid w:val="002E14AF"/>
    <w:rsid w:val="002E1ABB"/>
    <w:rsid w:val="002E23EE"/>
    <w:rsid w:val="002E2732"/>
    <w:rsid w:val="002E2B15"/>
    <w:rsid w:val="002E32B1"/>
    <w:rsid w:val="002E365B"/>
    <w:rsid w:val="002E46E9"/>
    <w:rsid w:val="002E47DD"/>
    <w:rsid w:val="002E4B9B"/>
    <w:rsid w:val="002E581A"/>
    <w:rsid w:val="002E5C92"/>
    <w:rsid w:val="002E6320"/>
    <w:rsid w:val="002E70BD"/>
    <w:rsid w:val="002E7814"/>
    <w:rsid w:val="002E7BE0"/>
    <w:rsid w:val="002F0144"/>
    <w:rsid w:val="002F0E22"/>
    <w:rsid w:val="002F11CE"/>
    <w:rsid w:val="002F137B"/>
    <w:rsid w:val="002F338A"/>
    <w:rsid w:val="002F33DE"/>
    <w:rsid w:val="002F3FE3"/>
    <w:rsid w:val="002F47B5"/>
    <w:rsid w:val="002F47E7"/>
    <w:rsid w:val="002F4F5F"/>
    <w:rsid w:val="002F5731"/>
    <w:rsid w:val="002F5FDF"/>
    <w:rsid w:val="002F627C"/>
    <w:rsid w:val="002F634F"/>
    <w:rsid w:val="002F6EB6"/>
    <w:rsid w:val="002F768D"/>
    <w:rsid w:val="003002E6"/>
    <w:rsid w:val="003002ED"/>
    <w:rsid w:val="00300309"/>
    <w:rsid w:val="00300B7F"/>
    <w:rsid w:val="00300D3A"/>
    <w:rsid w:val="003018C4"/>
    <w:rsid w:val="00301A21"/>
    <w:rsid w:val="00301C9E"/>
    <w:rsid w:val="0030203E"/>
    <w:rsid w:val="0030284C"/>
    <w:rsid w:val="00302A6D"/>
    <w:rsid w:val="00302C39"/>
    <w:rsid w:val="00302E5E"/>
    <w:rsid w:val="00303866"/>
    <w:rsid w:val="00303A00"/>
    <w:rsid w:val="0030466A"/>
    <w:rsid w:val="00304CF9"/>
    <w:rsid w:val="00304E5C"/>
    <w:rsid w:val="00305CBF"/>
    <w:rsid w:val="00306282"/>
    <w:rsid w:val="00306496"/>
    <w:rsid w:val="00306BAF"/>
    <w:rsid w:val="00306FE9"/>
    <w:rsid w:val="00310115"/>
    <w:rsid w:val="00310B40"/>
    <w:rsid w:val="00311D58"/>
    <w:rsid w:val="00312087"/>
    <w:rsid w:val="0031234F"/>
    <w:rsid w:val="00313FEC"/>
    <w:rsid w:val="00314533"/>
    <w:rsid w:val="0031483E"/>
    <w:rsid w:val="00314C78"/>
    <w:rsid w:val="00316091"/>
    <w:rsid w:val="00317E2E"/>
    <w:rsid w:val="00320086"/>
    <w:rsid w:val="00320460"/>
    <w:rsid w:val="003209C6"/>
    <w:rsid w:val="00321CEE"/>
    <w:rsid w:val="00321EEF"/>
    <w:rsid w:val="003224E4"/>
    <w:rsid w:val="0032250F"/>
    <w:rsid w:val="00323414"/>
    <w:rsid w:val="003234FE"/>
    <w:rsid w:val="003245A0"/>
    <w:rsid w:val="0032475E"/>
    <w:rsid w:val="003248BA"/>
    <w:rsid w:val="00324B71"/>
    <w:rsid w:val="00324F11"/>
    <w:rsid w:val="00325AAE"/>
    <w:rsid w:val="00325EB8"/>
    <w:rsid w:val="003261E7"/>
    <w:rsid w:val="003261FF"/>
    <w:rsid w:val="00326B96"/>
    <w:rsid w:val="00326F3A"/>
    <w:rsid w:val="003278E8"/>
    <w:rsid w:val="00327903"/>
    <w:rsid w:val="00327D20"/>
    <w:rsid w:val="003307DB"/>
    <w:rsid w:val="00330A91"/>
    <w:rsid w:val="00330DEB"/>
    <w:rsid w:val="003319DB"/>
    <w:rsid w:val="0033203B"/>
    <w:rsid w:val="00332FDC"/>
    <w:rsid w:val="00334A53"/>
    <w:rsid w:val="003356E8"/>
    <w:rsid w:val="00335870"/>
    <w:rsid w:val="00335B76"/>
    <w:rsid w:val="00335CFD"/>
    <w:rsid w:val="0033652C"/>
    <w:rsid w:val="00337044"/>
    <w:rsid w:val="00337397"/>
    <w:rsid w:val="00337801"/>
    <w:rsid w:val="003378F8"/>
    <w:rsid w:val="003378FB"/>
    <w:rsid w:val="00340509"/>
    <w:rsid w:val="00342B59"/>
    <w:rsid w:val="00342CCC"/>
    <w:rsid w:val="00342F56"/>
    <w:rsid w:val="003433BB"/>
    <w:rsid w:val="00344166"/>
    <w:rsid w:val="0034428C"/>
    <w:rsid w:val="00344B89"/>
    <w:rsid w:val="00344C10"/>
    <w:rsid w:val="00344C82"/>
    <w:rsid w:val="003452A8"/>
    <w:rsid w:val="00345CBA"/>
    <w:rsid w:val="0034635B"/>
    <w:rsid w:val="00346957"/>
    <w:rsid w:val="00346B4B"/>
    <w:rsid w:val="00346FCA"/>
    <w:rsid w:val="003479D2"/>
    <w:rsid w:val="003531D6"/>
    <w:rsid w:val="00353682"/>
    <w:rsid w:val="00353BBE"/>
    <w:rsid w:val="00353DC6"/>
    <w:rsid w:val="00353E6E"/>
    <w:rsid w:val="00355FFE"/>
    <w:rsid w:val="00357092"/>
    <w:rsid w:val="003574BB"/>
    <w:rsid w:val="00357BBB"/>
    <w:rsid w:val="00360230"/>
    <w:rsid w:val="00360A99"/>
    <w:rsid w:val="003625BD"/>
    <w:rsid w:val="003626C8"/>
    <w:rsid w:val="003628E6"/>
    <w:rsid w:val="00362E2D"/>
    <w:rsid w:val="00363A76"/>
    <w:rsid w:val="00363B37"/>
    <w:rsid w:val="00363E78"/>
    <w:rsid w:val="003643FE"/>
    <w:rsid w:val="00364560"/>
    <w:rsid w:val="0036515D"/>
    <w:rsid w:val="00366351"/>
    <w:rsid w:val="00366AAE"/>
    <w:rsid w:val="00370B51"/>
    <w:rsid w:val="00371D31"/>
    <w:rsid w:val="003726BC"/>
    <w:rsid w:val="00372726"/>
    <w:rsid w:val="0037321E"/>
    <w:rsid w:val="0037375D"/>
    <w:rsid w:val="00374296"/>
    <w:rsid w:val="003748EB"/>
    <w:rsid w:val="00375286"/>
    <w:rsid w:val="003755BB"/>
    <w:rsid w:val="00375C35"/>
    <w:rsid w:val="00376FC0"/>
    <w:rsid w:val="00377A5D"/>
    <w:rsid w:val="00377AD8"/>
    <w:rsid w:val="00380A80"/>
    <w:rsid w:val="00380B5E"/>
    <w:rsid w:val="00380C11"/>
    <w:rsid w:val="00380EE9"/>
    <w:rsid w:val="00380FF3"/>
    <w:rsid w:val="00383079"/>
    <w:rsid w:val="0038448A"/>
    <w:rsid w:val="00384998"/>
    <w:rsid w:val="00384F5B"/>
    <w:rsid w:val="003859BF"/>
    <w:rsid w:val="0038660E"/>
    <w:rsid w:val="00386CF0"/>
    <w:rsid w:val="003870DE"/>
    <w:rsid w:val="00387CA0"/>
    <w:rsid w:val="003907E2"/>
    <w:rsid w:val="00391AD2"/>
    <w:rsid w:val="00391B86"/>
    <w:rsid w:val="00391D42"/>
    <w:rsid w:val="00392A15"/>
    <w:rsid w:val="003932DF"/>
    <w:rsid w:val="003936CA"/>
    <w:rsid w:val="00393AFB"/>
    <w:rsid w:val="0039432C"/>
    <w:rsid w:val="003945DB"/>
    <w:rsid w:val="003948C2"/>
    <w:rsid w:val="00395B1F"/>
    <w:rsid w:val="00395DE4"/>
    <w:rsid w:val="00396287"/>
    <w:rsid w:val="0039738E"/>
    <w:rsid w:val="003A0955"/>
    <w:rsid w:val="003A13E6"/>
    <w:rsid w:val="003A2804"/>
    <w:rsid w:val="003A2AD3"/>
    <w:rsid w:val="003A32E0"/>
    <w:rsid w:val="003A3357"/>
    <w:rsid w:val="003A3BDA"/>
    <w:rsid w:val="003A4665"/>
    <w:rsid w:val="003A4E75"/>
    <w:rsid w:val="003A5B5A"/>
    <w:rsid w:val="003A6B2F"/>
    <w:rsid w:val="003A6F7C"/>
    <w:rsid w:val="003A7226"/>
    <w:rsid w:val="003A7611"/>
    <w:rsid w:val="003A7FB6"/>
    <w:rsid w:val="003A7FFA"/>
    <w:rsid w:val="003B0DE7"/>
    <w:rsid w:val="003B0E89"/>
    <w:rsid w:val="003B10D3"/>
    <w:rsid w:val="003B1256"/>
    <w:rsid w:val="003B13DD"/>
    <w:rsid w:val="003B1F8D"/>
    <w:rsid w:val="003B20E9"/>
    <w:rsid w:val="003B238B"/>
    <w:rsid w:val="003B284B"/>
    <w:rsid w:val="003B28B0"/>
    <w:rsid w:val="003B2C76"/>
    <w:rsid w:val="003B3FBA"/>
    <w:rsid w:val="003B45B9"/>
    <w:rsid w:val="003B4949"/>
    <w:rsid w:val="003B51B4"/>
    <w:rsid w:val="003B5BB8"/>
    <w:rsid w:val="003B6582"/>
    <w:rsid w:val="003B6A85"/>
    <w:rsid w:val="003B700E"/>
    <w:rsid w:val="003B7F74"/>
    <w:rsid w:val="003C020E"/>
    <w:rsid w:val="003C118D"/>
    <w:rsid w:val="003C1E27"/>
    <w:rsid w:val="003C1E33"/>
    <w:rsid w:val="003C2573"/>
    <w:rsid w:val="003C297A"/>
    <w:rsid w:val="003C3096"/>
    <w:rsid w:val="003C39CA"/>
    <w:rsid w:val="003C3A0E"/>
    <w:rsid w:val="003C3CAE"/>
    <w:rsid w:val="003C3E1A"/>
    <w:rsid w:val="003C40DD"/>
    <w:rsid w:val="003C4109"/>
    <w:rsid w:val="003C4781"/>
    <w:rsid w:val="003C6627"/>
    <w:rsid w:val="003C6752"/>
    <w:rsid w:val="003C6CFE"/>
    <w:rsid w:val="003C7A0D"/>
    <w:rsid w:val="003D0848"/>
    <w:rsid w:val="003D0937"/>
    <w:rsid w:val="003D1272"/>
    <w:rsid w:val="003D1759"/>
    <w:rsid w:val="003D1A8D"/>
    <w:rsid w:val="003D1C50"/>
    <w:rsid w:val="003D207C"/>
    <w:rsid w:val="003D24EC"/>
    <w:rsid w:val="003D2EF0"/>
    <w:rsid w:val="003D3465"/>
    <w:rsid w:val="003D4D7F"/>
    <w:rsid w:val="003D5866"/>
    <w:rsid w:val="003D5B19"/>
    <w:rsid w:val="003D62A8"/>
    <w:rsid w:val="003D6A6D"/>
    <w:rsid w:val="003D78BE"/>
    <w:rsid w:val="003D7E59"/>
    <w:rsid w:val="003E131F"/>
    <w:rsid w:val="003E144C"/>
    <w:rsid w:val="003E1EA2"/>
    <w:rsid w:val="003E20D1"/>
    <w:rsid w:val="003E214A"/>
    <w:rsid w:val="003E3B69"/>
    <w:rsid w:val="003E3E5A"/>
    <w:rsid w:val="003E4672"/>
    <w:rsid w:val="003E4C18"/>
    <w:rsid w:val="003E6799"/>
    <w:rsid w:val="003E77F7"/>
    <w:rsid w:val="003F0847"/>
    <w:rsid w:val="003F0F0A"/>
    <w:rsid w:val="003F25C0"/>
    <w:rsid w:val="003F2AF9"/>
    <w:rsid w:val="003F412B"/>
    <w:rsid w:val="003F6068"/>
    <w:rsid w:val="003F6633"/>
    <w:rsid w:val="003F7479"/>
    <w:rsid w:val="003F7F71"/>
    <w:rsid w:val="0040075E"/>
    <w:rsid w:val="00400819"/>
    <w:rsid w:val="004017F8"/>
    <w:rsid w:val="004018E4"/>
    <w:rsid w:val="00401E20"/>
    <w:rsid w:val="0040249E"/>
    <w:rsid w:val="004026EF"/>
    <w:rsid w:val="00402768"/>
    <w:rsid w:val="004038A1"/>
    <w:rsid w:val="004039F7"/>
    <w:rsid w:val="00404821"/>
    <w:rsid w:val="004053B8"/>
    <w:rsid w:val="0040585E"/>
    <w:rsid w:val="00406522"/>
    <w:rsid w:val="00406929"/>
    <w:rsid w:val="00406EA8"/>
    <w:rsid w:val="00407340"/>
    <w:rsid w:val="00407D25"/>
    <w:rsid w:val="00410506"/>
    <w:rsid w:val="004107BD"/>
    <w:rsid w:val="00410CFD"/>
    <w:rsid w:val="00410E45"/>
    <w:rsid w:val="0041159F"/>
    <w:rsid w:val="00411A4A"/>
    <w:rsid w:val="004128B6"/>
    <w:rsid w:val="0041387D"/>
    <w:rsid w:val="00414008"/>
    <w:rsid w:val="004140AA"/>
    <w:rsid w:val="00414276"/>
    <w:rsid w:val="00414D3E"/>
    <w:rsid w:val="004157ED"/>
    <w:rsid w:val="00415FC3"/>
    <w:rsid w:val="004161D5"/>
    <w:rsid w:val="00416742"/>
    <w:rsid w:val="004167E2"/>
    <w:rsid w:val="00416C84"/>
    <w:rsid w:val="0041710C"/>
    <w:rsid w:val="00417C7D"/>
    <w:rsid w:val="00420427"/>
    <w:rsid w:val="00420562"/>
    <w:rsid w:val="00420812"/>
    <w:rsid w:val="00421B9B"/>
    <w:rsid w:val="0042291A"/>
    <w:rsid w:val="00422B45"/>
    <w:rsid w:val="004237DE"/>
    <w:rsid w:val="00424350"/>
    <w:rsid w:val="00424471"/>
    <w:rsid w:val="00424916"/>
    <w:rsid w:val="00424B0A"/>
    <w:rsid w:val="00425212"/>
    <w:rsid w:val="00425385"/>
    <w:rsid w:val="00426311"/>
    <w:rsid w:val="00426B7B"/>
    <w:rsid w:val="00426CBC"/>
    <w:rsid w:val="00427D3D"/>
    <w:rsid w:val="0043027A"/>
    <w:rsid w:val="004308A6"/>
    <w:rsid w:val="00431303"/>
    <w:rsid w:val="004316DF"/>
    <w:rsid w:val="0043178E"/>
    <w:rsid w:val="00431E05"/>
    <w:rsid w:val="00432B7D"/>
    <w:rsid w:val="00432FCF"/>
    <w:rsid w:val="00433978"/>
    <w:rsid w:val="004342BE"/>
    <w:rsid w:val="00434311"/>
    <w:rsid w:val="00435D29"/>
    <w:rsid w:val="004401F8"/>
    <w:rsid w:val="00440574"/>
    <w:rsid w:val="004408DC"/>
    <w:rsid w:val="00441415"/>
    <w:rsid w:val="0044157C"/>
    <w:rsid w:val="004418CC"/>
    <w:rsid w:val="00443CBD"/>
    <w:rsid w:val="00445894"/>
    <w:rsid w:val="004459B3"/>
    <w:rsid w:val="00445AE2"/>
    <w:rsid w:val="00445FD0"/>
    <w:rsid w:val="00447826"/>
    <w:rsid w:val="00447B26"/>
    <w:rsid w:val="00447DAC"/>
    <w:rsid w:val="00450B6D"/>
    <w:rsid w:val="004516A2"/>
    <w:rsid w:val="004519A4"/>
    <w:rsid w:val="00452240"/>
    <w:rsid w:val="004525C5"/>
    <w:rsid w:val="00452CC5"/>
    <w:rsid w:val="00452EDB"/>
    <w:rsid w:val="0045356C"/>
    <w:rsid w:val="0045370B"/>
    <w:rsid w:val="00454900"/>
    <w:rsid w:val="004572C1"/>
    <w:rsid w:val="00457430"/>
    <w:rsid w:val="00457449"/>
    <w:rsid w:val="00457793"/>
    <w:rsid w:val="00457843"/>
    <w:rsid w:val="00457D62"/>
    <w:rsid w:val="00457DBD"/>
    <w:rsid w:val="00457EED"/>
    <w:rsid w:val="00460808"/>
    <w:rsid w:val="00461A8D"/>
    <w:rsid w:val="00461BAF"/>
    <w:rsid w:val="00461F7F"/>
    <w:rsid w:val="0046271F"/>
    <w:rsid w:val="00462ED6"/>
    <w:rsid w:val="004650AD"/>
    <w:rsid w:val="0046563F"/>
    <w:rsid w:val="00465CEC"/>
    <w:rsid w:val="00465D54"/>
    <w:rsid w:val="00466191"/>
    <w:rsid w:val="0046630B"/>
    <w:rsid w:val="00466411"/>
    <w:rsid w:val="004673C6"/>
    <w:rsid w:val="0046762D"/>
    <w:rsid w:val="004700BD"/>
    <w:rsid w:val="00470308"/>
    <w:rsid w:val="00470C35"/>
    <w:rsid w:val="00471B54"/>
    <w:rsid w:val="00473133"/>
    <w:rsid w:val="0047438A"/>
    <w:rsid w:val="004745E6"/>
    <w:rsid w:val="004758B5"/>
    <w:rsid w:val="004775A9"/>
    <w:rsid w:val="004779BF"/>
    <w:rsid w:val="0048075C"/>
    <w:rsid w:val="00480BCE"/>
    <w:rsid w:val="00480DED"/>
    <w:rsid w:val="0048142F"/>
    <w:rsid w:val="00481AE3"/>
    <w:rsid w:val="00482842"/>
    <w:rsid w:val="00482F39"/>
    <w:rsid w:val="004841F4"/>
    <w:rsid w:val="00484436"/>
    <w:rsid w:val="00485140"/>
    <w:rsid w:val="00485571"/>
    <w:rsid w:val="00485FAA"/>
    <w:rsid w:val="00487010"/>
    <w:rsid w:val="00490911"/>
    <w:rsid w:val="004914A0"/>
    <w:rsid w:val="0049186D"/>
    <w:rsid w:val="0049191A"/>
    <w:rsid w:val="00491AED"/>
    <w:rsid w:val="00491BCC"/>
    <w:rsid w:val="00492162"/>
    <w:rsid w:val="004921DB"/>
    <w:rsid w:val="00492AEF"/>
    <w:rsid w:val="00492EDB"/>
    <w:rsid w:val="0049316C"/>
    <w:rsid w:val="00493B66"/>
    <w:rsid w:val="00493CBA"/>
    <w:rsid w:val="0049565B"/>
    <w:rsid w:val="004960DD"/>
    <w:rsid w:val="00496494"/>
    <w:rsid w:val="0049686E"/>
    <w:rsid w:val="00496B7E"/>
    <w:rsid w:val="004973F8"/>
    <w:rsid w:val="004A00FB"/>
    <w:rsid w:val="004A0F71"/>
    <w:rsid w:val="004A1197"/>
    <w:rsid w:val="004A1BC1"/>
    <w:rsid w:val="004A207B"/>
    <w:rsid w:val="004A2AFE"/>
    <w:rsid w:val="004A2C33"/>
    <w:rsid w:val="004A3569"/>
    <w:rsid w:val="004A4606"/>
    <w:rsid w:val="004A4663"/>
    <w:rsid w:val="004A46F3"/>
    <w:rsid w:val="004A6059"/>
    <w:rsid w:val="004A61C6"/>
    <w:rsid w:val="004A62FF"/>
    <w:rsid w:val="004A6746"/>
    <w:rsid w:val="004A7B27"/>
    <w:rsid w:val="004B1F90"/>
    <w:rsid w:val="004B2E18"/>
    <w:rsid w:val="004B2F36"/>
    <w:rsid w:val="004B32D7"/>
    <w:rsid w:val="004B34A1"/>
    <w:rsid w:val="004B371E"/>
    <w:rsid w:val="004B4098"/>
    <w:rsid w:val="004B4F4B"/>
    <w:rsid w:val="004B5BD1"/>
    <w:rsid w:val="004B6A1B"/>
    <w:rsid w:val="004B6A8D"/>
    <w:rsid w:val="004B6B6A"/>
    <w:rsid w:val="004B6BD0"/>
    <w:rsid w:val="004B7073"/>
    <w:rsid w:val="004B78B5"/>
    <w:rsid w:val="004B7C07"/>
    <w:rsid w:val="004C0078"/>
    <w:rsid w:val="004C134D"/>
    <w:rsid w:val="004C1B3B"/>
    <w:rsid w:val="004C1E0E"/>
    <w:rsid w:val="004C21E3"/>
    <w:rsid w:val="004C2809"/>
    <w:rsid w:val="004C2B8C"/>
    <w:rsid w:val="004C2BAE"/>
    <w:rsid w:val="004C34A1"/>
    <w:rsid w:val="004C38E9"/>
    <w:rsid w:val="004C47CE"/>
    <w:rsid w:val="004C4B4C"/>
    <w:rsid w:val="004C67AE"/>
    <w:rsid w:val="004C73E8"/>
    <w:rsid w:val="004C7439"/>
    <w:rsid w:val="004C7533"/>
    <w:rsid w:val="004C7A5D"/>
    <w:rsid w:val="004C7C25"/>
    <w:rsid w:val="004D0687"/>
    <w:rsid w:val="004D0C1F"/>
    <w:rsid w:val="004D0C41"/>
    <w:rsid w:val="004D2F3D"/>
    <w:rsid w:val="004D430E"/>
    <w:rsid w:val="004D4E75"/>
    <w:rsid w:val="004D50F4"/>
    <w:rsid w:val="004D596F"/>
    <w:rsid w:val="004D6067"/>
    <w:rsid w:val="004D615F"/>
    <w:rsid w:val="004D6558"/>
    <w:rsid w:val="004D673D"/>
    <w:rsid w:val="004D696B"/>
    <w:rsid w:val="004D71E5"/>
    <w:rsid w:val="004D7C86"/>
    <w:rsid w:val="004E05E9"/>
    <w:rsid w:val="004E075E"/>
    <w:rsid w:val="004E0E54"/>
    <w:rsid w:val="004E12BC"/>
    <w:rsid w:val="004E13D3"/>
    <w:rsid w:val="004E1719"/>
    <w:rsid w:val="004E1BB8"/>
    <w:rsid w:val="004E1D70"/>
    <w:rsid w:val="004E2202"/>
    <w:rsid w:val="004E22EE"/>
    <w:rsid w:val="004E2ABF"/>
    <w:rsid w:val="004E334C"/>
    <w:rsid w:val="004E3A14"/>
    <w:rsid w:val="004E3DB3"/>
    <w:rsid w:val="004E45E6"/>
    <w:rsid w:val="004E4982"/>
    <w:rsid w:val="004E4B02"/>
    <w:rsid w:val="004E5174"/>
    <w:rsid w:val="004E5805"/>
    <w:rsid w:val="004E6569"/>
    <w:rsid w:val="004F0251"/>
    <w:rsid w:val="004F0356"/>
    <w:rsid w:val="004F06F6"/>
    <w:rsid w:val="004F07AE"/>
    <w:rsid w:val="004F0B54"/>
    <w:rsid w:val="004F1BBA"/>
    <w:rsid w:val="004F1EF7"/>
    <w:rsid w:val="004F216F"/>
    <w:rsid w:val="004F22AE"/>
    <w:rsid w:val="004F3527"/>
    <w:rsid w:val="004F3643"/>
    <w:rsid w:val="004F3AD2"/>
    <w:rsid w:val="004F3CF8"/>
    <w:rsid w:val="004F3F29"/>
    <w:rsid w:val="004F4C2F"/>
    <w:rsid w:val="004F5E7E"/>
    <w:rsid w:val="004F5F15"/>
    <w:rsid w:val="004F6407"/>
    <w:rsid w:val="004F6524"/>
    <w:rsid w:val="004F7480"/>
    <w:rsid w:val="004F79F9"/>
    <w:rsid w:val="004F7A1A"/>
    <w:rsid w:val="005010B1"/>
    <w:rsid w:val="00502629"/>
    <w:rsid w:val="00502D3E"/>
    <w:rsid w:val="00502DCE"/>
    <w:rsid w:val="00503409"/>
    <w:rsid w:val="005049A4"/>
    <w:rsid w:val="0050613C"/>
    <w:rsid w:val="00506594"/>
    <w:rsid w:val="0050777E"/>
    <w:rsid w:val="00507E7A"/>
    <w:rsid w:val="00507F88"/>
    <w:rsid w:val="00511276"/>
    <w:rsid w:val="00511314"/>
    <w:rsid w:val="0051176C"/>
    <w:rsid w:val="00511A88"/>
    <w:rsid w:val="00511C11"/>
    <w:rsid w:val="00511DB3"/>
    <w:rsid w:val="005143A5"/>
    <w:rsid w:val="00514ABF"/>
    <w:rsid w:val="00514CBD"/>
    <w:rsid w:val="00514D0A"/>
    <w:rsid w:val="00514D5F"/>
    <w:rsid w:val="005152FE"/>
    <w:rsid w:val="00515E46"/>
    <w:rsid w:val="00515E9B"/>
    <w:rsid w:val="005166EC"/>
    <w:rsid w:val="00516731"/>
    <w:rsid w:val="00516933"/>
    <w:rsid w:val="00517294"/>
    <w:rsid w:val="005174C3"/>
    <w:rsid w:val="00520310"/>
    <w:rsid w:val="0052085E"/>
    <w:rsid w:val="00520ED5"/>
    <w:rsid w:val="005212AC"/>
    <w:rsid w:val="0052171A"/>
    <w:rsid w:val="00521729"/>
    <w:rsid w:val="005223C4"/>
    <w:rsid w:val="00522A19"/>
    <w:rsid w:val="0052531C"/>
    <w:rsid w:val="005269A1"/>
    <w:rsid w:val="005270EA"/>
    <w:rsid w:val="00527775"/>
    <w:rsid w:val="00527EA9"/>
    <w:rsid w:val="00530926"/>
    <w:rsid w:val="00530F92"/>
    <w:rsid w:val="005317AD"/>
    <w:rsid w:val="00531AAD"/>
    <w:rsid w:val="005326E1"/>
    <w:rsid w:val="00532917"/>
    <w:rsid w:val="00533068"/>
    <w:rsid w:val="00533640"/>
    <w:rsid w:val="00534ACE"/>
    <w:rsid w:val="00535144"/>
    <w:rsid w:val="00535686"/>
    <w:rsid w:val="005357EF"/>
    <w:rsid w:val="00536392"/>
    <w:rsid w:val="00536B21"/>
    <w:rsid w:val="00537205"/>
    <w:rsid w:val="00537211"/>
    <w:rsid w:val="005375AF"/>
    <w:rsid w:val="00537A7A"/>
    <w:rsid w:val="00537BC4"/>
    <w:rsid w:val="00537F91"/>
    <w:rsid w:val="005411F3"/>
    <w:rsid w:val="00541F56"/>
    <w:rsid w:val="005422EE"/>
    <w:rsid w:val="00542626"/>
    <w:rsid w:val="00542A12"/>
    <w:rsid w:val="00542E1F"/>
    <w:rsid w:val="005438C2"/>
    <w:rsid w:val="00544A53"/>
    <w:rsid w:val="005455EB"/>
    <w:rsid w:val="00545837"/>
    <w:rsid w:val="00545944"/>
    <w:rsid w:val="00545D5A"/>
    <w:rsid w:val="00545E93"/>
    <w:rsid w:val="0054681B"/>
    <w:rsid w:val="00546D65"/>
    <w:rsid w:val="00547D84"/>
    <w:rsid w:val="005513E7"/>
    <w:rsid w:val="00551FFE"/>
    <w:rsid w:val="00552081"/>
    <w:rsid w:val="0055250E"/>
    <w:rsid w:val="00553383"/>
    <w:rsid w:val="00553570"/>
    <w:rsid w:val="00553611"/>
    <w:rsid w:val="00553C5F"/>
    <w:rsid w:val="00553CB5"/>
    <w:rsid w:val="00554DC9"/>
    <w:rsid w:val="00555B56"/>
    <w:rsid w:val="00556F4A"/>
    <w:rsid w:val="00556FA4"/>
    <w:rsid w:val="00557162"/>
    <w:rsid w:val="00557450"/>
    <w:rsid w:val="00560D12"/>
    <w:rsid w:val="005612A8"/>
    <w:rsid w:val="00561B0C"/>
    <w:rsid w:val="00562060"/>
    <w:rsid w:val="00562C6C"/>
    <w:rsid w:val="00562E01"/>
    <w:rsid w:val="005632CE"/>
    <w:rsid w:val="00563613"/>
    <w:rsid w:val="00564739"/>
    <w:rsid w:val="0056477E"/>
    <w:rsid w:val="00564BE9"/>
    <w:rsid w:val="00564D61"/>
    <w:rsid w:val="00565199"/>
    <w:rsid w:val="00565837"/>
    <w:rsid w:val="00565E51"/>
    <w:rsid w:val="005705E5"/>
    <w:rsid w:val="0057074D"/>
    <w:rsid w:val="00571754"/>
    <w:rsid w:val="00571BDC"/>
    <w:rsid w:val="00571C63"/>
    <w:rsid w:val="00571D85"/>
    <w:rsid w:val="00571F07"/>
    <w:rsid w:val="005729B3"/>
    <w:rsid w:val="00572A38"/>
    <w:rsid w:val="00572BB4"/>
    <w:rsid w:val="00572E4F"/>
    <w:rsid w:val="00573186"/>
    <w:rsid w:val="00573C6A"/>
    <w:rsid w:val="005742C9"/>
    <w:rsid w:val="00574FE7"/>
    <w:rsid w:val="00576707"/>
    <w:rsid w:val="005768A7"/>
    <w:rsid w:val="00576AD4"/>
    <w:rsid w:val="00576C78"/>
    <w:rsid w:val="005770A7"/>
    <w:rsid w:val="005812C4"/>
    <w:rsid w:val="00581700"/>
    <w:rsid w:val="0058211C"/>
    <w:rsid w:val="00582516"/>
    <w:rsid w:val="0058316F"/>
    <w:rsid w:val="00583768"/>
    <w:rsid w:val="005837C5"/>
    <w:rsid w:val="00584782"/>
    <w:rsid w:val="00584F7D"/>
    <w:rsid w:val="00586379"/>
    <w:rsid w:val="00587916"/>
    <w:rsid w:val="00587E82"/>
    <w:rsid w:val="00590851"/>
    <w:rsid w:val="005910C1"/>
    <w:rsid w:val="00591C0D"/>
    <w:rsid w:val="0059209E"/>
    <w:rsid w:val="00592928"/>
    <w:rsid w:val="00592AE2"/>
    <w:rsid w:val="00592B94"/>
    <w:rsid w:val="00592E7F"/>
    <w:rsid w:val="00593202"/>
    <w:rsid w:val="00593CBD"/>
    <w:rsid w:val="005945EC"/>
    <w:rsid w:val="00594749"/>
    <w:rsid w:val="005952BA"/>
    <w:rsid w:val="00595446"/>
    <w:rsid w:val="00595ACD"/>
    <w:rsid w:val="00595F28"/>
    <w:rsid w:val="005960DB"/>
    <w:rsid w:val="00596B59"/>
    <w:rsid w:val="0059705F"/>
    <w:rsid w:val="005973AA"/>
    <w:rsid w:val="00597AED"/>
    <w:rsid w:val="00597B5C"/>
    <w:rsid w:val="005A0240"/>
    <w:rsid w:val="005A046F"/>
    <w:rsid w:val="005A0B71"/>
    <w:rsid w:val="005A0E28"/>
    <w:rsid w:val="005A115B"/>
    <w:rsid w:val="005A12BA"/>
    <w:rsid w:val="005A2E9B"/>
    <w:rsid w:val="005A32D5"/>
    <w:rsid w:val="005A336A"/>
    <w:rsid w:val="005A3CD2"/>
    <w:rsid w:val="005A3FDE"/>
    <w:rsid w:val="005A48CF"/>
    <w:rsid w:val="005A73C5"/>
    <w:rsid w:val="005A7C58"/>
    <w:rsid w:val="005B0815"/>
    <w:rsid w:val="005B0833"/>
    <w:rsid w:val="005B0A82"/>
    <w:rsid w:val="005B14C3"/>
    <w:rsid w:val="005B1B96"/>
    <w:rsid w:val="005B33D1"/>
    <w:rsid w:val="005B371D"/>
    <w:rsid w:val="005B3E92"/>
    <w:rsid w:val="005B3FD2"/>
    <w:rsid w:val="005B5416"/>
    <w:rsid w:val="005B61B6"/>
    <w:rsid w:val="005B6C07"/>
    <w:rsid w:val="005C1529"/>
    <w:rsid w:val="005C16D4"/>
    <w:rsid w:val="005C1871"/>
    <w:rsid w:val="005C1FB8"/>
    <w:rsid w:val="005C305F"/>
    <w:rsid w:val="005C421E"/>
    <w:rsid w:val="005C4EBF"/>
    <w:rsid w:val="005C5751"/>
    <w:rsid w:val="005C66F6"/>
    <w:rsid w:val="005C6938"/>
    <w:rsid w:val="005C6A53"/>
    <w:rsid w:val="005C723D"/>
    <w:rsid w:val="005D0936"/>
    <w:rsid w:val="005D0CDF"/>
    <w:rsid w:val="005D0D9B"/>
    <w:rsid w:val="005D10A0"/>
    <w:rsid w:val="005D13FF"/>
    <w:rsid w:val="005D1538"/>
    <w:rsid w:val="005D1593"/>
    <w:rsid w:val="005D1759"/>
    <w:rsid w:val="005D1CAA"/>
    <w:rsid w:val="005D1DCA"/>
    <w:rsid w:val="005D22C7"/>
    <w:rsid w:val="005D24CE"/>
    <w:rsid w:val="005D2C1E"/>
    <w:rsid w:val="005D2D6A"/>
    <w:rsid w:val="005D2E56"/>
    <w:rsid w:val="005D390A"/>
    <w:rsid w:val="005D3C7E"/>
    <w:rsid w:val="005D3EFB"/>
    <w:rsid w:val="005D4183"/>
    <w:rsid w:val="005D5450"/>
    <w:rsid w:val="005D5508"/>
    <w:rsid w:val="005D5737"/>
    <w:rsid w:val="005D5C7C"/>
    <w:rsid w:val="005E0036"/>
    <w:rsid w:val="005E1C83"/>
    <w:rsid w:val="005E2909"/>
    <w:rsid w:val="005E2B55"/>
    <w:rsid w:val="005E2D05"/>
    <w:rsid w:val="005E31E3"/>
    <w:rsid w:val="005E3D2A"/>
    <w:rsid w:val="005E3F35"/>
    <w:rsid w:val="005E42F2"/>
    <w:rsid w:val="005E622D"/>
    <w:rsid w:val="005E6260"/>
    <w:rsid w:val="005E651C"/>
    <w:rsid w:val="005E6626"/>
    <w:rsid w:val="005E6E7C"/>
    <w:rsid w:val="005E6FA2"/>
    <w:rsid w:val="005E7225"/>
    <w:rsid w:val="005F02C8"/>
    <w:rsid w:val="005F0680"/>
    <w:rsid w:val="005F0971"/>
    <w:rsid w:val="005F0B0A"/>
    <w:rsid w:val="005F0BBC"/>
    <w:rsid w:val="005F2AEC"/>
    <w:rsid w:val="005F30A0"/>
    <w:rsid w:val="005F36CF"/>
    <w:rsid w:val="005F3B07"/>
    <w:rsid w:val="005F3B1B"/>
    <w:rsid w:val="005F691E"/>
    <w:rsid w:val="005F6C81"/>
    <w:rsid w:val="005F6D84"/>
    <w:rsid w:val="005F7B08"/>
    <w:rsid w:val="006003BC"/>
    <w:rsid w:val="00600751"/>
    <w:rsid w:val="00601954"/>
    <w:rsid w:val="006021D5"/>
    <w:rsid w:val="00602621"/>
    <w:rsid w:val="00602D8F"/>
    <w:rsid w:val="0060556D"/>
    <w:rsid w:val="00605EAD"/>
    <w:rsid w:val="00606118"/>
    <w:rsid w:val="006071EA"/>
    <w:rsid w:val="006078B7"/>
    <w:rsid w:val="00607A31"/>
    <w:rsid w:val="0061011C"/>
    <w:rsid w:val="0061120F"/>
    <w:rsid w:val="0061148A"/>
    <w:rsid w:val="00611606"/>
    <w:rsid w:val="006122F2"/>
    <w:rsid w:val="006129DE"/>
    <w:rsid w:val="006134B4"/>
    <w:rsid w:val="0061381B"/>
    <w:rsid w:val="00613A0C"/>
    <w:rsid w:val="00613A16"/>
    <w:rsid w:val="006141B0"/>
    <w:rsid w:val="0061517C"/>
    <w:rsid w:val="006159C8"/>
    <w:rsid w:val="006159E1"/>
    <w:rsid w:val="0061644C"/>
    <w:rsid w:val="006166EF"/>
    <w:rsid w:val="00616ADC"/>
    <w:rsid w:val="00617145"/>
    <w:rsid w:val="006172B1"/>
    <w:rsid w:val="0061756B"/>
    <w:rsid w:val="00617B0C"/>
    <w:rsid w:val="00620CF1"/>
    <w:rsid w:val="00621FBD"/>
    <w:rsid w:val="006226C1"/>
    <w:rsid w:val="006232D6"/>
    <w:rsid w:val="00626687"/>
    <w:rsid w:val="006270F0"/>
    <w:rsid w:val="00627477"/>
    <w:rsid w:val="00627731"/>
    <w:rsid w:val="00630962"/>
    <w:rsid w:val="00630A4E"/>
    <w:rsid w:val="00632B36"/>
    <w:rsid w:val="00633E3D"/>
    <w:rsid w:val="00634499"/>
    <w:rsid w:val="006348D8"/>
    <w:rsid w:val="00635394"/>
    <w:rsid w:val="006360CC"/>
    <w:rsid w:val="006361A0"/>
    <w:rsid w:val="0063666F"/>
    <w:rsid w:val="006368C6"/>
    <w:rsid w:val="00636E53"/>
    <w:rsid w:val="0064061D"/>
    <w:rsid w:val="00640B7A"/>
    <w:rsid w:val="00640CC8"/>
    <w:rsid w:val="00641171"/>
    <w:rsid w:val="00641FC5"/>
    <w:rsid w:val="00642FFD"/>
    <w:rsid w:val="006444D6"/>
    <w:rsid w:val="00644BA8"/>
    <w:rsid w:val="00644ED5"/>
    <w:rsid w:val="00645044"/>
    <w:rsid w:val="006450ED"/>
    <w:rsid w:val="006467F7"/>
    <w:rsid w:val="00646B13"/>
    <w:rsid w:val="00646BB5"/>
    <w:rsid w:val="0065094E"/>
    <w:rsid w:val="006516B4"/>
    <w:rsid w:val="00652D11"/>
    <w:rsid w:val="006533AE"/>
    <w:rsid w:val="00653629"/>
    <w:rsid w:val="0065408C"/>
    <w:rsid w:val="00654B46"/>
    <w:rsid w:val="006554C2"/>
    <w:rsid w:val="0065672D"/>
    <w:rsid w:val="00657528"/>
    <w:rsid w:val="00660190"/>
    <w:rsid w:val="00660868"/>
    <w:rsid w:val="0066156C"/>
    <w:rsid w:val="00662526"/>
    <w:rsid w:val="00662D1A"/>
    <w:rsid w:val="00662E7B"/>
    <w:rsid w:val="00663146"/>
    <w:rsid w:val="00663B6D"/>
    <w:rsid w:val="00663E26"/>
    <w:rsid w:val="00663F47"/>
    <w:rsid w:val="006646D8"/>
    <w:rsid w:val="00664E24"/>
    <w:rsid w:val="00664F92"/>
    <w:rsid w:val="006653E7"/>
    <w:rsid w:val="006658EF"/>
    <w:rsid w:val="00667E37"/>
    <w:rsid w:val="006702F0"/>
    <w:rsid w:val="0067036B"/>
    <w:rsid w:val="00670BC4"/>
    <w:rsid w:val="00670C40"/>
    <w:rsid w:val="00670E37"/>
    <w:rsid w:val="006715FB"/>
    <w:rsid w:val="00671EFC"/>
    <w:rsid w:val="00671F7C"/>
    <w:rsid w:val="00672122"/>
    <w:rsid w:val="00672244"/>
    <w:rsid w:val="00672348"/>
    <w:rsid w:val="00672373"/>
    <w:rsid w:val="00673630"/>
    <w:rsid w:val="0067467D"/>
    <w:rsid w:val="006758C9"/>
    <w:rsid w:val="0067630A"/>
    <w:rsid w:val="006764AD"/>
    <w:rsid w:val="0067668B"/>
    <w:rsid w:val="00676F11"/>
    <w:rsid w:val="00677D81"/>
    <w:rsid w:val="00677EBE"/>
    <w:rsid w:val="006803DE"/>
    <w:rsid w:val="006803FD"/>
    <w:rsid w:val="00681081"/>
    <w:rsid w:val="00681112"/>
    <w:rsid w:val="006814A0"/>
    <w:rsid w:val="0068184E"/>
    <w:rsid w:val="0068193E"/>
    <w:rsid w:val="00683672"/>
    <w:rsid w:val="00683889"/>
    <w:rsid w:val="00683D9C"/>
    <w:rsid w:val="0068433C"/>
    <w:rsid w:val="00684443"/>
    <w:rsid w:val="00684491"/>
    <w:rsid w:val="00684A1A"/>
    <w:rsid w:val="00684B91"/>
    <w:rsid w:val="00684D19"/>
    <w:rsid w:val="0068500A"/>
    <w:rsid w:val="0068504D"/>
    <w:rsid w:val="00685479"/>
    <w:rsid w:val="006855F2"/>
    <w:rsid w:val="00685633"/>
    <w:rsid w:val="006865A0"/>
    <w:rsid w:val="00686984"/>
    <w:rsid w:val="00687196"/>
    <w:rsid w:val="00687BA3"/>
    <w:rsid w:val="00690FA4"/>
    <w:rsid w:val="00691566"/>
    <w:rsid w:val="006919E3"/>
    <w:rsid w:val="00691B26"/>
    <w:rsid w:val="00691BE0"/>
    <w:rsid w:val="00691F2B"/>
    <w:rsid w:val="00692AD7"/>
    <w:rsid w:val="00692CBD"/>
    <w:rsid w:val="00692E5A"/>
    <w:rsid w:val="006938DF"/>
    <w:rsid w:val="0069403B"/>
    <w:rsid w:val="0069447F"/>
    <w:rsid w:val="00694AF0"/>
    <w:rsid w:val="00694C2F"/>
    <w:rsid w:val="00695126"/>
    <w:rsid w:val="0069564E"/>
    <w:rsid w:val="00695FFE"/>
    <w:rsid w:val="006961FA"/>
    <w:rsid w:val="00696C0C"/>
    <w:rsid w:val="006978C9"/>
    <w:rsid w:val="006A01DB"/>
    <w:rsid w:val="006A02FE"/>
    <w:rsid w:val="006A059A"/>
    <w:rsid w:val="006A152F"/>
    <w:rsid w:val="006A1C19"/>
    <w:rsid w:val="006A243A"/>
    <w:rsid w:val="006A25C7"/>
    <w:rsid w:val="006A2723"/>
    <w:rsid w:val="006A29AC"/>
    <w:rsid w:val="006A29BB"/>
    <w:rsid w:val="006A3573"/>
    <w:rsid w:val="006A378A"/>
    <w:rsid w:val="006A3B0A"/>
    <w:rsid w:val="006A3F81"/>
    <w:rsid w:val="006A4674"/>
    <w:rsid w:val="006A5226"/>
    <w:rsid w:val="006A52C4"/>
    <w:rsid w:val="006A6354"/>
    <w:rsid w:val="006A78C7"/>
    <w:rsid w:val="006B097E"/>
    <w:rsid w:val="006B0AC4"/>
    <w:rsid w:val="006B0B56"/>
    <w:rsid w:val="006B2AE8"/>
    <w:rsid w:val="006B2D4F"/>
    <w:rsid w:val="006B33E1"/>
    <w:rsid w:val="006B38B7"/>
    <w:rsid w:val="006B3F0D"/>
    <w:rsid w:val="006B4053"/>
    <w:rsid w:val="006B4478"/>
    <w:rsid w:val="006B4504"/>
    <w:rsid w:val="006B4B2B"/>
    <w:rsid w:val="006B4D76"/>
    <w:rsid w:val="006B627F"/>
    <w:rsid w:val="006B6B3F"/>
    <w:rsid w:val="006B6EE6"/>
    <w:rsid w:val="006B702B"/>
    <w:rsid w:val="006B72DA"/>
    <w:rsid w:val="006C16E7"/>
    <w:rsid w:val="006C211D"/>
    <w:rsid w:val="006C278F"/>
    <w:rsid w:val="006C3037"/>
    <w:rsid w:val="006C3D7B"/>
    <w:rsid w:val="006C49A5"/>
    <w:rsid w:val="006C5465"/>
    <w:rsid w:val="006C6554"/>
    <w:rsid w:val="006C685E"/>
    <w:rsid w:val="006C6DAB"/>
    <w:rsid w:val="006C7947"/>
    <w:rsid w:val="006D0017"/>
    <w:rsid w:val="006D02C0"/>
    <w:rsid w:val="006D0D89"/>
    <w:rsid w:val="006D0F1A"/>
    <w:rsid w:val="006D17CB"/>
    <w:rsid w:val="006D1855"/>
    <w:rsid w:val="006D1F06"/>
    <w:rsid w:val="006D284F"/>
    <w:rsid w:val="006D370A"/>
    <w:rsid w:val="006D3B06"/>
    <w:rsid w:val="006D3BD4"/>
    <w:rsid w:val="006D3E94"/>
    <w:rsid w:val="006D4B49"/>
    <w:rsid w:val="006D524B"/>
    <w:rsid w:val="006D6536"/>
    <w:rsid w:val="006D668F"/>
    <w:rsid w:val="006D6911"/>
    <w:rsid w:val="006D6D8B"/>
    <w:rsid w:val="006D715B"/>
    <w:rsid w:val="006D75BB"/>
    <w:rsid w:val="006D7C68"/>
    <w:rsid w:val="006E05A6"/>
    <w:rsid w:val="006E1172"/>
    <w:rsid w:val="006E12F9"/>
    <w:rsid w:val="006E16B4"/>
    <w:rsid w:val="006E2AB9"/>
    <w:rsid w:val="006E2C3D"/>
    <w:rsid w:val="006E39EF"/>
    <w:rsid w:val="006E4649"/>
    <w:rsid w:val="006E482C"/>
    <w:rsid w:val="006E5083"/>
    <w:rsid w:val="006E5330"/>
    <w:rsid w:val="006E5463"/>
    <w:rsid w:val="006E56AC"/>
    <w:rsid w:val="006E63D0"/>
    <w:rsid w:val="006E6EE4"/>
    <w:rsid w:val="006F0539"/>
    <w:rsid w:val="006F13EC"/>
    <w:rsid w:val="006F1520"/>
    <w:rsid w:val="006F379B"/>
    <w:rsid w:val="006F59AA"/>
    <w:rsid w:val="006F6BA4"/>
    <w:rsid w:val="007005B9"/>
    <w:rsid w:val="00700CC0"/>
    <w:rsid w:val="00701995"/>
    <w:rsid w:val="00702866"/>
    <w:rsid w:val="00703C69"/>
    <w:rsid w:val="00704C5F"/>
    <w:rsid w:val="007056AB"/>
    <w:rsid w:val="007068F2"/>
    <w:rsid w:val="00707634"/>
    <w:rsid w:val="00707BE1"/>
    <w:rsid w:val="00710570"/>
    <w:rsid w:val="007106A9"/>
    <w:rsid w:val="00710F4E"/>
    <w:rsid w:val="007117E3"/>
    <w:rsid w:val="007123F4"/>
    <w:rsid w:val="00713634"/>
    <w:rsid w:val="007166FA"/>
    <w:rsid w:val="007172C6"/>
    <w:rsid w:val="007172D5"/>
    <w:rsid w:val="007178D9"/>
    <w:rsid w:val="00717FA0"/>
    <w:rsid w:val="007210B1"/>
    <w:rsid w:val="00722B83"/>
    <w:rsid w:val="0072408B"/>
    <w:rsid w:val="007257C4"/>
    <w:rsid w:val="007267AE"/>
    <w:rsid w:val="00726D52"/>
    <w:rsid w:val="0072719E"/>
    <w:rsid w:val="007275F9"/>
    <w:rsid w:val="00730059"/>
    <w:rsid w:val="0073066E"/>
    <w:rsid w:val="00730BED"/>
    <w:rsid w:val="00731704"/>
    <w:rsid w:val="00731963"/>
    <w:rsid w:val="00731D45"/>
    <w:rsid w:val="00731FB8"/>
    <w:rsid w:val="00732EA7"/>
    <w:rsid w:val="00733127"/>
    <w:rsid w:val="007331AA"/>
    <w:rsid w:val="00733464"/>
    <w:rsid w:val="00733C48"/>
    <w:rsid w:val="007347DC"/>
    <w:rsid w:val="00734BB2"/>
    <w:rsid w:val="00735611"/>
    <w:rsid w:val="00736490"/>
    <w:rsid w:val="007366C1"/>
    <w:rsid w:val="00736E39"/>
    <w:rsid w:val="007379CF"/>
    <w:rsid w:val="00740C5A"/>
    <w:rsid w:val="00741099"/>
    <w:rsid w:val="007414D0"/>
    <w:rsid w:val="0074156F"/>
    <w:rsid w:val="007419AA"/>
    <w:rsid w:val="00741B30"/>
    <w:rsid w:val="00741F7F"/>
    <w:rsid w:val="00742248"/>
    <w:rsid w:val="007423F0"/>
    <w:rsid w:val="007425DF"/>
    <w:rsid w:val="007427F5"/>
    <w:rsid w:val="00742EE2"/>
    <w:rsid w:val="00744522"/>
    <w:rsid w:val="00744599"/>
    <w:rsid w:val="00744708"/>
    <w:rsid w:val="00745A67"/>
    <w:rsid w:val="00746346"/>
    <w:rsid w:val="00746E0F"/>
    <w:rsid w:val="0075024E"/>
    <w:rsid w:val="00750C7C"/>
    <w:rsid w:val="00751ACD"/>
    <w:rsid w:val="00752CB1"/>
    <w:rsid w:val="007532FE"/>
    <w:rsid w:val="00753593"/>
    <w:rsid w:val="007547ED"/>
    <w:rsid w:val="00754C77"/>
    <w:rsid w:val="007550F1"/>
    <w:rsid w:val="00755332"/>
    <w:rsid w:val="0075688A"/>
    <w:rsid w:val="00756BE5"/>
    <w:rsid w:val="0075734B"/>
    <w:rsid w:val="00760300"/>
    <w:rsid w:val="00760C06"/>
    <w:rsid w:val="0076158A"/>
    <w:rsid w:val="00762A21"/>
    <w:rsid w:val="00763113"/>
    <w:rsid w:val="0076353A"/>
    <w:rsid w:val="007636D1"/>
    <w:rsid w:val="0076402D"/>
    <w:rsid w:val="007648F1"/>
    <w:rsid w:val="007650ED"/>
    <w:rsid w:val="007669B1"/>
    <w:rsid w:val="007677B6"/>
    <w:rsid w:val="00770401"/>
    <w:rsid w:val="007705A6"/>
    <w:rsid w:val="00770740"/>
    <w:rsid w:val="00770B96"/>
    <w:rsid w:val="00770E45"/>
    <w:rsid w:val="00770F73"/>
    <w:rsid w:val="00770F8A"/>
    <w:rsid w:val="00771026"/>
    <w:rsid w:val="007717ED"/>
    <w:rsid w:val="00771C02"/>
    <w:rsid w:val="00771D2D"/>
    <w:rsid w:val="00773C64"/>
    <w:rsid w:val="00773F16"/>
    <w:rsid w:val="0077577E"/>
    <w:rsid w:val="00775FFA"/>
    <w:rsid w:val="00776478"/>
    <w:rsid w:val="00776F86"/>
    <w:rsid w:val="007770C9"/>
    <w:rsid w:val="007802FE"/>
    <w:rsid w:val="007813AB"/>
    <w:rsid w:val="007814FF"/>
    <w:rsid w:val="00781F3D"/>
    <w:rsid w:val="0078328B"/>
    <w:rsid w:val="00783B90"/>
    <w:rsid w:val="00783D16"/>
    <w:rsid w:val="00784228"/>
    <w:rsid w:val="007845CE"/>
    <w:rsid w:val="00785AE7"/>
    <w:rsid w:val="00785BE4"/>
    <w:rsid w:val="00785CEE"/>
    <w:rsid w:val="007862A5"/>
    <w:rsid w:val="007866D3"/>
    <w:rsid w:val="007867DD"/>
    <w:rsid w:val="007869E5"/>
    <w:rsid w:val="00786E30"/>
    <w:rsid w:val="0078714F"/>
    <w:rsid w:val="007872A5"/>
    <w:rsid w:val="00787478"/>
    <w:rsid w:val="00787F48"/>
    <w:rsid w:val="00792925"/>
    <w:rsid w:val="00793998"/>
    <w:rsid w:val="00793F2F"/>
    <w:rsid w:val="007949FC"/>
    <w:rsid w:val="00794BD6"/>
    <w:rsid w:val="00794F14"/>
    <w:rsid w:val="00795822"/>
    <w:rsid w:val="00796614"/>
    <w:rsid w:val="00796E03"/>
    <w:rsid w:val="007971A9"/>
    <w:rsid w:val="007A0DB8"/>
    <w:rsid w:val="007A0E3D"/>
    <w:rsid w:val="007A0E6F"/>
    <w:rsid w:val="007A20E1"/>
    <w:rsid w:val="007A2B7A"/>
    <w:rsid w:val="007A339F"/>
    <w:rsid w:val="007A36E2"/>
    <w:rsid w:val="007A3BD4"/>
    <w:rsid w:val="007A3EEA"/>
    <w:rsid w:val="007A434B"/>
    <w:rsid w:val="007A4946"/>
    <w:rsid w:val="007A4AA5"/>
    <w:rsid w:val="007A4E95"/>
    <w:rsid w:val="007A59C5"/>
    <w:rsid w:val="007A5D19"/>
    <w:rsid w:val="007A65FE"/>
    <w:rsid w:val="007A663F"/>
    <w:rsid w:val="007A6807"/>
    <w:rsid w:val="007A7103"/>
    <w:rsid w:val="007A79FD"/>
    <w:rsid w:val="007B0086"/>
    <w:rsid w:val="007B1916"/>
    <w:rsid w:val="007B2645"/>
    <w:rsid w:val="007B2DF5"/>
    <w:rsid w:val="007B2F03"/>
    <w:rsid w:val="007B2F7D"/>
    <w:rsid w:val="007B31E0"/>
    <w:rsid w:val="007B3224"/>
    <w:rsid w:val="007B3462"/>
    <w:rsid w:val="007B3FC6"/>
    <w:rsid w:val="007B5576"/>
    <w:rsid w:val="007B70A7"/>
    <w:rsid w:val="007B7AC8"/>
    <w:rsid w:val="007B7B48"/>
    <w:rsid w:val="007B7D77"/>
    <w:rsid w:val="007C07B3"/>
    <w:rsid w:val="007C0810"/>
    <w:rsid w:val="007C08B6"/>
    <w:rsid w:val="007C0B5B"/>
    <w:rsid w:val="007C15C4"/>
    <w:rsid w:val="007C29C5"/>
    <w:rsid w:val="007C2A7C"/>
    <w:rsid w:val="007C30AA"/>
    <w:rsid w:val="007C30FB"/>
    <w:rsid w:val="007C3925"/>
    <w:rsid w:val="007C4A08"/>
    <w:rsid w:val="007C52E7"/>
    <w:rsid w:val="007C56A7"/>
    <w:rsid w:val="007C56E6"/>
    <w:rsid w:val="007C6625"/>
    <w:rsid w:val="007C7118"/>
    <w:rsid w:val="007C7A01"/>
    <w:rsid w:val="007D020C"/>
    <w:rsid w:val="007D0E8C"/>
    <w:rsid w:val="007D168E"/>
    <w:rsid w:val="007D4188"/>
    <w:rsid w:val="007D4ED9"/>
    <w:rsid w:val="007D585C"/>
    <w:rsid w:val="007D5A30"/>
    <w:rsid w:val="007D64A3"/>
    <w:rsid w:val="007D691E"/>
    <w:rsid w:val="007D6ADE"/>
    <w:rsid w:val="007D6B09"/>
    <w:rsid w:val="007D7916"/>
    <w:rsid w:val="007D792F"/>
    <w:rsid w:val="007E0036"/>
    <w:rsid w:val="007E0283"/>
    <w:rsid w:val="007E03D5"/>
    <w:rsid w:val="007E0C17"/>
    <w:rsid w:val="007E1192"/>
    <w:rsid w:val="007E18AE"/>
    <w:rsid w:val="007E1AC4"/>
    <w:rsid w:val="007E2FD4"/>
    <w:rsid w:val="007E39EA"/>
    <w:rsid w:val="007E3AE9"/>
    <w:rsid w:val="007E3CC8"/>
    <w:rsid w:val="007E4F0E"/>
    <w:rsid w:val="007E53FE"/>
    <w:rsid w:val="007E6334"/>
    <w:rsid w:val="007E6E1E"/>
    <w:rsid w:val="007E7072"/>
    <w:rsid w:val="007E70DE"/>
    <w:rsid w:val="007E7130"/>
    <w:rsid w:val="007E7E03"/>
    <w:rsid w:val="007F1396"/>
    <w:rsid w:val="007F140F"/>
    <w:rsid w:val="007F1558"/>
    <w:rsid w:val="007F158A"/>
    <w:rsid w:val="007F15CC"/>
    <w:rsid w:val="007F1D5F"/>
    <w:rsid w:val="007F1F6A"/>
    <w:rsid w:val="007F2030"/>
    <w:rsid w:val="007F20C8"/>
    <w:rsid w:val="007F2A67"/>
    <w:rsid w:val="007F3C71"/>
    <w:rsid w:val="007F3FD5"/>
    <w:rsid w:val="007F4185"/>
    <w:rsid w:val="007F4213"/>
    <w:rsid w:val="007F4A55"/>
    <w:rsid w:val="007F5573"/>
    <w:rsid w:val="007F7189"/>
    <w:rsid w:val="007F7231"/>
    <w:rsid w:val="007F744C"/>
    <w:rsid w:val="0080034F"/>
    <w:rsid w:val="008004CC"/>
    <w:rsid w:val="00800E3F"/>
    <w:rsid w:val="008010D3"/>
    <w:rsid w:val="00801867"/>
    <w:rsid w:val="00801D68"/>
    <w:rsid w:val="00801F9A"/>
    <w:rsid w:val="00801FBF"/>
    <w:rsid w:val="00802313"/>
    <w:rsid w:val="0080273F"/>
    <w:rsid w:val="00802FD6"/>
    <w:rsid w:val="00803F59"/>
    <w:rsid w:val="008045A0"/>
    <w:rsid w:val="008046A0"/>
    <w:rsid w:val="0080580A"/>
    <w:rsid w:val="00805D1E"/>
    <w:rsid w:val="0080675D"/>
    <w:rsid w:val="00806B7A"/>
    <w:rsid w:val="00806F11"/>
    <w:rsid w:val="008079C6"/>
    <w:rsid w:val="00807BC4"/>
    <w:rsid w:val="008107F8"/>
    <w:rsid w:val="00810831"/>
    <w:rsid w:val="00812B91"/>
    <w:rsid w:val="0081405E"/>
    <w:rsid w:val="00814691"/>
    <w:rsid w:val="008162AE"/>
    <w:rsid w:val="00817653"/>
    <w:rsid w:val="0082145C"/>
    <w:rsid w:val="0082163C"/>
    <w:rsid w:val="0082189A"/>
    <w:rsid w:val="00821FB0"/>
    <w:rsid w:val="00822CBC"/>
    <w:rsid w:val="00822FB4"/>
    <w:rsid w:val="0082304A"/>
    <w:rsid w:val="00823982"/>
    <w:rsid w:val="0082450C"/>
    <w:rsid w:val="00824B83"/>
    <w:rsid w:val="00824E93"/>
    <w:rsid w:val="0082571B"/>
    <w:rsid w:val="00825907"/>
    <w:rsid w:val="00826B20"/>
    <w:rsid w:val="0082732A"/>
    <w:rsid w:val="00830DFE"/>
    <w:rsid w:val="00831866"/>
    <w:rsid w:val="0083255B"/>
    <w:rsid w:val="0083273E"/>
    <w:rsid w:val="00832B72"/>
    <w:rsid w:val="008333D9"/>
    <w:rsid w:val="008336F0"/>
    <w:rsid w:val="00834AE6"/>
    <w:rsid w:val="008353A5"/>
    <w:rsid w:val="00835E7A"/>
    <w:rsid w:val="00835EB7"/>
    <w:rsid w:val="00835F11"/>
    <w:rsid w:val="0083652F"/>
    <w:rsid w:val="00836709"/>
    <w:rsid w:val="0083677B"/>
    <w:rsid w:val="00836827"/>
    <w:rsid w:val="008371FB"/>
    <w:rsid w:val="00837512"/>
    <w:rsid w:val="00840C2C"/>
    <w:rsid w:val="008412CD"/>
    <w:rsid w:val="00841F54"/>
    <w:rsid w:val="008423B7"/>
    <w:rsid w:val="00843312"/>
    <w:rsid w:val="0084363F"/>
    <w:rsid w:val="00844EC7"/>
    <w:rsid w:val="00844F07"/>
    <w:rsid w:val="00845873"/>
    <w:rsid w:val="008458C6"/>
    <w:rsid w:val="00845B73"/>
    <w:rsid w:val="00846A11"/>
    <w:rsid w:val="008471AF"/>
    <w:rsid w:val="008471E4"/>
    <w:rsid w:val="0084760C"/>
    <w:rsid w:val="00847893"/>
    <w:rsid w:val="008500CC"/>
    <w:rsid w:val="008504F2"/>
    <w:rsid w:val="00850683"/>
    <w:rsid w:val="008510B4"/>
    <w:rsid w:val="0085202D"/>
    <w:rsid w:val="0085204D"/>
    <w:rsid w:val="00852D53"/>
    <w:rsid w:val="00852DDC"/>
    <w:rsid w:val="00852F20"/>
    <w:rsid w:val="008530E9"/>
    <w:rsid w:val="0085375A"/>
    <w:rsid w:val="00854300"/>
    <w:rsid w:val="00854A6F"/>
    <w:rsid w:val="0085621B"/>
    <w:rsid w:val="008602D2"/>
    <w:rsid w:val="00860B24"/>
    <w:rsid w:val="00861651"/>
    <w:rsid w:val="00861710"/>
    <w:rsid w:val="008625DB"/>
    <w:rsid w:val="0086346D"/>
    <w:rsid w:val="00864007"/>
    <w:rsid w:val="0086410F"/>
    <w:rsid w:val="008647B8"/>
    <w:rsid w:val="00864905"/>
    <w:rsid w:val="0086499E"/>
    <w:rsid w:val="008649BD"/>
    <w:rsid w:val="008653EC"/>
    <w:rsid w:val="00865518"/>
    <w:rsid w:val="00865571"/>
    <w:rsid w:val="008657FD"/>
    <w:rsid w:val="008658E9"/>
    <w:rsid w:val="00865BD4"/>
    <w:rsid w:val="008665CE"/>
    <w:rsid w:val="008678B6"/>
    <w:rsid w:val="00867E56"/>
    <w:rsid w:val="008703CB"/>
    <w:rsid w:val="008704C4"/>
    <w:rsid w:val="00871B42"/>
    <w:rsid w:val="00871D06"/>
    <w:rsid w:val="00872C27"/>
    <w:rsid w:val="00872D5A"/>
    <w:rsid w:val="0087317D"/>
    <w:rsid w:val="0087359F"/>
    <w:rsid w:val="008737C5"/>
    <w:rsid w:val="00875527"/>
    <w:rsid w:val="00876420"/>
    <w:rsid w:val="00876BCA"/>
    <w:rsid w:val="00876EB3"/>
    <w:rsid w:val="008771EF"/>
    <w:rsid w:val="0088020F"/>
    <w:rsid w:val="00880B56"/>
    <w:rsid w:val="00882A84"/>
    <w:rsid w:val="00883188"/>
    <w:rsid w:val="00883B09"/>
    <w:rsid w:val="00883D6D"/>
    <w:rsid w:val="00883F0D"/>
    <w:rsid w:val="00884252"/>
    <w:rsid w:val="008842E9"/>
    <w:rsid w:val="0088466F"/>
    <w:rsid w:val="00884C1C"/>
    <w:rsid w:val="00884C29"/>
    <w:rsid w:val="008858D1"/>
    <w:rsid w:val="00885FE1"/>
    <w:rsid w:val="008860AB"/>
    <w:rsid w:val="008868CF"/>
    <w:rsid w:val="00887597"/>
    <w:rsid w:val="00891205"/>
    <w:rsid w:val="008917BC"/>
    <w:rsid w:val="00891B1B"/>
    <w:rsid w:val="00891C26"/>
    <w:rsid w:val="008956C5"/>
    <w:rsid w:val="00896397"/>
    <w:rsid w:val="008977C3"/>
    <w:rsid w:val="00897F94"/>
    <w:rsid w:val="008A18C7"/>
    <w:rsid w:val="008A2B5B"/>
    <w:rsid w:val="008A3E23"/>
    <w:rsid w:val="008A426B"/>
    <w:rsid w:val="008A4447"/>
    <w:rsid w:val="008A59BC"/>
    <w:rsid w:val="008A5C28"/>
    <w:rsid w:val="008A5F4B"/>
    <w:rsid w:val="008A5F7C"/>
    <w:rsid w:val="008A6D6C"/>
    <w:rsid w:val="008B08A4"/>
    <w:rsid w:val="008B1063"/>
    <w:rsid w:val="008B4725"/>
    <w:rsid w:val="008B47DE"/>
    <w:rsid w:val="008B4886"/>
    <w:rsid w:val="008B631B"/>
    <w:rsid w:val="008B6622"/>
    <w:rsid w:val="008B7801"/>
    <w:rsid w:val="008B794B"/>
    <w:rsid w:val="008C007E"/>
    <w:rsid w:val="008C02EE"/>
    <w:rsid w:val="008C0F18"/>
    <w:rsid w:val="008C250A"/>
    <w:rsid w:val="008C25EA"/>
    <w:rsid w:val="008C2A9E"/>
    <w:rsid w:val="008C37D5"/>
    <w:rsid w:val="008C3DC0"/>
    <w:rsid w:val="008C4009"/>
    <w:rsid w:val="008C419F"/>
    <w:rsid w:val="008C56D3"/>
    <w:rsid w:val="008C573E"/>
    <w:rsid w:val="008C6B26"/>
    <w:rsid w:val="008C6E7E"/>
    <w:rsid w:val="008C70AD"/>
    <w:rsid w:val="008C7546"/>
    <w:rsid w:val="008C7617"/>
    <w:rsid w:val="008C77D2"/>
    <w:rsid w:val="008D063C"/>
    <w:rsid w:val="008D339E"/>
    <w:rsid w:val="008D3BBA"/>
    <w:rsid w:val="008D4249"/>
    <w:rsid w:val="008D45AD"/>
    <w:rsid w:val="008D50ED"/>
    <w:rsid w:val="008D52CA"/>
    <w:rsid w:val="008D600A"/>
    <w:rsid w:val="008D63CD"/>
    <w:rsid w:val="008D6CC6"/>
    <w:rsid w:val="008D6EA2"/>
    <w:rsid w:val="008D79D5"/>
    <w:rsid w:val="008D7B1F"/>
    <w:rsid w:val="008E0AEF"/>
    <w:rsid w:val="008E13CC"/>
    <w:rsid w:val="008E1464"/>
    <w:rsid w:val="008E15C4"/>
    <w:rsid w:val="008E1D55"/>
    <w:rsid w:val="008E2331"/>
    <w:rsid w:val="008E27D9"/>
    <w:rsid w:val="008E34AE"/>
    <w:rsid w:val="008E3F12"/>
    <w:rsid w:val="008E4799"/>
    <w:rsid w:val="008E6685"/>
    <w:rsid w:val="008E7D24"/>
    <w:rsid w:val="008F0470"/>
    <w:rsid w:val="008F0DD8"/>
    <w:rsid w:val="008F0F60"/>
    <w:rsid w:val="008F17F7"/>
    <w:rsid w:val="008F1C56"/>
    <w:rsid w:val="008F25C2"/>
    <w:rsid w:val="008F2AF6"/>
    <w:rsid w:val="008F3D5A"/>
    <w:rsid w:val="008F3F36"/>
    <w:rsid w:val="008F410A"/>
    <w:rsid w:val="008F4DCF"/>
    <w:rsid w:val="008F5B1B"/>
    <w:rsid w:val="008F5D8C"/>
    <w:rsid w:val="008F650C"/>
    <w:rsid w:val="008F6BD9"/>
    <w:rsid w:val="008F6FBC"/>
    <w:rsid w:val="008F7079"/>
    <w:rsid w:val="008F70C4"/>
    <w:rsid w:val="008F71EC"/>
    <w:rsid w:val="008F74EA"/>
    <w:rsid w:val="009004E1"/>
    <w:rsid w:val="00900A74"/>
    <w:rsid w:val="00900F35"/>
    <w:rsid w:val="00901316"/>
    <w:rsid w:val="00901BAE"/>
    <w:rsid w:val="009020C2"/>
    <w:rsid w:val="009022BA"/>
    <w:rsid w:val="009024CD"/>
    <w:rsid w:val="00902664"/>
    <w:rsid w:val="00903E7F"/>
    <w:rsid w:val="00904BC0"/>
    <w:rsid w:val="009052F5"/>
    <w:rsid w:val="0090710E"/>
    <w:rsid w:val="009074E5"/>
    <w:rsid w:val="00907E86"/>
    <w:rsid w:val="0091053D"/>
    <w:rsid w:val="00910C6D"/>
    <w:rsid w:val="0091111E"/>
    <w:rsid w:val="0091133D"/>
    <w:rsid w:val="009115AC"/>
    <w:rsid w:val="009118D2"/>
    <w:rsid w:val="00912A6D"/>
    <w:rsid w:val="00912BCA"/>
    <w:rsid w:val="0091329E"/>
    <w:rsid w:val="00913F5C"/>
    <w:rsid w:val="00914302"/>
    <w:rsid w:val="00914D1E"/>
    <w:rsid w:val="00914F3C"/>
    <w:rsid w:val="00916220"/>
    <w:rsid w:val="009175BD"/>
    <w:rsid w:val="00917EA5"/>
    <w:rsid w:val="0092021C"/>
    <w:rsid w:val="00921124"/>
    <w:rsid w:val="00922CFF"/>
    <w:rsid w:val="009236A5"/>
    <w:rsid w:val="0092410B"/>
    <w:rsid w:val="009241BF"/>
    <w:rsid w:val="00925346"/>
    <w:rsid w:val="00925A43"/>
    <w:rsid w:val="00926F11"/>
    <w:rsid w:val="00927EF3"/>
    <w:rsid w:val="00927F6C"/>
    <w:rsid w:val="00930455"/>
    <w:rsid w:val="00930EF3"/>
    <w:rsid w:val="0093135C"/>
    <w:rsid w:val="009317B3"/>
    <w:rsid w:val="009328E1"/>
    <w:rsid w:val="00932965"/>
    <w:rsid w:val="00932E0C"/>
    <w:rsid w:val="00933D79"/>
    <w:rsid w:val="009343D0"/>
    <w:rsid w:val="00934406"/>
    <w:rsid w:val="00934BBE"/>
    <w:rsid w:val="00934DB9"/>
    <w:rsid w:val="0093569A"/>
    <w:rsid w:val="00936396"/>
    <w:rsid w:val="0093652E"/>
    <w:rsid w:val="00936FE9"/>
    <w:rsid w:val="0093706A"/>
    <w:rsid w:val="009373BB"/>
    <w:rsid w:val="00937C9B"/>
    <w:rsid w:val="00940AA1"/>
    <w:rsid w:val="00940F47"/>
    <w:rsid w:val="009412CF"/>
    <w:rsid w:val="00942504"/>
    <w:rsid w:val="00943540"/>
    <w:rsid w:val="00943E8F"/>
    <w:rsid w:val="009441BC"/>
    <w:rsid w:val="00944283"/>
    <w:rsid w:val="009445BC"/>
    <w:rsid w:val="00944DF1"/>
    <w:rsid w:val="0094536C"/>
    <w:rsid w:val="0094564E"/>
    <w:rsid w:val="00946A7D"/>
    <w:rsid w:val="00946F78"/>
    <w:rsid w:val="00947615"/>
    <w:rsid w:val="00947F6D"/>
    <w:rsid w:val="00950382"/>
    <w:rsid w:val="0095192B"/>
    <w:rsid w:val="00951F7A"/>
    <w:rsid w:val="009523FB"/>
    <w:rsid w:val="00952552"/>
    <w:rsid w:val="00952BD8"/>
    <w:rsid w:val="00953A09"/>
    <w:rsid w:val="00953B82"/>
    <w:rsid w:val="009540F6"/>
    <w:rsid w:val="0095674E"/>
    <w:rsid w:val="0095676C"/>
    <w:rsid w:val="00957295"/>
    <w:rsid w:val="0095730E"/>
    <w:rsid w:val="009575F5"/>
    <w:rsid w:val="00957F1E"/>
    <w:rsid w:val="009602B0"/>
    <w:rsid w:val="00960C82"/>
    <w:rsid w:val="009618B1"/>
    <w:rsid w:val="00962FF9"/>
    <w:rsid w:val="00963ED5"/>
    <w:rsid w:val="009640F4"/>
    <w:rsid w:val="009643FE"/>
    <w:rsid w:val="009654E0"/>
    <w:rsid w:val="009665A5"/>
    <w:rsid w:val="00966DD2"/>
    <w:rsid w:val="00967874"/>
    <w:rsid w:val="00967F89"/>
    <w:rsid w:val="0097002C"/>
    <w:rsid w:val="00970AA6"/>
    <w:rsid w:val="0097131A"/>
    <w:rsid w:val="00971B60"/>
    <w:rsid w:val="009729A7"/>
    <w:rsid w:val="009730B7"/>
    <w:rsid w:val="009731DF"/>
    <w:rsid w:val="0097332C"/>
    <w:rsid w:val="0097368E"/>
    <w:rsid w:val="0097399F"/>
    <w:rsid w:val="00975952"/>
    <w:rsid w:val="00975D28"/>
    <w:rsid w:val="00976621"/>
    <w:rsid w:val="00976AAE"/>
    <w:rsid w:val="00977972"/>
    <w:rsid w:val="009779C0"/>
    <w:rsid w:val="009813B7"/>
    <w:rsid w:val="009823A8"/>
    <w:rsid w:val="0098298F"/>
    <w:rsid w:val="00982A00"/>
    <w:rsid w:val="00983441"/>
    <w:rsid w:val="0098347A"/>
    <w:rsid w:val="00983677"/>
    <w:rsid w:val="00983964"/>
    <w:rsid w:val="00983D21"/>
    <w:rsid w:val="00983E24"/>
    <w:rsid w:val="00984035"/>
    <w:rsid w:val="0098456B"/>
    <w:rsid w:val="00984A56"/>
    <w:rsid w:val="00984A72"/>
    <w:rsid w:val="00985663"/>
    <w:rsid w:val="00985ABB"/>
    <w:rsid w:val="00986D50"/>
    <w:rsid w:val="00990A1E"/>
    <w:rsid w:val="00990AE4"/>
    <w:rsid w:val="009917F8"/>
    <w:rsid w:val="00991F0C"/>
    <w:rsid w:val="009923EC"/>
    <w:rsid w:val="00992596"/>
    <w:rsid w:val="009934C4"/>
    <w:rsid w:val="0099366F"/>
    <w:rsid w:val="0099417E"/>
    <w:rsid w:val="0099427B"/>
    <w:rsid w:val="0099471F"/>
    <w:rsid w:val="0099496B"/>
    <w:rsid w:val="009955D2"/>
    <w:rsid w:val="00995CDC"/>
    <w:rsid w:val="00996959"/>
    <w:rsid w:val="00997053"/>
    <w:rsid w:val="009972AB"/>
    <w:rsid w:val="0099731E"/>
    <w:rsid w:val="00997C30"/>
    <w:rsid w:val="009A082A"/>
    <w:rsid w:val="009A0B9D"/>
    <w:rsid w:val="009A10E3"/>
    <w:rsid w:val="009A1109"/>
    <w:rsid w:val="009A2D92"/>
    <w:rsid w:val="009A2DEA"/>
    <w:rsid w:val="009A3EDA"/>
    <w:rsid w:val="009A414E"/>
    <w:rsid w:val="009A43A1"/>
    <w:rsid w:val="009A5BE2"/>
    <w:rsid w:val="009A6582"/>
    <w:rsid w:val="009A6AA7"/>
    <w:rsid w:val="009A72F3"/>
    <w:rsid w:val="009A73CE"/>
    <w:rsid w:val="009A7C3C"/>
    <w:rsid w:val="009B0172"/>
    <w:rsid w:val="009B0357"/>
    <w:rsid w:val="009B04E8"/>
    <w:rsid w:val="009B06FD"/>
    <w:rsid w:val="009B09A6"/>
    <w:rsid w:val="009B0AD1"/>
    <w:rsid w:val="009B0C2B"/>
    <w:rsid w:val="009B13EC"/>
    <w:rsid w:val="009B1521"/>
    <w:rsid w:val="009B1CB2"/>
    <w:rsid w:val="009B2489"/>
    <w:rsid w:val="009B3B7F"/>
    <w:rsid w:val="009B3FAC"/>
    <w:rsid w:val="009B42ED"/>
    <w:rsid w:val="009B4409"/>
    <w:rsid w:val="009B4436"/>
    <w:rsid w:val="009B5068"/>
    <w:rsid w:val="009B54E1"/>
    <w:rsid w:val="009B57A5"/>
    <w:rsid w:val="009B57BE"/>
    <w:rsid w:val="009B5E46"/>
    <w:rsid w:val="009B7834"/>
    <w:rsid w:val="009B7CFA"/>
    <w:rsid w:val="009C100F"/>
    <w:rsid w:val="009C1391"/>
    <w:rsid w:val="009C1400"/>
    <w:rsid w:val="009C1831"/>
    <w:rsid w:val="009C1C1D"/>
    <w:rsid w:val="009C3903"/>
    <w:rsid w:val="009C3B2E"/>
    <w:rsid w:val="009C4055"/>
    <w:rsid w:val="009C4EF6"/>
    <w:rsid w:val="009C59ED"/>
    <w:rsid w:val="009C59FD"/>
    <w:rsid w:val="009C5BF6"/>
    <w:rsid w:val="009C5E72"/>
    <w:rsid w:val="009C63B9"/>
    <w:rsid w:val="009C6FBF"/>
    <w:rsid w:val="009C7207"/>
    <w:rsid w:val="009C75E6"/>
    <w:rsid w:val="009C7C26"/>
    <w:rsid w:val="009C7F14"/>
    <w:rsid w:val="009D067B"/>
    <w:rsid w:val="009D216B"/>
    <w:rsid w:val="009D232B"/>
    <w:rsid w:val="009D44FF"/>
    <w:rsid w:val="009D45E4"/>
    <w:rsid w:val="009D4638"/>
    <w:rsid w:val="009D4A25"/>
    <w:rsid w:val="009D4AD9"/>
    <w:rsid w:val="009D5AF6"/>
    <w:rsid w:val="009D5DDD"/>
    <w:rsid w:val="009D7981"/>
    <w:rsid w:val="009D7C62"/>
    <w:rsid w:val="009E043F"/>
    <w:rsid w:val="009E0CDD"/>
    <w:rsid w:val="009E2F58"/>
    <w:rsid w:val="009E311B"/>
    <w:rsid w:val="009E3537"/>
    <w:rsid w:val="009E4E3D"/>
    <w:rsid w:val="009E5936"/>
    <w:rsid w:val="009E66B2"/>
    <w:rsid w:val="009E6D40"/>
    <w:rsid w:val="009E74AF"/>
    <w:rsid w:val="009E7EA1"/>
    <w:rsid w:val="009F014C"/>
    <w:rsid w:val="009F0FA3"/>
    <w:rsid w:val="009F1BE7"/>
    <w:rsid w:val="009F1BF4"/>
    <w:rsid w:val="009F1E48"/>
    <w:rsid w:val="009F2B68"/>
    <w:rsid w:val="009F442B"/>
    <w:rsid w:val="009F4439"/>
    <w:rsid w:val="009F460D"/>
    <w:rsid w:val="009F4843"/>
    <w:rsid w:val="009F4ADA"/>
    <w:rsid w:val="009F4B2F"/>
    <w:rsid w:val="009F4C1D"/>
    <w:rsid w:val="009F50CB"/>
    <w:rsid w:val="009F5AFC"/>
    <w:rsid w:val="009F6BF6"/>
    <w:rsid w:val="009F7E12"/>
    <w:rsid w:val="009F7F8B"/>
    <w:rsid w:val="00A000D7"/>
    <w:rsid w:val="00A00B1C"/>
    <w:rsid w:val="00A00DEA"/>
    <w:rsid w:val="00A0228F"/>
    <w:rsid w:val="00A02B0F"/>
    <w:rsid w:val="00A0312E"/>
    <w:rsid w:val="00A03702"/>
    <w:rsid w:val="00A0597E"/>
    <w:rsid w:val="00A103D5"/>
    <w:rsid w:val="00A10DC0"/>
    <w:rsid w:val="00A1125E"/>
    <w:rsid w:val="00A11A01"/>
    <w:rsid w:val="00A123A5"/>
    <w:rsid w:val="00A123C8"/>
    <w:rsid w:val="00A13387"/>
    <w:rsid w:val="00A135D3"/>
    <w:rsid w:val="00A13EE9"/>
    <w:rsid w:val="00A162B4"/>
    <w:rsid w:val="00A16B9E"/>
    <w:rsid w:val="00A17365"/>
    <w:rsid w:val="00A174AA"/>
    <w:rsid w:val="00A20167"/>
    <w:rsid w:val="00A2041C"/>
    <w:rsid w:val="00A21664"/>
    <w:rsid w:val="00A21B98"/>
    <w:rsid w:val="00A21F54"/>
    <w:rsid w:val="00A2290F"/>
    <w:rsid w:val="00A22A55"/>
    <w:rsid w:val="00A25033"/>
    <w:rsid w:val="00A25BB2"/>
    <w:rsid w:val="00A25EA1"/>
    <w:rsid w:val="00A26438"/>
    <w:rsid w:val="00A26605"/>
    <w:rsid w:val="00A268D6"/>
    <w:rsid w:val="00A26C24"/>
    <w:rsid w:val="00A26EB6"/>
    <w:rsid w:val="00A272C1"/>
    <w:rsid w:val="00A279F3"/>
    <w:rsid w:val="00A27CB4"/>
    <w:rsid w:val="00A27EC9"/>
    <w:rsid w:val="00A309B8"/>
    <w:rsid w:val="00A30C6B"/>
    <w:rsid w:val="00A31253"/>
    <w:rsid w:val="00A31829"/>
    <w:rsid w:val="00A31B68"/>
    <w:rsid w:val="00A32781"/>
    <w:rsid w:val="00A32D07"/>
    <w:rsid w:val="00A33DFE"/>
    <w:rsid w:val="00A34A88"/>
    <w:rsid w:val="00A34B35"/>
    <w:rsid w:val="00A34C0F"/>
    <w:rsid w:val="00A34F90"/>
    <w:rsid w:val="00A353B5"/>
    <w:rsid w:val="00A358DC"/>
    <w:rsid w:val="00A360FC"/>
    <w:rsid w:val="00A3637E"/>
    <w:rsid w:val="00A364AD"/>
    <w:rsid w:val="00A3697B"/>
    <w:rsid w:val="00A37096"/>
    <w:rsid w:val="00A374A2"/>
    <w:rsid w:val="00A374F3"/>
    <w:rsid w:val="00A378B3"/>
    <w:rsid w:val="00A37CB9"/>
    <w:rsid w:val="00A408B0"/>
    <w:rsid w:val="00A40D0B"/>
    <w:rsid w:val="00A41D0F"/>
    <w:rsid w:val="00A41DBF"/>
    <w:rsid w:val="00A4252A"/>
    <w:rsid w:val="00A42C31"/>
    <w:rsid w:val="00A44B63"/>
    <w:rsid w:val="00A45396"/>
    <w:rsid w:val="00A458DF"/>
    <w:rsid w:val="00A45A4F"/>
    <w:rsid w:val="00A45F3E"/>
    <w:rsid w:val="00A46096"/>
    <w:rsid w:val="00A50300"/>
    <w:rsid w:val="00A5035C"/>
    <w:rsid w:val="00A50CD2"/>
    <w:rsid w:val="00A5115D"/>
    <w:rsid w:val="00A511A2"/>
    <w:rsid w:val="00A5166C"/>
    <w:rsid w:val="00A52091"/>
    <w:rsid w:val="00A52386"/>
    <w:rsid w:val="00A52C99"/>
    <w:rsid w:val="00A54353"/>
    <w:rsid w:val="00A544A0"/>
    <w:rsid w:val="00A54C34"/>
    <w:rsid w:val="00A54DDA"/>
    <w:rsid w:val="00A561A6"/>
    <w:rsid w:val="00A56421"/>
    <w:rsid w:val="00A60309"/>
    <w:rsid w:val="00A60AD4"/>
    <w:rsid w:val="00A60CE0"/>
    <w:rsid w:val="00A610CE"/>
    <w:rsid w:val="00A61514"/>
    <w:rsid w:val="00A61AFF"/>
    <w:rsid w:val="00A62BC8"/>
    <w:rsid w:val="00A62E1D"/>
    <w:rsid w:val="00A6368C"/>
    <w:rsid w:val="00A65073"/>
    <w:rsid w:val="00A6569A"/>
    <w:rsid w:val="00A66DD4"/>
    <w:rsid w:val="00A67239"/>
    <w:rsid w:val="00A6742B"/>
    <w:rsid w:val="00A677CA"/>
    <w:rsid w:val="00A67DC7"/>
    <w:rsid w:val="00A70AC9"/>
    <w:rsid w:val="00A70E9F"/>
    <w:rsid w:val="00A71118"/>
    <w:rsid w:val="00A71EB0"/>
    <w:rsid w:val="00A71FA6"/>
    <w:rsid w:val="00A727D1"/>
    <w:rsid w:val="00A736A1"/>
    <w:rsid w:val="00A73A72"/>
    <w:rsid w:val="00A7488C"/>
    <w:rsid w:val="00A74AEF"/>
    <w:rsid w:val="00A754F6"/>
    <w:rsid w:val="00A77596"/>
    <w:rsid w:val="00A77739"/>
    <w:rsid w:val="00A800D9"/>
    <w:rsid w:val="00A8050A"/>
    <w:rsid w:val="00A80758"/>
    <w:rsid w:val="00A80762"/>
    <w:rsid w:val="00A807D9"/>
    <w:rsid w:val="00A80E81"/>
    <w:rsid w:val="00A8124E"/>
    <w:rsid w:val="00A82353"/>
    <w:rsid w:val="00A8255B"/>
    <w:rsid w:val="00A82D95"/>
    <w:rsid w:val="00A83D70"/>
    <w:rsid w:val="00A84460"/>
    <w:rsid w:val="00A85259"/>
    <w:rsid w:val="00A85675"/>
    <w:rsid w:val="00A85727"/>
    <w:rsid w:val="00A85EFA"/>
    <w:rsid w:val="00A868AA"/>
    <w:rsid w:val="00A87894"/>
    <w:rsid w:val="00A87A38"/>
    <w:rsid w:val="00A90549"/>
    <w:rsid w:val="00A90DB4"/>
    <w:rsid w:val="00A91394"/>
    <w:rsid w:val="00A9212E"/>
    <w:rsid w:val="00A92285"/>
    <w:rsid w:val="00A93609"/>
    <w:rsid w:val="00A93E7F"/>
    <w:rsid w:val="00A93FDC"/>
    <w:rsid w:val="00A94297"/>
    <w:rsid w:val="00A94606"/>
    <w:rsid w:val="00A9497C"/>
    <w:rsid w:val="00A9741E"/>
    <w:rsid w:val="00A974C6"/>
    <w:rsid w:val="00A97CC5"/>
    <w:rsid w:val="00AA0B1A"/>
    <w:rsid w:val="00AA1A02"/>
    <w:rsid w:val="00AA267F"/>
    <w:rsid w:val="00AA3C6D"/>
    <w:rsid w:val="00AA629D"/>
    <w:rsid w:val="00AA67AE"/>
    <w:rsid w:val="00AA6ACD"/>
    <w:rsid w:val="00AA6B4F"/>
    <w:rsid w:val="00AA6EE2"/>
    <w:rsid w:val="00AB0C24"/>
    <w:rsid w:val="00AB1C18"/>
    <w:rsid w:val="00AB2267"/>
    <w:rsid w:val="00AB2CB5"/>
    <w:rsid w:val="00AB2EF6"/>
    <w:rsid w:val="00AB2FD8"/>
    <w:rsid w:val="00AB39DC"/>
    <w:rsid w:val="00AB3A55"/>
    <w:rsid w:val="00AB3BC8"/>
    <w:rsid w:val="00AB3CCF"/>
    <w:rsid w:val="00AB48E9"/>
    <w:rsid w:val="00AB54CF"/>
    <w:rsid w:val="00AB64BB"/>
    <w:rsid w:val="00AB6681"/>
    <w:rsid w:val="00AB7C26"/>
    <w:rsid w:val="00AB7FC8"/>
    <w:rsid w:val="00AC0160"/>
    <w:rsid w:val="00AC08F2"/>
    <w:rsid w:val="00AC0E9A"/>
    <w:rsid w:val="00AC0F3E"/>
    <w:rsid w:val="00AC1920"/>
    <w:rsid w:val="00AC1AC0"/>
    <w:rsid w:val="00AC2B51"/>
    <w:rsid w:val="00AC451A"/>
    <w:rsid w:val="00AC506F"/>
    <w:rsid w:val="00AC5737"/>
    <w:rsid w:val="00AC650F"/>
    <w:rsid w:val="00AC6A3E"/>
    <w:rsid w:val="00AD0FE0"/>
    <w:rsid w:val="00AD10F5"/>
    <w:rsid w:val="00AD193E"/>
    <w:rsid w:val="00AD23E7"/>
    <w:rsid w:val="00AD2C7D"/>
    <w:rsid w:val="00AD35AC"/>
    <w:rsid w:val="00AD3C26"/>
    <w:rsid w:val="00AD4AD5"/>
    <w:rsid w:val="00AD4D81"/>
    <w:rsid w:val="00AD4FF0"/>
    <w:rsid w:val="00AD5D82"/>
    <w:rsid w:val="00AD5E9F"/>
    <w:rsid w:val="00AD5EF5"/>
    <w:rsid w:val="00AD5FDE"/>
    <w:rsid w:val="00AD7812"/>
    <w:rsid w:val="00AD7A2A"/>
    <w:rsid w:val="00AD7FF3"/>
    <w:rsid w:val="00AE0C74"/>
    <w:rsid w:val="00AE0CF7"/>
    <w:rsid w:val="00AE1FDA"/>
    <w:rsid w:val="00AE2FFF"/>
    <w:rsid w:val="00AE32B8"/>
    <w:rsid w:val="00AE4579"/>
    <w:rsid w:val="00AE4992"/>
    <w:rsid w:val="00AE4FA6"/>
    <w:rsid w:val="00AE4FBD"/>
    <w:rsid w:val="00AE53C9"/>
    <w:rsid w:val="00AE5C70"/>
    <w:rsid w:val="00AE6C21"/>
    <w:rsid w:val="00AE6F10"/>
    <w:rsid w:val="00AE745B"/>
    <w:rsid w:val="00AE7536"/>
    <w:rsid w:val="00AF0ABE"/>
    <w:rsid w:val="00AF0CC0"/>
    <w:rsid w:val="00AF0F9C"/>
    <w:rsid w:val="00AF211A"/>
    <w:rsid w:val="00AF2258"/>
    <w:rsid w:val="00AF352F"/>
    <w:rsid w:val="00AF3620"/>
    <w:rsid w:val="00AF3E89"/>
    <w:rsid w:val="00AF4B07"/>
    <w:rsid w:val="00AF5119"/>
    <w:rsid w:val="00AF535C"/>
    <w:rsid w:val="00AF6197"/>
    <w:rsid w:val="00AF6768"/>
    <w:rsid w:val="00AF68BF"/>
    <w:rsid w:val="00AF703F"/>
    <w:rsid w:val="00AF74B2"/>
    <w:rsid w:val="00AF7699"/>
    <w:rsid w:val="00AF7A8A"/>
    <w:rsid w:val="00B0040B"/>
    <w:rsid w:val="00B010F7"/>
    <w:rsid w:val="00B0176D"/>
    <w:rsid w:val="00B0192F"/>
    <w:rsid w:val="00B01B7A"/>
    <w:rsid w:val="00B0353F"/>
    <w:rsid w:val="00B035D0"/>
    <w:rsid w:val="00B046B5"/>
    <w:rsid w:val="00B05152"/>
    <w:rsid w:val="00B077A5"/>
    <w:rsid w:val="00B078C7"/>
    <w:rsid w:val="00B07EF3"/>
    <w:rsid w:val="00B10252"/>
    <w:rsid w:val="00B103B4"/>
    <w:rsid w:val="00B10F86"/>
    <w:rsid w:val="00B11010"/>
    <w:rsid w:val="00B13BAC"/>
    <w:rsid w:val="00B13EF2"/>
    <w:rsid w:val="00B14039"/>
    <w:rsid w:val="00B14AE1"/>
    <w:rsid w:val="00B14CB7"/>
    <w:rsid w:val="00B158B2"/>
    <w:rsid w:val="00B15BBE"/>
    <w:rsid w:val="00B15D49"/>
    <w:rsid w:val="00B160AF"/>
    <w:rsid w:val="00B16209"/>
    <w:rsid w:val="00B1669D"/>
    <w:rsid w:val="00B166C2"/>
    <w:rsid w:val="00B167DB"/>
    <w:rsid w:val="00B169F3"/>
    <w:rsid w:val="00B17383"/>
    <w:rsid w:val="00B17407"/>
    <w:rsid w:val="00B2090A"/>
    <w:rsid w:val="00B209D3"/>
    <w:rsid w:val="00B22064"/>
    <w:rsid w:val="00B22465"/>
    <w:rsid w:val="00B22541"/>
    <w:rsid w:val="00B23C25"/>
    <w:rsid w:val="00B25D7F"/>
    <w:rsid w:val="00B25ED8"/>
    <w:rsid w:val="00B263A1"/>
    <w:rsid w:val="00B26515"/>
    <w:rsid w:val="00B27507"/>
    <w:rsid w:val="00B27925"/>
    <w:rsid w:val="00B30209"/>
    <w:rsid w:val="00B3035E"/>
    <w:rsid w:val="00B31787"/>
    <w:rsid w:val="00B31C58"/>
    <w:rsid w:val="00B31D50"/>
    <w:rsid w:val="00B3224A"/>
    <w:rsid w:val="00B33161"/>
    <w:rsid w:val="00B33493"/>
    <w:rsid w:val="00B335CE"/>
    <w:rsid w:val="00B33F80"/>
    <w:rsid w:val="00B346C8"/>
    <w:rsid w:val="00B34921"/>
    <w:rsid w:val="00B34C47"/>
    <w:rsid w:val="00B35578"/>
    <w:rsid w:val="00B35580"/>
    <w:rsid w:val="00B35E5A"/>
    <w:rsid w:val="00B36513"/>
    <w:rsid w:val="00B37343"/>
    <w:rsid w:val="00B37FAE"/>
    <w:rsid w:val="00B407EF"/>
    <w:rsid w:val="00B41F55"/>
    <w:rsid w:val="00B42125"/>
    <w:rsid w:val="00B42EB1"/>
    <w:rsid w:val="00B42F33"/>
    <w:rsid w:val="00B438BC"/>
    <w:rsid w:val="00B43B97"/>
    <w:rsid w:val="00B441AA"/>
    <w:rsid w:val="00B44411"/>
    <w:rsid w:val="00B445E7"/>
    <w:rsid w:val="00B44811"/>
    <w:rsid w:val="00B4491A"/>
    <w:rsid w:val="00B44BB1"/>
    <w:rsid w:val="00B44FD3"/>
    <w:rsid w:val="00B463B2"/>
    <w:rsid w:val="00B5000B"/>
    <w:rsid w:val="00B50269"/>
    <w:rsid w:val="00B50310"/>
    <w:rsid w:val="00B50585"/>
    <w:rsid w:val="00B50E54"/>
    <w:rsid w:val="00B539B8"/>
    <w:rsid w:val="00B53D44"/>
    <w:rsid w:val="00B53E0D"/>
    <w:rsid w:val="00B5628E"/>
    <w:rsid w:val="00B56700"/>
    <w:rsid w:val="00B57697"/>
    <w:rsid w:val="00B600D4"/>
    <w:rsid w:val="00B60A09"/>
    <w:rsid w:val="00B60C10"/>
    <w:rsid w:val="00B60C57"/>
    <w:rsid w:val="00B60FC2"/>
    <w:rsid w:val="00B6142E"/>
    <w:rsid w:val="00B621BD"/>
    <w:rsid w:val="00B62B22"/>
    <w:rsid w:val="00B62D1A"/>
    <w:rsid w:val="00B6338C"/>
    <w:rsid w:val="00B63448"/>
    <w:rsid w:val="00B634AF"/>
    <w:rsid w:val="00B636B4"/>
    <w:rsid w:val="00B63705"/>
    <w:rsid w:val="00B63DD3"/>
    <w:rsid w:val="00B64106"/>
    <w:rsid w:val="00B661CE"/>
    <w:rsid w:val="00B6785C"/>
    <w:rsid w:val="00B678AB"/>
    <w:rsid w:val="00B67C83"/>
    <w:rsid w:val="00B70020"/>
    <w:rsid w:val="00B707D6"/>
    <w:rsid w:val="00B70ADC"/>
    <w:rsid w:val="00B70D24"/>
    <w:rsid w:val="00B71934"/>
    <w:rsid w:val="00B73837"/>
    <w:rsid w:val="00B73BEF"/>
    <w:rsid w:val="00B74589"/>
    <w:rsid w:val="00B748C5"/>
    <w:rsid w:val="00B74AF5"/>
    <w:rsid w:val="00B74BB2"/>
    <w:rsid w:val="00B74E60"/>
    <w:rsid w:val="00B75AE2"/>
    <w:rsid w:val="00B75B70"/>
    <w:rsid w:val="00B7635A"/>
    <w:rsid w:val="00B76458"/>
    <w:rsid w:val="00B773B9"/>
    <w:rsid w:val="00B806CE"/>
    <w:rsid w:val="00B81805"/>
    <w:rsid w:val="00B819FD"/>
    <w:rsid w:val="00B82972"/>
    <w:rsid w:val="00B83A1A"/>
    <w:rsid w:val="00B83E9F"/>
    <w:rsid w:val="00B83EB6"/>
    <w:rsid w:val="00B84CF0"/>
    <w:rsid w:val="00B856E6"/>
    <w:rsid w:val="00B8581C"/>
    <w:rsid w:val="00B85D1D"/>
    <w:rsid w:val="00B85DD0"/>
    <w:rsid w:val="00B864E8"/>
    <w:rsid w:val="00B871F6"/>
    <w:rsid w:val="00B8780B"/>
    <w:rsid w:val="00B87820"/>
    <w:rsid w:val="00B8791B"/>
    <w:rsid w:val="00B9020C"/>
    <w:rsid w:val="00B9076D"/>
    <w:rsid w:val="00B9228E"/>
    <w:rsid w:val="00B929B8"/>
    <w:rsid w:val="00B92A05"/>
    <w:rsid w:val="00B9316D"/>
    <w:rsid w:val="00B93436"/>
    <w:rsid w:val="00B954C1"/>
    <w:rsid w:val="00B95ABA"/>
    <w:rsid w:val="00B95C0F"/>
    <w:rsid w:val="00B97699"/>
    <w:rsid w:val="00BA0396"/>
    <w:rsid w:val="00BA0CF1"/>
    <w:rsid w:val="00BA1415"/>
    <w:rsid w:val="00BA1867"/>
    <w:rsid w:val="00BA1FD2"/>
    <w:rsid w:val="00BA2770"/>
    <w:rsid w:val="00BA313F"/>
    <w:rsid w:val="00BA4266"/>
    <w:rsid w:val="00BA443F"/>
    <w:rsid w:val="00BA49C1"/>
    <w:rsid w:val="00BA4C2E"/>
    <w:rsid w:val="00BA665E"/>
    <w:rsid w:val="00BA694D"/>
    <w:rsid w:val="00BA7E0A"/>
    <w:rsid w:val="00BB0606"/>
    <w:rsid w:val="00BB0E12"/>
    <w:rsid w:val="00BB1EAF"/>
    <w:rsid w:val="00BB314A"/>
    <w:rsid w:val="00BB3665"/>
    <w:rsid w:val="00BB368A"/>
    <w:rsid w:val="00BB4BEF"/>
    <w:rsid w:val="00BB4E6D"/>
    <w:rsid w:val="00BB50DD"/>
    <w:rsid w:val="00BB5134"/>
    <w:rsid w:val="00BB67C7"/>
    <w:rsid w:val="00BB6894"/>
    <w:rsid w:val="00BB6B64"/>
    <w:rsid w:val="00BB7757"/>
    <w:rsid w:val="00BC0475"/>
    <w:rsid w:val="00BC2390"/>
    <w:rsid w:val="00BC26C8"/>
    <w:rsid w:val="00BC2E19"/>
    <w:rsid w:val="00BC2F7A"/>
    <w:rsid w:val="00BC3E28"/>
    <w:rsid w:val="00BC45E7"/>
    <w:rsid w:val="00BC487C"/>
    <w:rsid w:val="00BC4989"/>
    <w:rsid w:val="00BC4D06"/>
    <w:rsid w:val="00BC574C"/>
    <w:rsid w:val="00BC6242"/>
    <w:rsid w:val="00BC687E"/>
    <w:rsid w:val="00BC7257"/>
    <w:rsid w:val="00BD0D6E"/>
    <w:rsid w:val="00BD27ED"/>
    <w:rsid w:val="00BD2CA1"/>
    <w:rsid w:val="00BD6E4E"/>
    <w:rsid w:val="00BD6EC1"/>
    <w:rsid w:val="00BD736C"/>
    <w:rsid w:val="00BE0F67"/>
    <w:rsid w:val="00BE2660"/>
    <w:rsid w:val="00BE31FC"/>
    <w:rsid w:val="00BE3269"/>
    <w:rsid w:val="00BE3A0F"/>
    <w:rsid w:val="00BE4E9E"/>
    <w:rsid w:val="00BE5095"/>
    <w:rsid w:val="00BE51A6"/>
    <w:rsid w:val="00BE5AC5"/>
    <w:rsid w:val="00BE5EEA"/>
    <w:rsid w:val="00BE63EF"/>
    <w:rsid w:val="00BE6C25"/>
    <w:rsid w:val="00BE72F6"/>
    <w:rsid w:val="00BE7D56"/>
    <w:rsid w:val="00BF0194"/>
    <w:rsid w:val="00BF0298"/>
    <w:rsid w:val="00BF097A"/>
    <w:rsid w:val="00BF0DA7"/>
    <w:rsid w:val="00BF11D9"/>
    <w:rsid w:val="00BF134B"/>
    <w:rsid w:val="00BF24DE"/>
    <w:rsid w:val="00BF2A9F"/>
    <w:rsid w:val="00BF2AB2"/>
    <w:rsid w:val="00BF3DD6"/>
    <w:rsid w:val="00BF41A1"/>
    <w:rsid w:val="00BF45AB"/>
    <w:rsid w:val="00BF4DF1"/>
    <w:rsid w:val="00BF519F"/>
    <w:rsid w:val="00BF52FD"/>
    <w:rsid w:val="00BF56C5"/>
    <w:rsid w:val="00BF6316"/>
    <w:rsid w:val="00BF7443"/>
    <w:rsid w:val="00BF7A09"/>
    <w:rsid w:val="00C002A4"/>
    <w:rsid w:val="00C00898"/>
    <w:rsid w:val="00C00949"/>
    <w:rsid w:val="00C00C7E"/>
    <w:rsid w:val="00C0116D"/>
    <w:rsid w:val="00C01210"/>
    <w:rsid w:val="00C013C0"/>
    <w:rsid w:val="00C01FE4"/>
    <w:rsid w:val="00C02637"/>
    <w:rsid w:val="00C02E43"/>
    <w:rsid w:val="00C03A95"/>
    <w:rsid w:val="00C03EDE"/>
    <w:rsid w:val="00C0449E"/>
    <w:rsid w:val="00C05158"/>
    <w:rsid w:val="00C057CF"/>
    <w:rsid w:val="00C05A7D"/>
    <w:rsid w:val="00C0683E"/>
    <w:rsid w:val="00C06F9E"/>
    <w:rsid w:val="00C10790"/>
    <w:rsid w:val="00C11946"/>
    <w:rsid w:val="00C11BFF"/>
    <w:rsid w:val="00C120D8"/>
    <w:rsid w:val="00C1269F"/>
    <w:rsid w:val="00C12989"/>
    <w:rsid w:val="00C12B62"/>
    <w:rsid w:val="00C131BB"/>
    <w:rsid w:val="00C135BE"/>
    <w:rsid w:val="00C13DB2"/>
    <w:rsid w:val="00C14AE2"/>
    <w:rsid w:val="00C15C64"/>
    <w:rsid w:val="00C16403"/>
    <w:rsid w:val="00C16C7C"/>
    <w:rsid w:val="00C17006"/>
    <w:rsid w:val="00C172B7"/>
    <w:rsid w:val="00C17367"/>
    <w:rsid w:val="00C17A44"/>
    <w:rsid w:val="00C17C47"/>
    <w:rsid w:val="00C2019E"/>
    <w:rsid w:val="00C20B8B"/>
    <w:rsid w:val="00C20E56"/>
    <w:rsid w:val="00C21A7C"/>
    <w:rsid w:val="00C23089"/>
    <w:rsid w:val="00C230CA"/>
    <w:rsid w:val="00C2331A"/>
    <w:rsid w:val="00C24949"/>
    <w:rsid w:val="00C2550C"/>
    <w:rsid w:val="00C27223"/>
    <w:rsid w:val="00C27F12"/>
    <w:rsid w:val="00C30BD3"/>
    <w:rsid w:val="00C3120C"/>
    <w:rsid w:val="00C31C43"/>
    <w:rsid w:val="00C321E9"/>
    <w:rsid w:val="00C32390"/>
    <w:rsid w:val="00C33407"/>
    <w:rsid w:val="00C34B04"/>
    <w:rsid w:val="00C34B73"/>
    <w:rsid w:val="00C34EEA"/>
    <w:rsid w:val="00C360F3"/>
    <w:rsid w:val="00C36CD3"/>
    <w:rsid w:val="00C37271"/>
    <w:rsid w:val="00C374C1"/>
    <w:rsid w:val="00C407B3"/>
    <w:rsid w:val="00C416F8"/>
    <w:rsid w:val="00C41A1C"/>
    <w:rsid w:val="00C41FFF"/>
    <w:rsid w:val="00C42786"/>
    <w:rsid w:val="00C42981"/>
    <w:rsid w:val="00C4301C"/>
    <w:rsid w:val="00C4358E"/>
    <w:rsid w:val="00C43E09"/>
    <w:rsid w:val="00C43F22"/>
    <w:rsid w:val="00C443A7"/>
    <w:rsid w:val="00C45023"/>
    <w:rsid w:val="00C45111"/>
    <w:rsid w:val="00C452BC"/>
    <w:rsid w:val="00C457F1"/>
    <w:rsid w:val="00C458DD"/>
    <w:rsid w:val="00C45D76"/>
    <w:rsid w:val="00C463B0"/>
    <w:rsid w:val="00C476C6"/>
    <w:rsid w:val="00C50682"/>
    <w:rsid w:val="00C5155E"/>
    <w:rsid w:val="00C5170E"/>
    <w:rsid w:val="00C51754"/>
    <w:rsid w:val="00C51B1A"/>
    <w:rsid w:val="00C51B72"/>
    <w:rsid w:val="00C52427"/>
    <w:rsid w:val="00C542B1"/>
    <w:rsid w:val="00C54382"/>
    <w:rsid w:val="00C545AA"/>
    <w:rsid w:val="00C54739"/>
    <w:rsid w:val="00C55E73"/>
    <w:rsid w:val="00C57230"/>
    <w:rsid w:val="00C57425"/>
    <w:rsid w:val="00C6024E"/>
    <w:rsid w:val="00C62069"/>
    <w:rsid w:val="00C62E27"/>
    <w:rsid w:val="00C6371C"/>
    <w:rsid w:val="00C63A53"/>
    <w:rsid w:val="00C63B6E"/>
    <w:rsid w:val="00C65182"/>
    <w:rsid w:val="00C653AB"/>
    <w:rsid w:val="00C65AF9"/>
    <w:rsid w:val="00C66AF2"/>
    <w:rsid w:val="00C66B43"/>
    <w:rsid w:val="00C676AA"/>
    <w:rsid w:val="00C67A4C"/>
    <w:rsid w:val="00C700D9"/>
    <w:rsid w:val="00C71170"/>
    <w:rsid w:val="00C71834"/>
    <w:rsid w:val="00C71842"/>
    <w:rsid w:val="00C71BC0"/>
    <w:rsid w:val="00C71CE4"/>
    <w:rsid w:val="00C71D2D"/>
    <w:rsid w:val="00C72168"/>
    <w:rsid w:val="00C7274B"/>
    <w:rsid w:val="00C72B3A"/>
    <w:rsid w:val="00C736BC"/>
    <w:rsid w:val="00C745DA"/>
    <w:rsid w:val="00C74A0F"/>
    <w:rsid w:val="00C750D2"/>
    <w:rsid w:val="00C75A76"/>
    <w:rsid w:val="00C75C02"/>
    <w:rsid w:val="00C75DCA"/>
    <w:rsid w:val="00C77401"/>
    <w:rsid w:val="00C775DE"/>
    <w:rsid w:val="00C7798A"/>
    <w:rsid w:val="00C81FEE"/>
    <w:rsid w:val="00C82505"/>
    <w:rsid w:val="00C8327C"/>
    <w:rsid w:val="00C83794"/>
    <w:rsid w:val="00C83D60"/>
    <w:rsid w:val="00C8489E"/>
    <w:rsid w:val="00C86427"/>
    <w:rsid w:val="00C867C1"/>
    <w:rsid w:val="00C86D5A"/>
    <w:rsid w:val="00C87415"/>
    <w:rsid w:val="00C874A0"/>
    <w:rsid w:val="00C876E2"/>
    <w:rsid w:val="00C87767"/>
    <w:rsid w:val="00C9050D"/>
    <w:rsid w:val="00C91571"/>
    <w:rsid w:val="00C91879"/>
    <w:rsid w:val="00C918A8"/>
    <w:rsid w:val="00C91E3C"/>
    <w:rsid w:val="00C92BE5"/>
    <w:rsid w:val="00C92DDB"/>
    <w:rsid w:val="00C95632"/>
    <w:rsid w:val="00C9681D"/>
    <w:rsid w:val="00C9761C"/>
    <w:rsid w:val="00CA00DC"/>
    <w:rsid w:val="00CA00DF"/>
    <w:rsid w:val="00CA0B79"/>
    <w:rsid w:val="00CA1D90"/>
    <w:rsid w:val="00CA2069"/>
    <w:rsid w:val="00CA2814"/>
    <w:rsid w:val="00CA2DD4"/>
    <w:rsid w:val="00CA3617"/>
    <w:rsid w:val="00CA4533"/>
    <w:rsid w:val="00CA486A"/>
    <w:rsid w:val="00CA5E89"/>
    <w:rsid w:val="00CA5F48"/>
    <w:rsid w:val="00CA63B2"/>
    <w:rsid w:val="00CA71E2"/>
    <w:rsid w:val="00CA7694"/>
    <w:rsid w:val="00CA7E80"/>
    <w:rsid w:val="00CB058A"/>
    <w:rsid w:val="00CB2081"/>
    <w:rsid w:val="00CB2E45"/>
    <w:rsid w:val="00CB32E4"/>
    <w:rsid w:val="00CB552D"/>
    <w:rsid w:val="00CB5823"/>
    <w:rsid w:val="00CB5ADA"/>
    <w:rsid w:val="00CB61AE"/>
    <w:rsid w:val="00CB638A"/>
    <w:rsid w:val="00CB66F7"/>
    <w:rsid w:val="00CB69CC"/>
    <w:rsid w:val="00CB6C07"/>
    <w:rsid w:val="00CB75AD"/>
    <w:rsid w:val="00CB7902"/>
    <w:rsid w:val="00CC025E"/>
    <w:rsid w:val="00CC04AB"/>
    <w:rsid w:val="00CC10B9"/>
    <w:rsid w:val="00CC2553"/>
    <w:rsid w:val="00CC2617"/>
    <w:rsid w:val="00CC28B4"/>
    <w:rsid w:val="00CC2D11"/>
    <w:rsid w:val="00CC355E"/>
    <w:rsid w:val="00CC39AF"/>
    <w:rsid w:val="00CC39BA"/>
    <w:rsid w:val="00CC3CA0"/>
    <w:rsid w:val="00CC42F5"/>
    <w:rsid w:val="00CC50B1"/>
    <w:rsid w:val="00CC53F1"/>
    <w:rsid w:val="00CC626E"/>
    <w:rsid w:val="00CC72DC"/>
    <w:rsid w:val="00CC75DA"/>
    <w:rsid w:val="00CC76CB"/>
    <w:rsid w:val="00CC7A83"/>
    <w:rsid w:val="00CC7C19"/>
    <w:rsid w:val="00CD0AF7"/>
    <w:rsid w:val="00CD1E27"/>
    <w:rsid w:val="00CD35EB"/>
    <w:rsid w:val="00CD3A77"/>
    <w:rsid w:val="00CD45BA"/>
    <w:rsid w:val="00CD4609"/>
    <w:rsid w:val="00CD4B25"/>
    <w:rsid w:val="00CD4DB0"/>
    <w:rsid w:val="00CD4E6D"/>
    <w:rsid w:val="00CD4EFC"/>
    <w:rsid w:val="00CD5A89"/>
    <w:rsid w:val="00CD5C97"/>
    <w:rsid w:val="00CD601E"/>
    <w:rsid w:val="00CD6B29"/>
    <w:rsid w:val="00CD6E15"/>
    <w:rsid w:val="00CE054B"/>
    <w:rsid w:val="00CE0CBC"/>
    <w:rsid w:val="00CE108D"/>
    <w:rsid w:val="00CE146B"/>
    <w:rsid w:val="00CE158D"/>
    <w:rsid w:val="00CE1733"/>
    <w:rsid w:val="00CE1DE5"/>
    <w:rsid w:val="00CE2A2D"/>
    <w:rsid w:val="00CE3595"/>
    <w:rsid w:val="00CE41EA"/>
    <w:rsid w:val="00CE43D3"/>
    <w:rsid w:val="00CE4D46"/>
    <w:rsid w:val="00CE574A"/>
    <w:rsid w:val="00CE5B98"/>
    <w:rsid w:val="00CE5C5D"/>
    <w:rsid w:val="00CE5DF4"/>
    <w:rsid w:val="00CE5F50"/>
    <w:rsid w:val="00CE6530"/>
    <w:rsid w:val="00CE752A"/>
    <w:rsid w:val="00CF0279"/>
    <w:rsid w:val="00CF027D"/>
    <w:rsid w:val="00CF04AE"/>
    <w:rsid w:val="00CF10C4"/>
    <w:rsid w:val="00CF1B9C"/>
    <w:rsid w:val="00CF1FA7"/>
    <w:rsid w:val="00CF2171"/>
    <w:rsid w:val="00CF32BB"/>
    <w:rsid w:val="00CF3A58"/>
    <w:rsid w:val="00CF461E"/>
    <w:rsid w:val="00CF60DE"/>
    <w:rsid w:val="00CF6836"/>
    <w:rsid w:val="00CF77A4"/>
    <w:rsid w:val="00CF781F"/>
    <w:rsid w:val="00D0000E"/>
    <w:rsid w:val="00D00312"/>
    <w:rsid w:val="00D005F0"/>
    <w:rsid w:val="00D0062A"/>
    <w:rsid w:val="00D01168"/>
    <w:rsid w:val="00D01911"/>
    <w:rsid w:val="00D0200E"/>
    <w:rsid w:val="00D0302F"/>
    <w:rsid w:val="00D03654"/>
    <w:rsid w:val="00D038B5"/>
    <w:rsid w:val="00D049A7"/>
    <w:rsid w:val="00D04CA1"/>
    <w:rsid w:val="00D04F56"/>
    <w:rsid w:val="00D0510B"/>
    <w:rsid w:val="00D05610"/>
    <w:rsid w:val="00D05D9B"/>
    <w:rsid w:val="00D06EB2"/>
    <w:rsid w:val="00D07702"/>
    <w:rsid w:val="00D10024"/>
    <w:rsid w:val="00D109D2"/>
    <w:rsid w:val="00D10E09"/>
    <w:rsid w:val="00D1134C"/>
    <w:rsid w:val="00D116AB"/>
    <w:rsid w:val="00D1309F"/>
    <w:rsid w:val="00D13464"/>
    <w:rsid w:val="00D134F6"/>
    <w:rsid w:val="00D1414B"/>
    <w:rsid w:val="00D14464"/>
    <w:rsid w:val="00D171A9"/>
    <w:rsid w:val="00D171AA"/>
    <w:rsid w:val="00D17610"/>
    <w:rsid w:val="00D21D69"/>
    <w:rsid w:val="00D21F26"/>
    <w:rsid w:val="00D22033"/>
    <w:rsid w:val="00D22C6D"/>
    <w:rsid w:val="00D23485"/>
    <w:rsid w:val="00D23CEB"/>
    <w:rsid w:val="00D2425C"/>
    <w:rsid w:val="00D2498C"/>
    <w:rsid w:val="00D24E21"/>
    <w:rsid w:val="00D268D9"/>
    <w:rsid w:val="00D27042"/>
    <w:rsid w:val="00D27205"/>
    <w:rsid w:val="00D277B5"/>
    <w:rsid w:val="00D310E0"/>
    <w:rsid w:val="00D315E6"/>
    <w:rsid w:val="00D319E7"/>
    <w:rsid w:val="00D31ACB"/>
    <w:rsid w:val="00D32DC7"/>
    <w:rsid w:val="00D33145"/>
    <w:rsid w:val="00D3391F"/>
    <w:rsid w:val="00D34137"/>
    <w:rsid w:val="00D34461"/>
    <w:rsid w:val="00D34F01"/>
    <w:rsid w:val="00D361D3"/>
    <w:rsid w:val="00D3621F"/>
    <w:rsid w:val="00D37071"/>
    <w:rsid w:val="00D378CA"/>
    <w:rsid w:val="00D4134D"/>
    <w:rsid w:val="00D416A8"/>
    <w:rsid w:val="00D418AF"/>
    <w:rsid w:val="00D41AE0"/>
    <w:rsid w:val="00D41AEF"/>
    <w:rsid w:val="00D41B61"/>
    <w:rsid w:val="00D41F04"/>
    <w:rsid w:val="00D41F7F"/>
    <w:rsid w:val="00D4223B"/>
    <w:rsid w:val="00D43196"/>
    <w:rsid w:val="00D43B30"/>
    <w:rsid w:val="00D44174"/>
    <w:rsid w:val="00D450F9"/>
    <w:rsid w:val="00D461AA"/>
    <w:rsid w:val="00D46980"/>
    <w:rsid w:val="00D46B4D"/>
    <w:rsid w:val="00D47529"/>
    <w:rsid w:val="00D475AE"/>
    <w:rsid w:val="00D47AAC"/>
    <w:rsid w:val="00D47BBD"/>
    <w:rsid w:val="00D47D11"/>
    <w:rsid w:val="00D500A0"/>
    <w:rsid w:val="00D5112F"/>
    <w:rsid w:val="00D51A96"/>
    <w:rsid w:val="00D525AF"/>
    <w:rsid w:val="00D52750"/>
    <w:rsid w:val="00D52C75"/>
    <w:rsid w:val="00D543BC"/>
    <w:rsid w:val="00D55841"/>
    <w:rsid w:val="00D56148"/>
    <w:rsid w:val="00D56287"/>
    <w:rsid w:val="00D570B6"/>
    <w:rsid w:val="00D570E5"/>
    <w:rsid w:val="00D607ED"/>
    <w:rsid w:val="00D60E1D"/>
    <w:rsid w:val="00D62159"/>
    <w:rsid w:val="00D622E2"/>
    <w:rsid w:val="00D62759"/>
    <w:rsid w:val="00D63214"/>
    <w:rsid w:val="00D633AE"/>
    <w:rsid w:val="00D6417C"/>
    <w:rsid w:val="00D6513E"/>
    <w:rsid w:val="00D65458"/>
    <w:rsid w:val="00D66033"/>
    <w:rsid w:val="00D71B97"/>
    <w:rsid w:val="00D739D0"/>
    <w:rsid w:val="00D739F9"/>
    <w:rsid w:val="00D745F8"/>
    <w:rsid w:val="00D753D7"/>
    <w:rsid w:val="00D76160"/>
    <w:rsid w:val="00D76876"/>
    <w:rsid w:val="00D771E8"/>
    <w:rsid w:val="00D819D0"/>
    <w:rsid w:val="00D82046"/>
    <w:rsid w:val="00D8206C"/>
    <w:rsid w:val="00D82A51"/>
    <w:rsid w:val="00D82DC6"/>
    <w:rsid w:val="00D82F63"/>
    <w:rsid w:val="00D837D0"/>
    <w:rsid w:val="00D85164"/>
    <w:rsid w:val="00D864F9"/>
    <w:rsid w:val="00D8667A"/>
    <w:rsid w:val="00D8689D"/>
    <w:rsid w:val="00D86E55"/>
    <w:rsid w:val="00D87096"/>
    <w:rsid w:val="00D8771A"/>
    <w:rsid w:val="00D87ADC"/>
    <w:rsid w:val="00D90F5F"/>
    <w:rsid w:val="00D9104D"/>
    <w:rsid w:val="00D91757"/>
    <w:rsid w:val="00D918CF"/>
    <w:rsid w:val="00D919A4"/>
    <w:rsid w:val="00D92C8E"/>
    <w:rsid w:val="00D93DEB"/>
    <w:rsid w:val="00D94D3B"/>
    <w:rsid w:val="00D9640A"/>
    <w:rsid w:val="00D976EC"/>
    <w:rsid w:val="00DA0081"/>
    <w:rsid w:val="00DA03B5"/>
    <w:rsid w:val="00DA042F"/>
    <w:rsid w:val="00DA0E27"/>
    <w:rsid w:val="00DA1BB9"/>
    <w:rsid w:val="00DA2847"/>
    <w:rsid w:val="00DA28F2"/>
    <w:rsid w:val="00DA29F2"/>
    <w:rsid w:val="00DA32C2"/>
    <w:rsid w:val="00DA33EA"/>
    <w:rsid w:val="00DA3648"/>
    <w:rsid w:val="00DA3B93"/>
    <w:rsid w:val="00DA4260"/>
    <w:rsid w:val="00DA4BA3"/>
    <w:rsid w:val="00DA4E24"/>
    <w:rsid w:val="00DA5A7E"/>
    <w:rsid w:val="00DA5CFD"/>
    <w:rsid w:val="00DA696D"/>
    <w:rsid w:val="00DA6B29"/>
    <w:rsid w:val="00DA7016"/>
    <w:rsid w:val="00DB0317"/>
    <w:rsid w:val="00DB123F"/>
    <w:rsid w:val="00DB1566"/>
    <w:rsid w:val="00DB1818"/>
    <w:rsid w:val="00DB3A53"/>
    <w:rsid w:val="00DB4D0A"/>
    <w:rsid w:val="00DB5269"/>
    <w:rsid w:val="00DB5A4F"/>
    <w:rsid w:val="00DB5FE3"/>
    <w:rsid w:val="00DB628E"/>
    <w:rsid w:val="00DB6DDB"/>
    <w:rsid w:val="00DB6F65"/>
    <w:rsid w:val="00DB7A04"/>
    <w:rsid w:val="00DB7EC4"/>
    <w:rsid w:val="00DB7F6F"/>
    <w:rsid w:val="00DC0BEE"/>
    <w:rsid w:val="00DC161D"/>
    <w:rsid w:val="00DC1E35"/>
    <w:rsid w:val="00DC2CDF"/>
    <w:rsid w:val="00DC3167"/>
    <w:rsid w:val="00DC3448"/>
    <w:rsid w:val="00DC3C17"/>
    <w:rsid w:val="00DC474A"/>
    <w:rsid w:val="00DC4C2B"/>
    <w:rsid w:val="00DC5509"/>
    <w:rsid w:val="00DC5851"/>
    <w:rsid w:val="00DC5A64"/>
    <w:rsid w:val="00DC6793"/>
    <w:rsid w:val="00DC74FF"/>
    <w:rsid w:val="00DC7A65"/>
    <w:rsid w:val="00DC7A72"/>
    <w:rsid w:val="00DD038E"/>
    <w:rsid w:val="00DD0DB9"/>
    <w:rsid w:val="00DD1F82"/>
    <w:rsid w:val="00DD2212"/>
    <w:rsid w:val="00DD28C1"/>
    <w:rsid w:val="00DD2DA0"/>
    <w:rsid w:val="00DD317A"/>
    <w:rsid w:val="00DD365C"/>
    <w:rsid w:val="00DD38D0"/>
    <w:rsid w:val="00DD3D80"/>
    <w:rsid w:val="00DD442C"/>
    <w:rsid w:val="00DD4EC4"/>
    <w:rsid w:val="00DD5572"/>
    <w:rsid w:val="00DD5B46"/>
    <w:rsid w:val="00DD60FE"/>
    <w:rsid w:val="00DD6D82"/>
    <w:rsid w:val="00DE011B"/>
    <w:rsid w:val="00DE07E2"/>
    <w:rsid w:val="00DE0B27"/>
    <w:rsid w:val="00DE1CFA"/>
    <w:rsid w:val="00DE24F9"/>
    <w:rsid w:val="00DE2ED9"/>
    <w:rsid w:val="00DE3409"/>
    <w:rsid w:val="00DE3563"/>
    <w:rsid w:val="00DE35F7"/>
    <w:rsid w:val="00DE3D7A"/>
    <w:rsid w:val="00DE4224"/>
    <w:rsid w:val="00DE4307"/>
    <w:rsid w:val="00DE5C9C"/>
    <w:rsid w:val="00DE6F7F"/>
    <w:rsid w:val="00DE7650"/>
    <w:rsid w:val="00DF087F"/>
    <w:rsid w:val="00DF0FE8"/>
    <w:rsid w:val="00DF11DE"/>
    <w:rsid w:val="00DF1347"/>
    <w:rsid w:val="00DF1E2C"/>
    <w:rsid w:val="00DF201B"/>
    <w:rsid w:val="00DF22E4"/>
    <w:rsid w:val="00DF2422"/>
    <w:rsid w:val="00DF2ABE"/>
    <w:rsid w:val="00DF3C14"/>
    <w:rsid w:val="00DF4E1E"/>
    <w:rsid w:val="00DF5B0D"/>
    <w:rsid w:val="00DF5F6D"/>
    <w:rsid w:val="00DF5F97"/>
    <w:rsid w:val="00DF66BF"/>
    <w:rsid w:val="00DF676C"/>
    <w:rsid w:val="00DF781F"/>
    <w:rsid w:val="00DF7C4D"/>
    <w:rsid w:val="00DF7D8F"/>
    <w:rsid w:val="00E001F1"/>
    <w:rsid w:val="00E011EB"/>
    <w:rsid w:val="00E012A4"/>
    <w:rsid w:val="00E0131A"/>
    <w:rsid w:val="00E0164F"/>
    <w:rsid w:val="00E01A81"/>
    <w:rsid w:val="00E02259"/>
    <w:rsid w:val="00E02982"/>
    <w:rsid w:val="00E02BB1"/>
    <w:rsid w:val="00E03C7D"/>
    <w:rsid w:val="00E04C42"/>
    <w:rsid w:val="00E05462"/>
    <w:rsid w:val="00E067B4"/>
    <w:rsid w:val="00E06B48"/>
    <w:rsid w:val="00E07667"/>
    <w:rsid w:val="00E103B5"/>
    <w:rsid w:val="00E10A77"/>
    <w:rsid w:val="00E119F9"/>
    <w:rsid w:val="00E11A44"/>
    <w:rsid w:val="00E13B2F"/>
    <w:rsid w:val="00E142DC"/>
    <w:rsid w:val="00E14C10"/>
    <w:rsid w:val="00E150EA"/>
    <w:rsid w:val="00E15367"/>
    <w:rsid w:val="00E15553"/>
    <w:rsid w:val="00E1589C"/>
    <w:rsid w:val="00E160C6"/>
    <w:rsid w:val="00E1678B"/>
    <w:rsid w:val="00E168EF"/>
    <w:rsid w:val="00E173FA"/>
    <w:rsid w:val="00E175E3"/>
    <w:rsid w:val="00E20846"/>
    <w:rsid w:val="00E210BD"/>
    <w:rsid w:val="00E2140A"/>
    <w:rsid w:val="00E215CE"/>
    <w:rsid w:val="00E22CB4"/>
    <w:rsid w:val="00E23990"/>
    <w:rsid w:val="00E23E67"/>
    <w:rsid w:val="00E23EF4"/>
    <w:rsid w:val="00E24015"/>
    <w:rsid w:val="00E24487"/>
    <w:rsid w:val="00E24F29"/>
    <w:rsid w:val="00E2567E"/>
    <w:rsid w:val="00E25B11"/>
    <w:rsid w:val="00E26518"/>
    <w:rsid w:val="00E268E4"/>
    <w:rsid w:val="00E26B1D"/>
    <w:rsid w:val="00E26C26"/>
    <w:rsid w:val="00E26CBC"/>
    <w:rsid w:val="00E27159"/>
    <w:rsid w:val="00E27E7C"/>
    <w:rsid w:val="00E30CFC"/>
    <w:rsid w:val="00E3169C"/>
    <w:rsid w:val="00E325F7"/>
    <w:rsid w:val="00E32CDC"/>
    <w:rsid w:val="00E32DE3"/>
    <w:rsid w:val="00E32F4D"/>
    <w:rsid w:val="00E33AAE"/>
    <w:rsid w:val="00E33BF4"/>
    <w:rsid w:val="00E348C2"/>
    <w:rsid w:val="00E34B51"/>
    <w:rsid w:val="00E35323"/>
    <w:rsid w:val="00E353F4"/>
    <w:rsid w:val="00E354CC"/>
    <w:rsid w:val="00E3660A"/>
    <w:rsid w:val="00E36F92"/>
    <w:rsid w:val="00E3773C"/>
    <w:rsid w:val="00E37A33"/>
    <w:rsid w:val="00E37ABB"/>
    <w:rsid w:val="00E41C24"/>
    <w:rsid w:val="00E42369"/>
    <w:rsid w:val="00E429B0"/>
    <w:rsid w:val="00E42D75"/>
    <w:rsid w:val="00E438A2"/>
    <w:rsid w:val="00E438B0"/>
    <w:rsid w:val="00E444F5"/>
    <w:rsid w:val="00E449EB"/>
    <w:rsid w:val="00E44EFB"/>
    <w:rsid w:val="00E44F88"/>
    <w:rsid w:val="00E45C7F"/>
    <w:rsid w:val="00E46410"/>
    <w:rsid w:val="00E47F24"/>
    <w:rsid w:val="00E50E47"/>
    <w:rsid w:val="00E52060"/>
    <w:rsid w:val="00E52AA7"/>
    <w:rsid w:val="00E52F28"/>
    <w:rsid w:val="00E531CA"/>
    <w:rsid w:val="00E53AFD"/>
    <w:rsid w:val="00E53D1B"/>
    <w:rsid w:val="00E54801"/>
    <w:rsid w:val="00E54D75"/>
    <w:rsid w:val="00E55401"/>
    <w:rsid w:val="00E555AA"/>
    <w:rsid w:val="00E559CD"/>
    <w:rsid w:val="00E55E95"/>
    <w:rsid w:val="00E55F63"/>
    <w:rsid w:val="00E56520"/>
    <w:rsid w:val="00E56573"/>
    <w:rsid w:val="00E570EB"/>
    <w:rsid w:val="00E575B6"/>
    <w:rsid w:val="00E57BD5"/>
    <w:rsid w:val="00E6040F"/>
    <w:rsid w:val="00E60F12"/>
    <w:rsid w:val="00E611C0"/>
    <w:rsid w:val="00E615B7"/>
    <w:rsid w:val="00E61D88"/>
    <w:rsid w:val="00E61DBD"/>
    <w:rsid w:val="00E61F1B"/>
    <w:rsid w:val="00E620E4"/>
    <w:rsid w:val="00E63E1E"/>
    <w:rsid w:val="00E644EF"/>
    <w:rsid w:val="00E645EB"/>
    <w:rsid w:val="00E654E2"/>
    <w:rsid w:val="00E67814"/>
    <w:rsid w:val="00E67CC9"/>
    <w:rsid w:val="00E70F37"/>
    <w:rsid w:val="00E713E2"/>
    <w:rsid w:val="00E72080"/>
    <w:rsid w:val="00E7209B"/>
    <w:rsid w:val="00E72F5B"/>
    <w:rsid w:val="00E73352"/>
    <w:rsid w:val="00E735D4"/>
    <w:rsid w:val="00E73B23"/>
    <w:rsid w:val="00E73E8D"/>
    <w:rsid w:val="00E742FE"/>
    <w:rsid w:val="00E74C45"/>
    <w:rsid w:val="00E74D5D"/>
    <w:rsid w:val="00E7698C"/>
    <w:rsid w:val="00E7767C"/>
    <w:rsid w:val="00E7775E"/>
    <w:rsid w:val="00E77EF2"/>
    <w:rsid w:val="00E80282"/>
    <w:rsid w:val="00E80B8C"/>
    <w:rsid w:val="00E81225"/>
    <w:rsid w:val="00E81665"/>
    <w:rsid w:val="00E81C19"/>
    <w:rsid w:val="00E81F8E"/>
    <w:rsid w:val="00E8293C"/>
    <w:rsid w:val="00E82ADF"/>
    <w:rsid w:val="00E837F7"/>
    <w:rsid w:val="00E849A6"/>
    <w:rsid w:val="00E84EBA"/>
    <w:rsid w:val="00E85929"/>
    <w:rsid w:val="00E85B7D"/>
    <w:rsid w:val="00E862EB"/>
    <w:rsid w:val="00E86C99"/>
    <w:rsid w:val="00E87AF4"/>
    <w:rsid w:val="00E87E06"/>
    <w:rsid w:val="00E905AF"/>
    <w:rsid w:val="00E90600"/>
    <w:rsid w:val="00E90722"/>
    <w:rsid w:val="00E912C5"/>
    <w:rsid w:val="00E9154D"/>
    <w:rsid w:val="00E9177F"/>
    <w:rsid w:val="00E91D3B"/>
    <w:rsid w:val="00E9248C"/>
    <w:rsid w:val="00E93194"/>
    <w:rsid w:val="00E94147"/>
    <w:rsid w:val="00E943F4"/>
    <w:rsid w:val="00E95AF1"/>
    <w:rsid w:val="00E9732D"/>
    <w:rsid w:val="00E973D3"/>
    <w:rsid w:val="00E97420"/>
    <w:rsid w:val="00E975ED"/>
    <w:rsid w:val="00E97F75"/>
    <w:rsid w:val="00E97FB3"/>
    <w:rsid w:val="00EA0139"/>
    <w:rsid w:val="00EA047E"/>
    <w:rsid w:val="00EA0A0A"/>
    <w:rsid w:val="00EA0CA2"/>
    <w:rsid w:val="00EA0DD8"/>
    <w:rsid w:val="00EA13C6"/>
    <w:rsid w:val="00EA1F5B"/>
    <w:rsid w:val="00EA32B5"/>
    <w:rsid w:val="00EA4422"/>
    <w:rsid w:val="00EA526C"/>
    <w:rsid w:val="00EA5503"/>
    <w:rsid w:val="00EA5BCF"/>
    <w:rsid w:val="00EA5D0D"/>
    <w:rsid w:val="00EA68AE"/>
    <w:rsid w:val="00EA6C5A"/>
    <w:rsid w:val="00EA71E6"/>
    <w:rsid w:val="00EA7AED"/>
    <w:rsid w:val="00EA7B3F"/>
    <w:rsid w:val="00EB1CBD"/>
    <w:rsid w:val="00EB1D57"/>
    <w:rsid w:val="00EB2220"/>
    <w:rsid w:val="00EB2FED"/>
    <w:rsid w:val="00EB4423"/>
    <w:rsid w:val="00EB4444"/>
    <w:rsid w:val="00EB55E6"/>
    <w:rsid w:val="00EB5BB9"/>
    <w:rsid w:val="00EB6471"/>
    <w:rsid w:val="00EB6BEC"/>
    <w:rsid w:val="00EB708D"/>
    <w:rsid w:val="00EB77A7"/>
    <w:rsid w:val="00EC029A"/>
    <w:rsid w:val="00EC0675"/>
    <w:rsid w:val="00EC09B2"/>
    <w:rsid w:val="00EC0ED2"/>
    <w:rsid w:val="00EC1475"/>
    <w:rsid w:val="00EC273C"/>
    <w:rsid w:val="00EC2913"/>
    <w:rsid w:val="00EC2938"/>
    <w:rsid w:val="00EC2D82"/>
    <w:rsid w:val="00EC2ED2"/>
    <w:rsid w:val="00EC3E59"/>
    <w:rsid w:val="00EC4156"/>
    <w:rsid w:val="00EC4471"/>
    <w:rsid w:val="00EC4A71"/>
    <w:rsid w:val="00EC5546"/>
    <w:rsid w:val="00EC5879"/>
    <w:rsid w:val="00EC5DEB"/>
    <w:rsid w:val="00EC6991"/>
    <w:rsid w:val="00EC7029"/>
    <w:rsid w:val="00EC72EE"/>
    <w:rsid w:val="00EC78E2"/>
    <w:rsid w:val="00EC79F5"/>
    <w:rsid w:val="00ED01E1"/>
    <w:rsid w:val="00ED0367"/>
    <w:rsid w:val="00ED05DC"/>
    <w:rsid w:val="00ED15A3"/>
    <w:rsid w:val="00ED1ADB"/>
    <w:rsid w:val="00ED226D"/>
    <w:rsid w:val="00ED24CF"/>
    <w:rsid w:val="00ED2A33"/>
    <w:rsid w:val="00ED2B41"/>
    <w:rsid w:val="00ED2FB1"/>
    <w:rsid w:val="00ED4785"/>
    <w:rsid w:val="00ED53B6"/>
    <w:rsid w:val="00ED548A"/>
    <w:rsid w:val="00ED5748"/>
    <w:rsid w:val="00ED6CFB"/>
    <w:rsid w:val="00ED6F30"/>
    <w:rsid w:val="00ED7185"/>
    <w:rsid w:val="00ED7903"/>
    <w:rsid w:val="00EE0051"/>
    <w:rsid w:val="00EE01C7"/>
    <w:rsid w:val="00EE05E7"/>
    <w:rsid w:val="00EE0850"/>
    <w:rsid w:val="00EE0C5B"/>
    <w:rsid w:val="00EE0FE7"/>
    <w:rsid w:val="00EE109D"/>
    <w:rsid w:val="00EE142C"/>
    <w:rsid w:val="00EE1D60"/>
    <w:rsid w:val="00EE1FA3"/>
    <w:rsid w:val="00EE2864"/>
    <w:rsid w:val="00EE45F5"/>
    <w:rsid w:val="00EE569D"/>
    <w:rsid w:val="00EE5A7F"/>
    <w:rsid w:val="00EE650D"/>
    <w:rsid w:val="00EE6F10"/>
    <w:rsid w:val="00EE73BD"/>
    <w:rsid w:val="00EF0090"/>
    <w:rsid w:val="00EF01A7"/>
    <w:rsid w:val="00EF0243"/>
    <w:rsid w:val="00EF129B"/>
    <w:rsid w:val="00EF2041"/>
    <w:rsid w:val="00EF210D"/>
    <w:rsid w:val="00EF22EF"/>
    <w:rsid w:val="00EF280E"/>
    <w:rsid w:val="00EF3243"/>
    <w:rsid w:val="00EF412D"/>
    <w:rsid w:val="00EF51FD"/>
    <w:rsid w:val="00EF557D"/>
    <w:rsid w:val="00EF6033"/>
    <w:rsid w:val="00EF6D8C"/>
    <w:rsid w:val="00EF6DF8"/>
    <w:rsid w:val="00EF7AD4"/>
    <w:rsid w:val="00F00946"/>
    <w:rsid w:val="00F0127A"/>
    <w:rsid w:val="00F012B3"/>
    <w:rsid w:val="00F018E0"/>
    <w:rsid w:val="00F02106"/>
    <w:rsid w:val="00F03563"/>
    <w:rsid w:val="00F035BC"/>
    <w:rsid w:val="00F03B2A"/>
    <w:rsid w:val="00F03B98"/>
    <w:rsid w:val="00F04F1D"/>
    <w:rsid w:val="00F0502D"/>
    <w:rsid w:val="00F05076"/>
    <w:rsid w:val="00F0614B"/>
    <w:rsid w:val="00F06738"/>
    <w:rsid w:val="00F06E10"/>
    <w:rsid w:val="00F070C3"/>
    <w:rsid w:val="00F10171"/>
    <w:rsid w:val="00F10AE8"/>
    <w:rsid w:val="00F11312"/>
    <w:rsid w:val="00F1250A"/>
    <w:rsid w:val="00F12656"/>
    <w:rsid w:val="00F126AE"/>
    <w:rsid w:val="00F13396"/>
    <w:rsid w:val="00F13C0D"/>
    <w:rsid w:val="00F14000"/>
    <w:rsid w:val="00F14049"/>
    <w:rsid w:val="00F142FD"/>
    <w:rsid w:val="00F147BC"/>
    <w:rsid w:val="00F14F92"/>
    <w:rsid w:val="00F15362"/>
    <w:rsid w:val="00F1553E"/>
    <w:rsid w:val="00F15AAF"/>
    <w:rsid w:val="00F160EB"/>
    <w:rsid w:val="00F163BF"/>
    <w:rsid w:val="00F16AE6"/>
    <w:rsid w:val="00F209BA"/>
    <w:rsid w:val="00F21E64"/>
    <w:rsid w:val="00F225D1"/>
    <w:rsid w:val="00F22946"/>
    <w:rsid w:val="00F229C3"/>
    <w:rsid w:val="00F23B59"/>
    <w:rsid w:val="00F241FA"/>
    <w:rsid w:val="00F24CE3"/>
    <w:rsid w:val="00F25368"/>
    <w:rsid w:val="00F26B5B"/>
    <w:rsid w:val="00F30730"/>
    <w:rsid w:val="00F30A2B"/>
    <w:rsid w:val="00F31764"/>
    <w:rsid w:val="00F32917"/>
    <w:rsid w:val="00F32922"/>
    <w:rsid w:val="00F32B2F"/>
    <w:rsid w:val="00F32DB7"/>
    <w:rsid w:val="00F33E18"/>
    <w:rsid w:val="00F33EC2"/>
    <w:rsid w:val="00F35509"/>
    <w:rsid w:val="00F35A27"/>
    <w:rsid w:val="00F37849"/>
    <w:rsid w:val="00F37914"/>
    <w:rsid w:val="00F37E3C"/>
    <w:rsid w:val="00F42C7A"/>
    <w:rsid w:val="00F43475"/>
    <w:rsid w:val="00F4437C"/>
    <w:rsid w:val="00F44DEB"/>
    <w:rsid w:val="00F456C8"/>
    <w:rsid w:val="00F45CEC"/>
    <w:rsid w:val="00F47AB7"/>
    <w:rsid w:val="00F50448"/>
    <w:rsid w:val="00F50FFA"/>
    <w:rsid w:val="00F51989"/>
    <w:rsid w:val="00F52768"/>
    <w:rsid w:val="00F5277C"/>
    <w:rsid w:val="00F527A9"/>
    <w:rsid w:val="00F532C2"/>
    <w:rsid w:val="00F540F2"/>
    <w:rsid w:val="00F547B8"/>
    <w:rsid w:val="00F556E8"/>
    <w:rsid w:val="00F55852"/>
    <w:rsid w:val="00F56A25"/>
    <w:rsid w:val="00F60247"/>
    <w:rsid w:val="00F6031A"/>
    <w:rsid w:val="00F6079C"/>
    <w:rsid w:val="00F60801"/>
    <w:rsid w:val="00F60B3A"/>
    <w:rsid w:val="00F60F37"/>
    <w:rsid w:val="00F60F4C"/>
    <w:rsid w:val="00F62460"/>
    <w:rsid w:val="00F632F0"/>
    <w:rsid w:val="00F6396A"/>
    <w:rsid w:val="00F642C7"/>
    <w:rsid w:val="00F64D23"/>
    <w:rsid w:val="00F64D30"/>
    <w:rsid w:val="00F65309"/>
    <w:rsid w:val="00F6642B"/>
    <w:rsid w:val="00F6648C"/>
    <w:rsid w:val="00F665C0"/>
    <w:rsid w:val="00F6692D"/>
    <w:rsid w:val="00F66A74"/>
    <w:rsid w:val="00F7004F"/>
    <w:rsid w:val="00F7005A"/>
    <w:rsid w:val="00F70FBF"/>
    <w:rsid w:val="00F71090"/>
    <w:rsid w:val="00F7246C"/>
    <w:rsid w:val="00F72615"/>
    <w:rsid w:val="00F72761"/>
    <w:rsid w:val="00F72C30"/>
    <w:rsid w:val="00F72E82"/>
    <w:rsid w:val="00F73692"/>
    <w:rsid w:val="00F7513E"/>
    <w:rsid w:val="00F7547F"/>
    <w:rsid w:val="00F75F01"/>
    <w:rsid w:val="00F76111"/>
    <w:rsid w:val="00F7702A"/>
    <w:rsid w:val="00F77982"/>
    <w:rsid w:val="00F77FF7"/>
    <w:rsid w:val="00F814D5"/>
    <w:rsid w:val="00F8266C"/>
    <w:rsid w:val="00F82E4E"/>
    <w:rsid w:val="00F83D2D"/>
    <w:rsid w:val="00F844B2"/>
    <w:rsid w:val="00F84F7C"/>
    <w:rsid w:val="00F84FF1"/>
    <w:rsid w:val="00F853FB"/>
    <w:rsid w:val="00F8542E"/>
    <w:rsid w:val="00F85707"/>
    <w:rsid w:val="00F8596B"/>
    <w:rsid w:val="00F85C79"/>
    <w:rsid w:val="00F85DA9"/>
    <w:rsid w:val="00F86237"/>
    <w:rsid w:val="00F86409"/>
    <w:rsid w:val="00F86815"/>
    <w:rsid w:val="00F86ED5"/>
    <w:rsid w:val="00F871F1"/>
    <w:rsid w:val="00F87853"/>
    <w:rsid w:val="00F90E92"/>
    <w:rsid w:val="00F92274"/>
    <w:rsid w:val="00F923E1"/>
    <w:rsid w:val="00F92828"/>
    <w:rsid w:val="00F92D53"/>
    <w:rsid w:val="00F93422"/>
    <w:rsid w:val="00F93D73"/>
    <w:rsid w:val="00F93DCB"/>
    <w:rsid w:val="00F93EF3"/>
    <w:rsid w:val="00F94415"/>
    <w:rsid w:val="00F94675"/>
    <w:rsid w:val="00F94676"/>
    <w:rsid w:val="00F950AD"/>
    <w:rsid w:val="00F97646"/>
    <w:rsid w:val="00FA0E87"/>
    <w:rsid w:val="00FA14CC"/>
    <w:rsid w:val="00FA162E"/>
    <w:rsid w:val="00FA17C0"/>
    <w:rsid w:val="00FA187E"/>
    <w:rsid w:val="00FA1AB5"/>
    <w:rsid w:val="00FA2217"/>
    <w:rsid w:val="00FA29C6"/>
    <w:rsid w:val="00FA2A56"/>
    <w:rsid w:val="00FA35DA"/>
    <w:rsid w:val="00FA3948"/>
    <w:rsid w:val="00FA530A"/>
    <w:rsid w:val="00FA61C2"/>
    <w:rsid w:val="00FA6B37"/>
    <w:rsid w:val="00FA71FF"/>
    <w:rsid w:val="00FA776D"/>
    <w:rsid w:val="00FA7996"/>
    <w:rsid w:val="00FA7B62"/>
    <w:rsid w:val="00FB03A4"/>
    <w:rsid w:val="00FB0484"/>
    <w:rsid w:val="00FB0531"/>
    <w:rsid w:val="00FB0E67"/>
    <w:rsid w:val="00FB1DF8"/>
    <w:rsid w:val="00FB1FDB"/>
    <w:rsid w:val="00FB3BE4"/>
    <w:rsid w:val="00FB458A"/>
    <w:rsid w:val="00FB4B1E"/>
    <w:rsid w:val="00FB560E"/>
    <w:rsid w:val="00FB5879"/>
    <w:rsid w:val="00FB6889"/>
    <w:rsid w:val="00FB6B3A"/>
    <w:rsid w:val="00FB71D1"/>
    <w:rsid w:val="00FB7739"/>
    <w:rsid w:val="00FB7D41"/>
    <w:rsid w:val="00FC0125"/>
    <w:rsid w:val="00FC0700"/>
    <w:rsid w:val="00FC0A7C"/>
    <w:rsid w:val="00FC168D"/>
    <w:rsid w:val="00FC1F50"/>
    <w:rsid w:val="00FC2086"/>
    <w:rsid w:val="00FC2190"/>
    <w:rsid w:val="00FC2D5E"/>
    <w:rsid w:val="00FC3451"/>
    <w:rsid w:val="00FC3472"/>
    <w:rsid w:val="00FC4CF5"/>
    <w:rsid w:val="00FC5443"/>
    <w:rsid w:val="00FC5DDD"/>
    <w:rsid w:val="00FC6AAB"/>
    <w:rsid w:val="00FC7864"/>
    <w:rsid w:val="00FC7E87"/>
    <w:rsid w:val="00FD02A7"/>
    <w:rsid w:val="00FD0923"/>
    <w:rsid w:val="00FD0A40"/>
    <w:rsid w:val="00FD0EAA"/>
    <w:rsid w:val="00FD1531"/>
    <w:rsid w:val="00FD2792"/>
    <w:rsid w:val="00FD357B"/>
    <w:rsid w:val="00FD45B0"/>
    <w:rsid w:val="00FD4EC8"/>
    <w:rsid w:val="00FD5099"/>
    <w:rsid w:val="00FD51CC"/>
    <w:rsid w:val="00FD527F"/>
    <w:rsid w:val="00FD5D2A"/>
    <w:rsid w:val="00FD630D"/>
    <w:rsid w:val="00FD682F"/>
    <w:rsid w:val="00FD6BCE"/>
    <w:rsid w:val="00FD6D6A"/>
    <w:rsid w:val="00FD7B79"/>
    <w:rsid w:val="00FE11EF"/>
    <w:rsid w:val="00FE1E13"/>
    <w:rsid w:val="00FE1E64"/>
    <w:rsid w:val="00FE2567"/>
    <w:rsid w:val="00FE3B81"/>
    <w:rsid w:val="00FE3C64"/>
    <w:rsid w:val="00FE4655"/>
    <w:rsid w:val="00FE4B06"/>
    <w:rsid w:val="00FE4E98"/>
    <w:rsid w:val="00FE53D4"/>
    <w:rsid w:val="00FE65C2"/>
    <w:rsid w:val="00FE65FE"/>
    <w:rsid w:val="00FE6C1B"/>
    <w:rsid w:val="00FE6CBB"/>
    <w:rsid w:val="00FE6EA0"/>
    <w:rsid w:val="00FE7394"/>
    <w:rsid w:val="00FE7422"/>
    <w:rsid w:val="00FE766B"/>
    <w:rsid w:val="00FF029A"/>
    <w:rsid w:val="00FF0A38"/>
    <w:rsid w:val="00FF0CAC"/>
    <w:rsid w:val="00FF0D55"/>
    <w:rsid w:val="00FF0EA1"/>
    <w:rsid w:val="00FF0EC7"/>
    <w:rsid w:val="00FF1169"/>
    <w:rsid w:val="00FF1FAC"/>
    <w:rsid w:val="00FF2BC2"/>
    <w:rsid w:val="00FF3E76"/>
    <w:rsid w:val="00FF46F2"/>
    <w:rsid w:val="00FF4751"/>
    <w:rsid w:val="00FF4D7E"/>
    <w:rsid w:val="00FF55DD"/>
    <w:rsid w:val="00FF602E"/>
    <w:rsid w:val="00FF6379"/>
    <w:rsid w:val="00FF6478"/>
    <w:rsid w:val="00FF6EC9"/>
    <w:rsid w:val="00FF7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8B2"/>
    <w:rPr>
      <w:rFonts w:ascii="Times New Roman" w:hAnsi="Times New Roman"/>
      <w:sz w:val="22"/>
      <w:szCs w:val="22"/>
    </w:rPr>
  </w:style>
  <w:style w:type="paragraph" w:styleId="Heading1">
    <w:name w:val="heading 1"/>
    <w:basedOn w:val="Normal"/>
    <w:next w:val="Normal"/>
    <w:link w:val="Heading1Char"/>
    <w:uiPriority w:val="9"/>
    <w:qFormat/>
    <w:rsid w:val="007A36E2"/>
    <w:pPr>
      <w:keepNext/>
      <w:keepLines/>
      <w:jc w:val="center"/>
      <w:outlineLvl w:val="0"/>
    </w:pPr>
    <w:rPr>
      <w:rFonts w:ascii="Arial" w:eastAsia="Times New Roman" w:hAnsi="Arial"/>
      <w:b/>
      <w:bCs/>
      <w:color w:val="000000"/>
    </w:rPr>
  </w:style>
  <w:style w:type="paragraph" w:styleId="Heading2">
    <w:name w:val="heading 2"/>
    <w:basedOn w:val="Normal"/>
    <w:next w:val="Normal"/>
    <w:link w:val="Heading2Char"/>
    <w:uiPriority w:val="9"/>
    <w:unhideWhenUsed/>
    <w:qFormat/>
    <w:rsid w:val="00891C26"/>
    <w:pPr>
      <w:keepNext/>
      <w:keepLines/>
      <w:numPr>
        <w:ilvl w:val="1"/>
        <w:numId w:val="6"/>
      </w:numPr>
      <w:outlineLvl w:val="1"/>
    </w:pPr>
    <w:rPr>
      <w:rFonts w:eastAsia="Times New Roman"/>
      <w:b/>
      <w:bCs/>
      <w:color w:val="000000"/>
      <w:szCs w:val="26"/>
    </w:rPr>
  </w:style>
  <w:style w:type="paragraph" w:styleId="Heading3">
    <w:name w:val="heading 3"/>
    <w:basedOn w:val="Normal"/>
    <w:next w:val="Normal"/>
    <w:link w:val="Heading3Char"/>
    <w:uiPriority w:val="9"/>
    <w:unhideWhenUsed/>
    <w:qFormat/>
    <w:rsid w:val="00B166C2"/>
    <w:pPr>
      <w:keepNext/>
      <w:outlineLvl w:val="2"/>
    </w:pPr>
    <w:rPr>
      <w:rFonts w:eastAsia="Times New Roman"/>
      <w:bCs/>
      <w:color w:val="000000"/>
      <w:u w:val="single"/>
    </w:rPr>
  </w:style>
  <w:style w:type="paragraph" w:styleId="Heading4">
    <w:name w:val="heading 4"/>
    <w:basedOn w:val="Normal"/>
    <w:next w:val="Normal"/>
    <w:link w:val="Heading4Char"/>
    <w:uiPriority w:val="9"/>
    <w:unhideWhenUsed/>
    <w:rsid w:val="006D0F1A"/>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rsid w:val="006D0F1A"/>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D0F1A"/>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D0F1A"/>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D0F1A"/>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D0F1A"/>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E01A81"/>
    <w:rPr>
      <w:rFonts w:eastAsia="Times New Roman"/>
      <w:sz w:val="24"/>
      <w:szCs w:val="20"/>
    </w:rPr>
  </w:style>
  <w:style w:type="character" w:customStyle="1" w:styleId="EndnoteTextChar">
    <w:name w:val="Endnote Text Char"/>
    <w:basedOn w:val="DefaultParagraphFont"/>
    <w:link w:val="EndnoteText"/>
    <w:uiPriority w:val="99"/>
    <w:rsid w:val="00E01A81"/>
    <w:rPr>
      <w:rFonts w:ascii="Times New Roman" w:eastAsia="Times New Roman" w:hAnsi="Times New Roman" w:cs="Times New Roman"/>
      <w:sz w:val="24"/>
      <w:szCs w:val="20"/>
    </w:rPr>
  </w:style>
  <w:style w:type="character" w:styleId="EndnoteReference">
    <w:name w:val="endnote reference"/>
    <w:basedOn w:val="DefaultParagraphFont"/>
    <w:uiPriority w:val="99"/>
    <w:semiHidden/>
    <w:rsid w:val="00E01A81"/>
    <w:rPr>
      <w:vertAlign w:val="superscript"/>
    </w:rPr>
  </w:style>
  <w:style w:type="character" w:styleId="PageNumber">
    <w:name w:val="page number"/>
    <w:basedOn w:val="DefaultParagraphFont"/>
    <w:rsid w:val="00E01A81"/>
  </w:style>
  <w:style w:type="character" w:styleId="Hyperlink">
    <w:name w:val="Hyperlink"/>
    <w:basedOn w:val="DefaultParagraphFont"/>
    <w:uiPriority w:val="99"/>
    <w:unhideWhenUsed/>
    <w:rsid w:val="00E01A81"/>
    <w:rPr>
      <w:color w:val="0000FF"/>
      <w:u w:val="single"/>
    </w:rPr>
  </w:style>
  <w:style w:type="paragraph" w:styleId="Header">
    <w:name w:val="header"/>
    <w:basedOn w:val="Normal"/>
    <w:link w:val="HeaderChar"/>
    <w:uiPriority w:val="99"/>
    <w:semiHidden/>
    <w:unhideWhenUsed/>
    <w:rsid w:val="00E01A81"/>
    <w:pPr>
      <w:tabs>
        <w:tab w:val="center" w:pos="4680"/>
        <w:tab w:val="right" w:pos="9360"/>
      </w:tabs>
    </w:pPr>
  </w:style>
  <w:style w:type="character" w:customStyle="1" w:styleId="HeaderChar">
    <w:name w:val="Header Char"/>
    <w:basedOn w:val="DefaultParagraphFont"/>
    <w:link w:val="Header"/>
    <w:uiPriority w:val="99"/>
    <w:semiHidden/>
    <w:rsid w:val="00E01A81"/>
    <w:rPr>
      <w:rFonts w:ascii="Times New Roman" w:hAnsi="Times New Roman"/>
    </w:rPr>
  </w:style>
  <w:style w:type="paragraph" w:styleId="Footer">
    <w:name w:val="footer"/>
    <w:basedOn w:val="Normal"/>
    <w:link w:val="FooterChar"/>
    <w:uiPriority w:val="99"/>
    <w:semiHidden/>
    <w:unhideWhenUsed/>
    <w:rsid w:val="00E01A81"/>
    <w:pPr>
      <w:tabs>
        <w:tab w:val="center" w:pos="4680"/>
        <w:tab w:val="right" w:pos="9360"/>
      </w:tabs>
    </w:pPr>
  </w:style>
  <w:style w:type="character" w:customStyle="1" w:styleId="FooterChar">
    <w:name w:val="Footer Char"/>
    <w:basedOn w:val="DefaultParagraphFont"/>
    <w:link w:val="Footer"/>
    <w:uiPriority w:val="99"/>
    <w:semiHidden/>
    <w:rsid w:val="00E01A81"/>
    <w:rPr>
      <w:rFonts w:ascii="Times New Roman" w:hAnsi="Times New Roman"/>
    </w:rPr>
  </w:style>
  <w:style w:type="table" w:styleId="TableGrid">
    <w:name w:val="Table Grid"/>
    <w:basedOn w:val="TableNormal"/>
    <w:uiPriority w:val="59"/>
    <w:rsid w:val="00CE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C45D76"/>
    <w:rPr>
      <w:rFonts w:eastAsia="Times New Roman"/>
      <w:sz w:val="20"/>
      <w:szCs w:val="20"/>
    </w:rPr>
  </w:style>
  <w:style w:type="character" w:customStyle="1" w:styleId="CommentTextChar">
    <w:name w:val="Comment Text Char"/>
    <w:basedOn w:val="DefaultParagraphFont"/>
    <w:link w:val="CommentText"/>
    <w:uiPriority w:val="99"/>
    <w:rsid w:val="00C45D76"/>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93CBD"/>
    <w:rPr>
      <w:rFonts w:ascii="Arial" w:eastAsia="Times New Roman" w:hAnsi="Arial"/>
      <w:b/>
      <w:bCs/>
      <w:color w:val="000000"/>
      <w:sz w:val="22"/>
      <w:szCs w:val="22"/>
    </w:rPr>
  </w:style>
  <w:style w:type="character" w:customStyle="1" w:styleId="Heading2Char">
    <w:name w:val="Heading 2 Char"/>
    <w:basedOn w:val="DefaultParagraphFont"/>
    <w:link w:val="Heading2"/>
    <w:uiPriority w:val="9"/>
    <w:rsid w:val="00891C26"/>
    <w:rPr>
      <w:rFonts w:ascii="Times New Roman" w:eastAsia="Times New Roman" w:hAnsi="Times New Roman"/>
      <w:b/>
      <w:bCs/>
      <w:color w:val="000000"/>
      <w:sz w:val="22"/>
      <w:szCs w:val="26"/>
    </w:rPr>
  </w:style>
  <w:style w:type="character" w:customStyle="1" w:styleId="Heading3Char">
    <w:name w:val="Heading 3 Char"/>
    <w:basedOn w:val="DefaultParagraphFont"/>
    <w:link w:val="Heading3"/>
    <w:uiPriority w:val="9"/>
    <w:rsid w:val="00B166C2"/>
    <w:rPr>
      <w:rFonts w:ascii="Times New Roman" w:eastAsia="Times New Roman" w:hAnsi="Times New Roman"/>
      <w:bCs/>
      <w:color w:val="000000"/>
      <w:sz w:val="22"/>
      <w:szCs w:val="22"/>
      <w:u w:val="single"/>
    </w:rPr>
  </w:style>
  <w:style w:type="paragraph" w:styleId="ListParagraph">
    <w:name w:val="List Paragraph"/>
    <w:basedOn w:val="Normal"/>
    <w:link w:val="ListParagraphChar"/>
    <w:uiPriority w:val="34"/>
    <w:qFormat/>
    <w:rsid w:val="007813AB"/>
    <w:pPr>
      <w:ind w:left="720"/>
      <w:contextualSpacing/>
    </w:pPr>
  </w:style>
  <w:style w:type="paragraph" w:styleId="FootnoteText">
    <w:name w:val="footnote text"/>
    <w:basedOn w:val="Normal"/>
    <w:link w:val="FootnoteTextChar"/>
    <w:uiPriority w:val="99"/>
    <w:semiHidden/>
    <w:unhideWhenUsed/>
    <w:rsid w:val="00CA5E89"/>
    <w:rPr>
      <w:sz w:val="20"/>
      <w:szCs w:val="20"/>
    </w:rPr>
  </w:style>
  <w:style w:type="character" w:customStyle="1" w:styleId="FootnoteTextChar">
    <w:name w:val="Footnote Text Char"/>
    <w:basedOn w:val="DefaultParagraphFont"/>
    <w:link w:val="FootnoteText"/>
    <w:uiPriority w:val="99"/>
    <w:semiHidden/>
    <w:rsid w:val="00CA5E89"/>
    <w:rPr>
      <w:rFonts w:ascii="Times New Roman" w:hAnsi="Times New Roman"/>
      <w:sz w:val="20"/>
      <w:szCs w:val="20"/>
    </w:rPr>
  </w:style>
  <w:style w:type="character" w:styleId="FootnoteReference">
    <w:name w:val="footnote reference"/>
    <w:basedOn w:val="DefaultParagraphFont"/>
    <w:uiPriority w:val="99"/>
    <w:semiHidden/>
    <w:unhideWhenUsed/>
    <w:rsid w:val="00CA5E89"/>
    <w:rPr>
      <w:vertAlign w:val="superscript"/>
    </w:rPr>
  </w:style>
  <w:style w:type="character" w:styleId="CommentReference">
    <w:name w:val="annotation reference"/>
    <w:basedOn w:val="DefaultParagraphFont"/>
    <w:uiPriority w:val="99"/>
    <w:semiHidden/>
    <w:unhideWhenUsed/>
    <w:rsid w:val="007872A5"/>
    <w:rPr>
      <w:sz w:val="16"/>
      <w:szCs w:val="16"/>
    </w:rPr>
  </w:style>
  <w:style w:type="paragraph" w:styleId="CommentSubject">
    <w:name w:val="annotation subject"/>
    <w:basedOn w:val="CommentText"/>
    <w:next w:val="CommentText"/>
    <w:link w:val="CommentSubjectChar"/>
    <w:uiPriority w:val="99"/>
    <w:semiHidden/>
    <w:unhideWhenUsed/>
    <w:rsid w:val="007872A5"/>
    <w:rPr>
      <w:rFonts w:eastAsia="Calibri"/>
      <w:b/>
      <w:bCs/>
    </w:rPr>
  </w:style>
  <w:style w:type="character" w:customStyle="1" w:styleId="CommentSubjectChar">
    <w:name w:val="Comment Subject Char"/>
    <w:basedOn w:val="CommentTextChar"/>
    <w:link w:val="CommentSubject"/>
    <w:uiPriority w:val="99"/>
    <w:semiHidden/>
    <w:rsid w:val="007872A5"/>
    <w:rPr>
      <w:b/>
      <w:bCs/>
    </w:rPr>
  </w:style>
  <w:style w:type="paragraph" w:styleId="Revision">
    <w:name w:val="Revision"/>
    <w:hidden/>
    <w:uiPriority w:val="99"/>
    <w:semiHidden/>
    <w:rsid w:val="007872A5"/>
    <w:rPr>
      <w:rFonts w:ascii="Times New Roman" w:hAnsi="Times New Roman"/>
      <w:sz w:val="22"/>
      <w:szCs w:val="22"/>
    </w:rPr>
  </w:style>
  <w:style w:type="paragraph" w:styleId="BalloonText">
    <w:name w:val="Balloon Text"/>
    <w:basedOn w:val="Normal"/>
    <w:link w:val="BalloonTextChar"/>
    <w:uiPriority w:val="99"/>
    <w:semiHidden/>
    <w:unhideWhenUsed/>
    <w:rsid w:val="007872A5"/>
    <w:rPr>
      <w:rFonts w:ascii="Tahoma" w:hAnsi="Tahoma" w:cs="Tahoma"/>
      <w:sz w:val="16"/>
      <w:szCs w:val="16"/>
    </w:rPr>
  </w:style>
  <w:style w:type="character" w:customStyle="1" w:styleId="BalloonTextChar">
    <w:name w:val="Balloon Text Char"/>
    <w:basedOn w:val="DefaultParagraphFont"/>
    <w:link w:val="BalloonText"/>
    <w:uiPriority w:val="99"/>
    <w:semiHidden/>
    <w:rsid w:val="007872A5"/>
    <w:rPr>
      <w:rFonts w:ascii="Tahoma" w:hAnsi="Tahoma" w:cs="Tahoma"/>
      <w:sz w:val="16"/>
      <w:szCs w:val="16"/>
    </w:rPr>
  </w:style>
  <w:style w:type="paragraph" w:styleId="NormalWeb">
    <w:name w:val="Normal (Web)"/>
    <w:basedOn w:val="Normal"/>
    <w:unhideWhenUsed/>
    <w:rsid w:val="00447DAC"/>
    <w:pPr>
      <w:spacing w:before="100" w:beforeAutospacing="1" w:after="100" w:afterAutospacing="1"/>
    </w:pPr>
    <w:rPr>
      <w:sz w:val="24"/>
      <w:szCs w:val="24"/>
    </w:rPr>
  </w:style>
  <w:style w:type="character" w:customStyle="1" w:styleId="ListParagraphChar">
    <w:name w:val="List Paragraph Char"/>
    <w:basedOn w:val="DefaultParagraphFont"/>
    <w:link w:val="ListParagraph"/>
    <w:uiPriority w:val="34"/>
    <w:rsid w:val="00447DAC"/>
    <w:rPr>
      <w:rFonts w:ascii="Times New Roman" w:hAnsi="Times New Roman"/>
    </w:rPr>
  </w:style>
  <w:style w:type="character" w:styleId="FollowedHyperlink">
    <w:name w:val="FollowedHyperlink"/>
    <w:basedOn w:val="DefaultParagraphFont"/>
    <w:uiPriority w:val="99"/>
    <w:semiHidden/>
    <w:unhideWhenUsed/>
    <w:rsid w:val="00447DAC"/>
    <w:rPr>
      <w:color w:val="800080"/>
      <w:u w:val="single"/>
    </w:rPr>
  </w:style>
  <w:style w:type="paragraph" w:customStyle="1" w:styleId="DEQTEXTforFACTSHEET">
    <w:name w:val="(DEQ)TEXT for FACT SHEET"/>
    <w:basedOn w:val="Normal"/>
    <w:rsid w:val="00447DAC"/>
    <w:rPr>
      <w:rFonts w:ascii="Times" w:eastAsia="Times" w:hAnsi="Times"/>
      <w:sz w:val="20"/>
      <w:szCs w:val="20"/>
    </w:rPr>
  </w:style>
  <w:style w:type="character" w:customStyle="1" w:styleId="Heading4Char">
    <w:name w:val="Heading 4 Char"/>
    <w:basedOn w:val="DefaultParagraphFont"/>
    <w:link w:val="Heading4"/>
    <w:uiPriority w:val="9"/>
    <w:rsid w:val="006D0F1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D0F1A"/>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6D0F1A"/>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6D0F1A"/>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6D0F1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6D0F1A"/>
    <w:rPr>
      <w:rFonts w:ascii="Cambria" w:eastAsia="Times New Roman" w:hAnsi="Cambria" w:cs="Times New Roman"/>
      <w:i/>
      <w:iCs/>
      <w:color w:val="404040"/>
      <w:sz w:val="20"/>
      <w:szCs w:val="20"/>
    </w:rPr>
  </w:style>
  <w:style w:type="character" w:styleId="Strong">
    <w:name w:val="Strong"/>
    <w:basedOn w:val="DefaultParagraphFont"/>
    <w:uiPriority w:val="22"/>
    <w:rsid w:val="00FF0D55"/>
    <w:rPr>
      <w:b/>
      <w:bCs/>
    </w:rPr>
  </w:style>
  <w:style w:type="paragraph" w:styleId="TOCHeading">
    <w:name w:val="TOC Heading"/>
    <w:basedOn w:val="Heading1"/>
    <w:next w:val="Normal"/>
    <w:uiPriority w:val="39"/>
    <w:unhideWhenUsed/>
    <w:qFormat/>
    <w:rsid w:val="003E3E5A"/>
    <w:pPr>
      <w:spacing w:before="480" w:line="276" w:lineRule="auto"/>
      <w:jc w:val="left"/>
      <w:outlineLvl w:val="9"/>
    </w:pPr>
    <w:rPr>
      <w:color w:val="auto"/>
      <w:sz w:val="28"/>
      <w:szCs w:val="28"/>
    </w:rPr>
  </w:style>
  <w:style w:type="paragraph" w:styleId="TOC1">
    <w:name w:val="toc 1"/>
    <w:basedOn w:val="Normal"/>
    <w:next w:val="Normal"/>
    <w:autoRedefine/>
    <w:uiPriority w:val="39"/>
    <w:unhideWhenUsed/>
    <w:rsid w:val="00EF3243"/>
    <w:pPr>
      <w:tabs>
        <w:tab w:val="right" w:leader="dot" w:pos="10070"/>
      </w:tabs>
      <w:spacing w:before="120"/>
    </w:pPr>
    <w:rPr>
      <w:rFonts w:ascii="Arial" w:hAnsi="Arial" w:cs="Arial"/>
      <w:b/>
      <w:noProof/>
      <w:sz w:val="20"/>
      <w:szCs w:val="20"/>
    </w:rPr>
  </w:style>
  <w:style w:type="paragraph" w:styleId="TOC2">
    <w:name w:val="toc 2"/>
    <w:basedOn w:val="Normal"/>
    <w:next w:val="Normal"/>
    <w:autoRedefine/>
    <w:uiPriority w:val="39"/>
    <w:unhideWhenUsed/>
    <w:rsid w:val="009602B0"/>
    <w:pPr>
      <w:tabs>
        <w:tab w:val="left" w:pos="630"/>
        <w:tab w:val="right" w:leader="dot" w:pos="10070"/>
      </w:tabs>
      <w:ind w:left="630" w:hanging="414"/>
    </w:pPr>
  </w:style>
  <w:style w:type="paragraph" w:styleId="TOC3">
    <w:name w:val="toc 3"/>
    <w:basedOn w:val="Normal"/>
    <w:next w:val="Normal"/>
    <w:autoRedefine/>
    <w:uiPriority w:val="39"/>
    <w:unhideWhenUsed/>
    <w:rsid w:val="00B158B2"/>
    <w:pPr>
      <w:tabs>
        <w:tab w:val="left" w:pos="990"/>
        <w:tab w:val="right" w:leader="dot" w:pos="10070"/>
      </w:tabs>
      <w:ind w:left="990" w:hanging="356"/>
    </w:pPr>
  </w:style>
  <w:style w:type="paragraph" w:styleId="Caption">
    <w:name w:val="caption"/>
    <w:basedOn w:val="Normal"/>
    <w:next w:val="Normal"/>
    <w:uiPriority w:val="35"/>
    <w:unhideWhenUsed/>
    <w:qFormat/>
    <w:rsid w:val="00DA5CFD"/>
    <w:pPr>
      <w:spacing w:after="200"/>
      <w:jc w:val="center"/>
    </w:pPr>
    <w:rPr>
      <w:rFonts w:ascii="Arial" w:hAnsi="Arial"/>
      <w:b/>
      <w:bCs/>
      <w:sz w:val="20"/>
      <w:szCs w:val="18"/>
    </w:rPr>
  </w:style>
  <w:style w:type="paragraph" w:styleId="TableofFigures">
    <w:name w:val="table of figures"/>
    <w:basedOn w:val="Normal"/>
    <w:next w:val="Normal"/>
    <w:uiPriority w:val="99"/>
    <w:unhideWhenUsed/>
    <w:rsid w:val="00F229C3"/>
  </w:style>
  <w:style w:type="paragraph" w:styleId="DocumentMap">
    <w:name w:val="Document Map"/>
    <w:basedOn w:val="Normal"/>
    <w:link w:val="DocumentMapChar"/>
    <w:uiPriority w:val="99"/>
    <w:semiHidden/>
    <w:unhideWhenUsed/>
    <w:rsid w:val="00C37271"/>
    <w:rPr>
      <w:rFonts w:ascii="Tahoma" w:hAnsi="Tahoma" w:cs="Tahoma"/>
      <w:sz w:val="16"/>
      <w:szCs w:val="16"/>
    </w:rPr>
  </w:style>
  <w:style w:type="character" w:customStyle="1" w:styleId="DocumentMapChar">
    <w:name w:val="Document Map Char"/>
    <w:basedOn w:val="DefaultParagraphFont"/>
    <w:link w:val="DocumentMap"/>
    <w:uiPriority w:val="99"/>
    <w:semiHidden/>
    <w:rsid w:val="00C37271"/>
    <w:rPr>
      <w:rFonts w:ascii="Tahoma" w:hAnsi="Tahoma" w:cs="Tahoma"/>
      <w:sz w:val="16"/>
      <w:szCs w:val="16"/>
    </w:rPr>
  </w:style>
  <w:style w:type="paragraph" w:customStyle="1" w:styleId="Default">
    <w:name w:val="Default"/>
    <w:rsid w:val="00D62759"/>
    <w:pPr>
      <w:autoSpaceDE w:val="0"/>
      <w:autoSpaceDN w:val="0"/>
      <w:adjustRightInd w:val="0"/>
    </w:pPr>
    <w:rPr>
      <w:rFonts w:ascii="Times New Roman" w:eastAsiaTheme="minorHAnsi" w:hAnsi="Times New Roman"/>
      <w:color w:val="000000"/>
      <w:sz w:val="24"/>
      <w:szCs w:val="24"/>
    </w:rPr>
  </w:style>
  <w:style w:type="paragraph" w:customStyle="1" w:styleId="PermitHanging1">
    <w:name w:val="Permit Hanging 1"/>
    <w:basedOn w:val="Normal"/>
    <w:uiPriority w:val="8"/>
    <w:rsid w:val="00AB7C26"/>
    <w:pPr>
      <w:tabs>
        <w:tab w:val="left" w:pos="720"/>
      </w:tabs>
      <w:spacing w:after="220"/>
      <w:ind w:left="720" w:hanging="720"/>
      <w:jc w:val="both"/>
    </w:pPr>
    <w:rPr>
      <w:rFonts w:eastAsia="Times New Roman"/>
      <w:szCs w:val="20"/>
      <w:lang w:val="en-CA"/>
    </w:rPr>
  </w:style>
  <w:style w:type="paragraph" w:customStyle="1" w:styleId="PermitHanging2">
    <w:name w:val="Permit Hanging 2"/>
    <w:basedOn w:val="PermitHanging1"/>
    <w:uiPriority w:val="8"/>
    <w:rsid w:val="00AB7C26"/>
    <w:pPr>
      <w:tabs>
        <w:tab w:val="left" w:pos="1440"/>
      </w:tabs>
      <w:ind w:left="1440"/>
    </w:pPr>
  </w:style>
  <w:style w:type="paragraph" w:styleId="TOC9">
    <w:name w:val="toc 9"/>
    <w:basedOn w:val="Normal"/>
    <w:next w:val="Normal"/>
    <w:autoRedefine/>
    <w:uiPriority w:val="39"/>
    <w:semiHidden/>
    <w:unhideWhenUsed/>
    <w:rsid w:val="007E0C17"/>
    <w:pPr>
      <w:spacing w:after="100"/>
      <w:ind w:left="1760"/>
    </w:pPr>
  </w:style>
  <w:style w:type="numbering" w:customStyle="1" w:styleId="permittemplate">
    <w:name w:val="permittemplate"/>
    <w:uiPriority w:val="99"/>
    <w:rsid w:val="00891C26"/>
    <w:pPr>
      <w:numPr>
        <w:numId w:val="5"/>
      </w:numPr>
    </w:pPr>
  </w:style>
  <w:style w:type="character" w:customStyle="1" w:styleId="style161">
    <w:name w:val="style161"/>
    <w:basedOn w:val="DefaultParagraphFont"/>
    <w:rsid w:val="00187524"/>
    <w:rPr>
      <w:sz w:val="15"/>
      <w:szCs w:val="15"/>
      <w:shd w:val="clear" w:color="auto" w:fill="FFFF00"/>
    </w:rPr>
  </w:style>
  <w:style w:type="paragraph" w:customStyle="1" w:styleId="PermitBodyText">
    <w:name w:val="Permit Body Text"/>
    <w:basedOn w:val="Normal"/>
    <w:uiPriority w:val="99"/>
    <w:rsid w:val="00EA047E"/>
    <w:pPr>
      <w:tabs>
        <w:tab w:val="left" w:pos="-720"/>
        <w:tab w:val="left" w:pos="720"/>
      </w:tabs>
      <w:suppressAutoHyphens/>
    </w:pPr>
    <w:rPr>
      <w:rFonts w:ascii="Bookman Old Style" w:eastAsia="Times New Roman" w:hAnsi="Bookman Old Style"/>
      <w:szCs w:val="20"/>
    </w:rPr>
  </w:style>
  <w:style w:type="paragraph" w:styleId="BodyText">
    <w:name w:val="Body Text"/>
    <w:basedOn w:val="Normal"/>
    <w:link w:val="BodyTextChar"/>
    <w:rsid w:val="00EA047E"/>
    <w:rPr>
      <w:rFonts w:ascii="Bookman Old Style" w:eastAsia="Times New Roman" w:hAnsi="Bookman Old Style"/>
      <w:szCs w:val="20"/>
    </w:rPr>
  </w:style>
  <w:style w:type="character" w:customStyle="1" w:styleId="BodyTextChar">
    <w:name w:val="Body Text Char"/>
    <w:basedOn w:val="DefaultParagraphFont"/>
    <w:link w:val="BodyText"/>
    <w:rsid w:val="00EA047E"/>
    <w:rPr>
      <w:rFonts w:ascii="Bookman Old Style" w:eastAsia="Times New Roman" w:hAnsi="Bookman Old Style"/>
      <w:sz w:val="22"/>
    </w:rPr>
  </w:style>
  <w:style w:type="paragraph" w:customStyle="1" w:styleId="TableBody">
    <w:name w:val="Table Body"/>
    <w:basedOn w:val="Normal"/>
    <w:rsid w:val="005152FE"/>
    <w:pPr>
      <w:spacing w:before="80" w:after="80"/>
      <w:jc w:val="center"/>
    </w:pPr>
    <w:rPr>
      <w:rFonts w:ascii="Arial" w:eastAsia="Times New Roman" w:hAnsi="Arial"/>
      <w:sz w:val="18"/>
      <w:szCs w:val="20"/>
    </w:rPr>
  </w:style>
  <w:style w:type="paragraph" w:customStyle="1" w:styleId="Level3">
    <w:name w:val="Level 3"/>
    <w:basedOn w:val="ListParagraph"/>
    <w:link w:val="Level3Char"/>
    <w:qFormat/>
    <w:rsid w:val="00B8581C"/>
    <w:pPr>
      <w:numPr>
        <w:ilvl w:val="1"/>
        <w:numId w:val="13"/>
      </w:numPr>
      <w:tabs>
        <w:tab w:val="left" w:pos="-720"/>
        <w:tab w:val="left" w:pos="0"/>
        <w:tab w:val="left" w:pos="720"/>
        <w:tab w:val="left" w:pos="1440"/>
      </w:tabs>
      <w:suppressAutoHyphens/>
      <w:topLinePunct/>
      <w:textAlignment w:val="center"/>
    </w:pPr>
    <w:rPr>
      <w:rFonts w:eastAsia="Times New Roman"/>
      <w:sz w:val="20"/>
      <w:szCs w:val="24"/>
      <w:lang w:bidi="en-US"/>
    </w:rPr>
  </w:style>
  <w:style w:type="paragraph" w:customStyle="1" w:styleId="Level4">
    <w:name w:val="Level4"/>
    <w:basedOn w:val="Normal"/>
    <w:link w:val="Level4Char"/>
    <w:qFormat/>
    <w:rsid w:val="00B8581C"/>
    <w:pPr>
      <w:numPr>
        <w:ilvl w:val="2"/>
        <w:numId w:val="13"/>
      </w:numPr>
      <w:autoSpaceDE w:val="0"/>
      <w:autoSpaceDN w:val="0"/>
      <w:adjustRightInd w:val="0"/>
    </w:pPr>
    <w:rPr>
      <w:rFonts w:eastAsia="Times New Roman"/>
      <w:sz w:val="20"/>
      <w:szCs w:val="20"/>
      <w:lang w:bidi="en-US"/>
    </w:rPr>
  </w:style>
  <w:style w:type="character" w:customStyle="1" w:styleId="Level3Char">
    <w:name w:val="Level 3 Char"/>
    <w:basedOn w:val="ListParagraphChar"/>
    <w:link w:val="Level3"/>
    <w:rsid w:val="00B8581C"/>
    <w:rPr>
      <w:rFonts w:eastAsia="Times New Roman"/>
      <w:szCs w:val="24"/>
      <w:lang w:bidi="en-US"/>
    </w:rPr>
  </w:style>
  <w:style w:type="paragraph" w:customStyle="1" w:styleId="Style5">
    <w:name w:val="Style5"/>
    <w:basedOn w:val="ListParagraph"/>
    <w:link w:val="Style5Char"/>
    <w:qFormat/>
    <w:rsid w:val="00B8581C"/>
    <w:pPr>
      <w:numPr>
        <w:numId w:val="14"/>
      </w:numPr>
    </w:pPr>
    <w:rPr>
      <w:rFonts w:eastAsia="Times New Roman"/>
      <w:sz w:val="20"/>
      <w:szCs w:val="24"/>
      <w:lang w:bidi="en-US"/>
    </w:rPr>
  </w:style>
  <w:style w:type="character" w:customStyle="1" w:styleId="Level4Char">
    <w:name w:val="Level4 Char"/>
    <w:basedOn w:val="DefaultParagraphFont"/>
    <w:link w:val="Level4"/>
    <w:rsid w:val="00B8581C"/>
    <w:rPr>
      <w:rFonts w:ascii="Times New Roman" w:eastAsia="Times New Roman" w:hAnsi="Times New Roman"/>
      <w:lang w:bidi="en-US"/>
    </w:rPr>
  </w:style>
  <w:style w:type="character" w:customStyle="1" w:styleId="Style5Char">
    <w:name w:val="Style5 Char"/>
    <w:basedOn w:val="ListParagraphChar"/>
    <w:link w:val="Style5"/>
    <w:rsid w:val="00B8581C"/>
    <w:rPr>
      <w:rFonts w:eastAsia="Times New Roman"/>
      <w:szCs w:val="24"/>
      <w:lang w:bidi="en-US"/>
    </w:rPr>
  </w:style>
</w:styles>
</file>

<file path=word/webSettings.xml><?xml version="1.0" encoding="utf-8"?>
<w:webSettings xmlns:r="http://schemas.openxmlformats.org/officeDocument/2006/relationships" xmlns:w="http://schemas.openxmlformats.org/wordprocessingml/2006/main">
  <w:divs>
    <w:div w:id="185558396">
      <w:bodyDiv w:val="1"/>
      <w:marLeft w:val="0"/>
      <w:marRight w:val="0"/>
      <w:marTop w:val="0"/>
      <w:marBottom w:val="0"/>
      <w:divBdr>
        <w:top w:val="none" w:sz="0" w:space="0" w:color="auto"/>
        <w:left w:val="none" w:sz="0" w:space="0" w:color="auto"/>
        <w:bottom w:val="none" w:sz="0" w:space="0" w:color="auto"/>
        <w:right w:val="none" w:sz="0" w:space="0" w:color="auto"/>
      </w:divBdr>
    </w:div>
    <w:div w:id="196285890">
      <w:bodyDiv w:val="1"/>
      <w:marLeft w:val="0"/>
      <w:marRight w:val="0"/>
      <w:marTop w:val="0"/>
      <w:marBottom w:val="0"/>
      <w:divBdr>
        <w:top w:val="none" w:sz="0" w:space="0" w:color="auto"/>
        <w:left w:val="none" w:sz="0" w:space="0" w:color="auto"/>
        <w:bottom w:val="none" w:sz="0" w:space="0" w:color="auto"/>
        <w:right w:val="none" w:sz="0" w:space="0" w:color="auto"/>
      </w:divBdr>
    </w:div>
    <w:div w:id="246693355">
      <w:bodyDiv w:val="1"/>
      <w:marLeft w:val="0"/>
      <w:marRight w:val="0"/>
      <w:marTop w:val="0"/>
      <w:marBottom w:val="0"/>
      <w:divBdr>
        <w:top w:val="none" w:sz="0" w:space="0" w:color="auto"/>
        <w:left w:val="none" w:sz="0" w:space="0" w:color="auto"/>
        <w:bottom w:val="none" w:sz="0" w:space="0" w:color="auto"/>
        <w:right w:val="none" w:sz="0" w:space="0" w:color="auto"/>
      </w:divBdr>
    </w:div>
    <w:div w:id="331836413">
      <w:bodyDiv w:val="1"/>
      <w:marLeft w:val="0"/>
      <w:marRight w:val="0"/>
      <w:marTop w:val="0"/>
      <w:marBottom w:val="0"/>
      <w:divBdr>
        <w:top w:val="none" w:sz="0" w:space="0" w:color="auto"/>
        <w:left w:val="none" w:sz="0" w:space="0" w:color="auto"/>
        <w:bottom w:val="none" w:sz="0" w:space="0" w:color="auto"/>
        <w:right w:val="none" w:sz="0" w:space="0" w:color="auto"/>
      </w:divBdr>
      <w:divsChild>
        <w:div w:id="1316226936">
          <w:marLeft w:val="0"/>
          <w:marRight w:val="0"/>
          <w:marTop w:val="0"/>
          <w:marBottom w:val="0"/>
          <w:divBdr>
            <w:top w:val="none" w:sz="0" w:space="0" w:color="auto"/>
            <w:left w:val="none" w:sz="0" w:space="0" w:color="auto"/>
            <w:bottom w:val="none" w:sz="0" w:space="0" w:color="auto"/>
            <w:right w:val="none" w:sz="0" w:space="0" w:color="auto"/>
          </w:divBdr>
        </w:div>
      </w:divsChild>
    </w:div>
    <w:div w:id="346057971">
      <w:bodyDiv w:val="1"/>
      <w:marLeft w:val="0"/>
      <w:marRight w:val="0"/>
      <w:marTop w:val="0"/>
      <w:marBottom w:val="0"/>
      <w:divBdr>
        <w:top w:val="none" w:sz="0" w:space="0" w:color="auto"/>
        <w:left w:val="none" w:sz="0" w:space="0" w:color="auto"/>
        <w:bottom w:val="none" w:sz="0" w:space="0" w:color="auto"/>
        <w:right w:val="none" w:sz="0" w:space="0" w:color="auto"/>
      </w:divBdr>
    </w:div>
    <w:div w:id="367529986">
      <w:bodyDiv w:val="1"/>
      <w:marLeft w:val="0"/>
      <w:marRight w:val="0"/>
      <w:marTop w:val="0"/>
      <w:marBottom w:val="0"/>
      <w:divBdr>
        <w:top w:val="none" w:sz="0" w:space="0" w:color="auto"/>
        <w:left w:val="none" w:sz="0" w:space="0" w:color="auto"/>
        <w:bottom w:val="none" w:sz="0" w:space="0" w:color="auto"/>
        <w:right w:val="none" w:sz="0" w:space="0" w:color="auto"/>
      </w:divBdr>
    </w:div>
    <w:div w:id="385955135">
      <w:bodyDiv w:val="1"/>
      <w:marLeft w:val="0"/>
      <w:marRight w:val="0"/>
      <w:marTop w:val="0"/>
      <w:marBottom w:val="0"/>
      <w:divBdr>
        <w:top w:val="none" w:sz="0" w:space="0" w:color="auto"/>
        <w:left w:val="none" w:sz="0" w:space="0" w:color="auto"/>
        <w:bottom w:val="none" w:sz="0" w:space="0" w:color="auto"/>
        <w:right w:val="none" w:sz="0" w:space="0" w:color="auto"/>
      </w:divBdr>
    </w:div>
    <w:div w:id="567570421">
      <w:bodyDiv w:val="1"/>
      <w:marLeft w:val="0"/>
      <w:marRight w:val="0"/>
      <w:marTop w:val="0"/>
      <w:marBottom w:val="0"/>
      <w:divBdr>
        <w:top w:val="none" w:sz="0" w:space="0" w:color="auto"/>
        <w:left w:val="none" w:sz="0" w:space="0" w:color="auto"/>
        <w:bottom w:val="none" w:sz="0" w:space="0" w:color="auto"/>
        <w:right w:val="none" w:sz="0" w:space="0" w:color="auto"/>
      </w:divBdr>
      <w:divsChild>
        <w:div w:id="1793742922">
          <w:marLeft w:val="0"/>
          <w:marRight w:val="0"/>
          <w:marTop w:val="0"/>
          <w:marBottom w:val="0"/>
          <w:divBdr>
            <w:top w:val="none" w:sz="0" w:space="0" w:color="auto"/>
            <w:left w:val="none" w:sz="0" w:space="0" w:color="auto"/>
            <w:bottom w:val="none" w:sz="0" w:space="0" w:color="auto"/>
            <w:right w:val="none" w:sz="0" w:space="0" w:color="auto"/>
          </w:divBdr>
          <w:divsChild>
            <w:div w:id="345257133">
              <w:marLeft w:val="0"/>
              <w:marRight w:val="0"/>
              <w:marTop w:val="0"/>
              <w:marBottom w:val="0"/>
              <w:divBdr>
                <w:top w:val="none" w:sz="0" w:space="0" w:color="auto"/>
                <w:left w:val="none" w:sz="0" w:space="0" w:color="auto"/>
                <w:bottom w:val="none" w:sz="0" w:space="0" w:color="auto"/>
                <w:right w:val="none" w:sz="0" w:space="0" w:color="auto"/>
              </w:divBdr>
              <w:divsChild>
                <w:div w:id="8255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3268">
      <w:bodyDiv w:val="1"/>
      <w:marLeft w:val="0"/>
      <w:marRight w:val="0"/>
      <w:marTop w:val="0"/>
      <w:marBottom w:val="0"/>
      <w:divBdr>
        <w:top w:val="none" w:sz="0" w:space="0" w:color="auto"/>
        <w:left w:val="none" w:sz="0" w:space="0" w:color="auto"/>
        <w:bottom w:val="none" w:sz="0" w:space="0" w:color="auto"/>
        <w:right w:val="none" w:sz="0" w:space="0" w:color="auto"/>
      </w:divBdr>
    </w:div>
    <w:div w:id="733704814">
      <w:bodyDiv w:val="1"/>
      <w:marLeft w:val="0"/>
      <w:marRight w:val="0"/>
      <w:marTop w:val="0"/>
      <w:marBottom w:val="0"/>
      <w:divBdr>
        <w:top w:val="none" w:sz="0" w:space="0" w:color="auto"/>
        <w:left w:val="none" w:sz="0" w:space="0" w:color="auto"/>
        <w:bottom w:val="none" w:sz="0" w:space="0" w:color="auto"/>
        <w:right w:val="none" w:sz="0" w:space="0" w:color="auto"/>
      </w:divBdr>
    </w:div>
    <w:div w:id="967124587">
      <w:bodyDiv w:val="1"/>
      <w:marLeft w:val="0"/>
      <w:marRight w:val="0"/>
      <w:marTop w:val="0"/>
      <w:marBottom w:val="0"/>
      <w:divBdr>
        <w:top w:val="none" w:sz="0" w:space="0" w:color="auto"/>
        <w:left w:val="none" w:sz="0" w:space="0" w:color="auto"/>
        <w:bottom w:val="none" w:sz="0" w:space="0" w:color="auto"/>
        <w:right w:val="none" w:sz="0" w:space="0" w:color="auto"/>
      </w:divBdr>
    </w:div>
    <w:div w:id="1141187968">
      <w:bodyDiv w:val="1"/>
      <w:marLeft w:val="0"/>
      <w:marRight w:val="0"/>
      <w:marTop w:val="0"/>
      <w:marBottom w:val="0"/>
      <w:divBdr>
        <w:top w:val="none" w:sz="0" w:space="0" w:color="auto"/>
        <w:left w:val="none" w:sz="0" w:space="0" w:color="auto"/>
        <w:bottom w:val="none" w:sz="0" w:space="0" w:color="auto"/>
        <w:right w:val="none" w:sz="0" w:space="0" w:color="auto"/>
      </w:divBdr>
    </w:div>
    <w:div w:id="1174494259">
      <w:bodyDiv w:val="1"/>
      <w:marLeft w:val="0"/>
      <w:marRight w:val="0"/>
      <w:marTop w:val="0"/>
      <w:marBottom w:val="0"/>
      <w:divBdr>
        <w:top w:val="none" w:sz="0" w:space="0" w:color="auto"/>
        <w:left w:val="none" w:sz="0" w:space="0" w:color="auto"/>
        <w:bottom w:val="none" w:sz="0" w:space="0" w:color="auto"/>
        <w:right w:val="none" w:sz="0" w:space="0" w:color="auto"/>
      </w:divBdr>
    </w:div>
    <w:div w:id="1452481600">
      <w:bodyDiv w:val="1"/>
      <w:marLeft w:val="0"/>
      <w:marRight w:val="0"/>
      <w:marTop w:val="0"/>
      <w:marBottom w:val="0"/>
      <w:divBdr>
        <w:top w:val="none" w:sz="0" w:space="0" w:color="auto"/>
        <w:left w:val="none" w:sz="0" w:space="0" w:color="auto"/>
        <w:bottom w:val="none" w:sz="0" w:space="0" w:color="auto"/>
        <w:right w:val="none" w:sz="0" w:space="0" w:color="auto"/>
      </w:divBdr>
    </w:div>
    <w:div w:id="1519000224">
      <w:bodyDiv w:val="1"/>
      <w:marLeft w:val="0"/>
      <w:marRight w:val="0"/>
      <w:marTop w:val="0"/>
      <w:marBottom w:val="0"/>
      <w:divBdr>
        <w:top w:val="none" w:sz="0" w:space="0" w:color="auto"/>
        <w:left w:val="none" w:sz="0" w:space="0" w:color="auto"/>
        <w:bottom w:val="none" w:sz="0" w:space="0" w:color="auto"/>
        <w:right w:val="none" w:sz="0" w:space="0" w:color="auto"/>
      </w:divBdr>
      <w:divsChild>
        <w:div w:id="916477573">
          <w:marLeft w:val="0"/>
          <w:marRight w:val="0"/>
          <w:marTop w:val="0"/>
          <w:marBottom w:val="0"/>
          <w:divBdr>
            <w:top w:val="none" w:sz="0" w:space="0" w:color="auto"/>
            <w:left w:val="none" w:sz="0" w:space="0" w:color="auto"/>
            <w:bottom w:val="none" w:sz="0" w:space="0" w:color="auto"/>
            <w:right w:val="none" w:sz="0" w:space="0" w:color="auto"/>
          </w:divBdr>
          <w:divsChild>
            <w:div w:id="689067696">
              <w:marLeft w:val="0"/>
              <w:marRight w:val="0"/>
              <w:marTop w:val="0"/>
              <w:marBottom w:val="0"/>
              <w:divBdr>
                <w:top w:val="none" w:sz="0" w:space="0" w:color="auto"/>
                <w:left w:val="none" w:sz="0" w:space="0" w:color="auto"/>
                <w:bottom w:val="none" w:sz="0" w:space="0" w:color="auto"/>
                <w:right w:val="none" w:sz="0" w:space="0" w:color="auto"/>
              </w:divBdr>
              <w:divsChild>
                <w:div w:id="17838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650203944">
      <w:bodyDiv w:val="1"/>
      <w:marLeft w:val="0"/>
      <w:marRight w:val="0"/>
      <w:marTop w:val="0"/>
      <w:marBottom w:val="0"/>
      <w:divBdr>
        <w:top w:val="none" w:sz="0" w:space="0" w:color="auto"/>
        <w:left w:val="none" w:sz="0" w:space="0" w:color="auto"/>
        <w:bottom w:val="none" w:sz="0" w:space="0" w:color="auto"/>
        <w:right w:val="none" w:sz="0" w:space="0" w:color="auto"/>
      </w:divBdr>
    </w:div>
    <w:div w:id="1722364912">
      <w:bodyDiv w:val="1"/>
      <w:marLeft w:val="0"/>
      <w:marRight w:val="0"/>
      <w:marTop w:val="0"/>
      <w:marBottom w:val="0"/>
      <w:divBdr>
        <w:top w:val="none" w:sz="0" w:space="0" w:color="auto"/>
        <w:left w:val="none" w:sz="0" w:space="0" w:color="auto"/>
        <w:bottom w:val="none" w:sz="0" w:space="0" w:color="auto"/>
        <w:right w:val="none" w:sz="0" w:space="0" w:color="auto"/>
      </w:divBdr>
      <w:divsChild>
        <w:div w:id="267663360">
          <w:marLeft w:val="0"/>
          <w:marRight w:val="0"/>
          <w:marTop w:val="0"/>
          <w:marBottom w:val="0"/>
          <w:divBdr>
            <w:top w:val="none" w:sz="0" w:space="0" w:color="auto"/>
            <w:left w:val="none" w:sz="0" w:space="0" w:color="auto"/>
            <w:bottom w:val="none" w:sz="0" w:space="0" w:color="auto"/>
            <w:right w:val="none" w:sz="0" w:space="0" w:color="auto"/>
          </w:divBdr>
          <w:divsChild>
            <w:div w:id="1413312890">
              <w:marLeft w:val="0"/>
              <w:marRight w:val="0"/>
              <w:marTop w:val="0"/>
              <w:marBottom w:val="0"/>
              <w:divBdr>
                <w:top w:val="none" w:sz="0" w:space="0" w:color="auto"/>
                <w:left w:val="none" w:sz="0" w:space="0" w:color="auto"/>
                <w:bottom w:val="none" w:sz="0" w:space="0" w:color="auto"/>
                <w:right w:val="none" w:sz="0" w:space="0" w:color="auto"/>
              </w:divBdr>
              <w:divsChild>
                <w:div w:id="17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993">
      <w:bodyDiv w:val="1"/>
      <w:marLeft w:val="0"/>
      <w:marRight w:val="0"/>
      <w:marTop w:val="0"/>
      <w:marBottom w:val="0"/>
      <w:divBdr>
        <w:top w:val="none" w:sz="0" w:space="0" w:color="auto"/>
        <w:left w:val="none" w:sz="0" w:space="0" w:color="auto"/>
        <w:bottom w:val="none" w:sz="0" w:space="0" w:color="auto"/>
        <w:right w:val="none" w:sz="0" w:space="0" w:color="auto"/>
      </w:divBdr>
    </w:div>
    <w:div w:id="20023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iorn\AppData\Local\Microsoft\Windows\Temporary%20Internet%20Files\Content.Outlook\V9I6WYF2\NPDES%20template%20vJune%2028%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94E5C6EAF0549AA731DC91536CDC2" ma:contentTypeVersion="0" ma:contentTypeDescription="Create a new document." ma:contentTypeScope="" ma:versionID="84190f2762b1b580f17d3a0d675c9ee7">
  <xsd:schema xmlns:xsd="http://www.w3.org/2001/XMLSchema" xmlns:p="http://schemas.microsoft.com/office/2006/metadata/properties" xmlns:ns2="97481b5e-be79-4a11-9aa3-1b856785492d" targetNamespace="http://schemas.microsoft.com/office/2006/metadata/properties" ma:root="true" ma:fieldsID="fcdfa1b3d608ab538ef036c39eebbbab" ns2:_="">
    <xsd:import namespace="97481b5e-be79-4a11-9aa3-1b856785492d"/>
    <xsd:element name="properties">
      <xsd:complexType>
        <xsd:sequence>
          <xsd:element name="documentManagement">
            <xsd:complexType>
              <xsd:all>
                <xsd:element ref="ns2:Absence_x0020_Description" minOccurs="0"/>
                <xsd:element ref="ns2:WM_x0020_Absence_x0020_Type" minOccurs="0"/>
              </xsd:all>
            </xsd:complexType>
          </xsd:element>
        </xsd:sequence>
      </xsd:complexType>
    </xsd:element>
  </xsd:schema>
  <xsd:schema xmlns:xsd="http://www.w3.org/2001/XMLSchema" xmlns:dms="http://schemas.microsoft.com/office/2006/documentManagement/types" targetNamespace="97481b5e-be79-4a11-9aa3-1b856785492d" elementFormDefault="qualified">
    <xsd:import namespace="http://schemas.microsoft.com/office/2006/documentManagement/types"/>
    <xsd:element name="Absence_x0020_Description" ma:index="8" nillable="true" ma:displayName="Absence Description" ma:default="" ma:internalName="Absence_x0020_Description" ma:readOnly="false">
      <xsd:simpleType>
        <xsd:restriction base="dms:Note"/>
      </xsd:simpleType>
    </xsd:element>
    <xsd:element name="WM_x0020_Absence_x0020_Type" ma:index="9" nillable="true" ma:displayName="WQ Absence Type" ma:list="{789dc888-0a85-4728-901f-26a47f110356}" ma:internalName="WM_x0020_Absence_x0020_Type" ma:readOnly="false" ma:showField="Title" ma:web="97481b5e-be79-4a11-9aa3-1b856785492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bsence_x0020_Description xmlns="97481b5e-be79-4a11-9aa3-1b856785492d" xsi:nil="true"/>
    <WM_x0020_Absence_x0020_Type xmlns="97481b5e-be79-4a11-9aa3-1b856785492d"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8690D-59F9-4D19-9B57-8DF7CE3A486E}">
  <ds:schemaRefs>
    <ds:schemaRef ds:uri="http://schemas.microsoft.com/sharepoint/v3/contenttype/forms"/>
  </ds:schemaRefs>
</ds:datastoreItem>
</file>

<file path=customXml/itemProps2.xml><?xml version="1.0" encoding="utf-8"?>
<ds:datastoreItem xmlns:ds="http://schemas.openxmlformats.org/officeDocument/2006/customXml" ds:itemID="{47FAAA03-1C8E-48D8-ADEC-6E17F491B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81b5e-be79-4a11-9aa3-1b85678549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7BE421B-DC64-4D78-A007-938251004AA7}">
  <ds:schemaRefs>
    <ds:schemaRef ds:uri="http://schemas.microsoft.com/office/2006/metadata/properties"/>
    <ds:schemaRef ds:uri="97481b5e-be79-4a11-9aa3-1b856785492d"/>
  </ds:schemaRefs>
</ds:datastoreItem>
</file>

<file path=customXml/itemProps4.xml><?xml version="1.0" encoding="utf-8"?>
<ds:datastoreItem xmlns:ds="http://schemas.openxmlformats.org/officeDocument/2006/customXml" ds:itemID="{A9AB1522-AB71-4F44-863A-DC4D13E0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NPDES template vJune 28 2012</Template>
  <TotalTime>20</TotalTime>
  <Pages>18</Pages>
  <Words>7371</Words>
  <Characters>42018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Version from Ranei with changes accepted</vt:lpstr>
    </vt:vector>
  </TitlesOfParts>
  <Company>State of Oregon Department of Environmental Quality</Company>
  <LinksUpToDate>false</LinksUpToDate>
  <CharactersWithSpaces>49291</CharactersWithSpaces>
  <SharedDoc>false</SharedDoc>
  <HLinks>
    <vt:vector size="348" baseType="variant">
      <vt:variant>
        <vt:i4>6094937</vt:i4>
      </vt:variant>
      <vt:variant>
        <vt:i4>288</vt:i4>
      </vt:variant>
      <vt:variant>
        <vt:i4>0</vt:i4>
      </vt:variant>
      <vt:variant>
        <vt:i4>5</vt:i4>
      </vt:variant>
      <vt:variant>
        <vt:lpwstr>http://www.deq.state.or.us/wq/pubs/imds/RecycledWater.pdf</vt:lpwstr>
      </vt:variant>
      <vt:variant>
        <vt:lpwstr/>
      </vt:variant>
      <vt:variant>
        <vt:i4>3997791</vt:i4>
      </vt:variant>
      <vt:variant>
        <vt:i4>273</vt:i4>
      </vt:variant>
      <vt:variant>
        <vt:i4>0</vt:i4>
      </vt:variant>
      <vt:variant>
        <vt:i4>5</vt:i4>
      </vt:variant>
      <vt:variant>
        <vt:lpwstr>http://arcweb.sos.state.or.us/pages/rules/oars_300/oar_340/340_045.html</vt:lpwstr>
      </vt:variant>
      <vt:variant>
        <vt:lpwstr/>
      </vt:variant>
      <vt:variant>
        <vt:i4>3735647</vt:i4>
      </vt:variant>
      <vt:variant>
        <vt:i4>270</vt:i4>
      </vt:variant>
      <vt:variant>
        <vt:i4>0</vt:i4>
      </vt:variant>
      <vt:variant>
        <vt:i4>5</vt:i4>
      </vt:variant>
      <vt:variant>
        <vt:lpwstr>http://arcweb.sos.state.or.us/pages/rules/oars_300/oar_340/340_041.html</vt:lpwstr>
      </vt:variant>
      <vt:variant>
        <vt:lpwstr/>
      </vt:variant>
      <vt:variant>
        <vt:i4>1900598</vt:i4>
      </vt:variant>
      <vt:variant>
        <vt:i4>251</vt:i4>
      </vt:variant>
      <vt:variant>
        <vt:i4>0</vt:i4>
      </vt:variant>
      <vt:variant>
        <vt:i4>5</vt:i4>
      </vt:variant>
      <vt:variant>
        <vt:lpwstr/>
      </vt:variant>
      <vt:variant>
        <vt:lpwstr>_Toc326248725</vt:lpwstr>
      </vt:variant>
      <vt:variant>
        <vt:i4>1900598</vt:i4>
      </vt:variant>
      <vt:variant>
        <vt:i4>245</vt:i4>
      </vt:variant>
      <vt:variant>
        <vt:i4>0</vt:i4>
      </vt:variant>
      <vt:variant>
        <vt:i4>5</vt:i4>
      </vt:variant>
      <vt:variant>
        <vt:lpwstr/>
      </vt:variant>
      <vt:variant>
        <vt:lpwstr>_Toc326248724</vt:lpwstr>
      </vt:variant>
      <vt:variant>
        <vt:i4>1900598</vt:i4>
      </vt:variant>
      <vt:variant>
        <vt:i4>239</vt:i4>
      </vt:variant>
      <vt:variant>
        <vt:i4>0</vt:i4>
      </vt:variant>
      <vt:variant>
        <vt:i4>5</vt:i4>
      </vt:variant>
      <vt:variant>
        <vt:lpwstr/>
      </vt:variant>
      <vt:variant>
        <vt:lpwstr>_Toc326248723</vt:lpwstr>
      </vt:variant>
      <vt:variant>
        <vt:i4>1900598</vt:i4>
      </vt:variant>
      <vt:variant>
        <vt:i4>233</vt:i4>
      </vt:variant>
      <vt:variant>
        <vt:i4>0</vt:i4>
      </vt:variant>
      <vt:variant>
        <vt:i4>5</vt:i4>
      </vt:variant>
      <vt:variant>
        <vt:lpwstr/>
      </vt:variant>
      <vt:variant>
        <vt:lpwstr>_Toc326248722</vt:lpwstr>
      </vt:variant>
      <vt:variant>
        <vt:i4>1900598</vt:i4>
      </vt:variant>
      <vt:variant>
        <vt:i4>227</vt:i4>
      </vt:variant>
      <vt:variant>
        <vt:i4>0</vt:i4>
      </vt:variant>
      <vt:variant>
        <vt:i4>5</vt:i4>
      </vt:variant>
      <vt:variant>
        <vt:lpwstr/>
      </vt:variant>
      <vt:variant>
        <vt:lpwstr>_Toc326248721</vt:lpwstr>
      </vt:variant>
      <vt:variant>
        <vt:i4>1769529</vt:i4>
      </vt:variant>
      <vt:variant>
        <vt:i4>218</vt:i4>
      </vt:variant>
      <vt:variant>
        <vt:i4>0</vt:i4>
      </vt:variant>
      <vt:variant>
        <vt:i4>5</vt:i4>
      </vt:variant>
      <vt:variant>
        <vt:lpwstr/>
      </vt:variant>
      <vt:variant>
        <vt:lpwstr>_Toc326248844</vt:lpwstr>
      </vt:variant>
      <vt:variant>
        <vt:i4>1769529</vt:i4>
      </vt:variant>
      <vt:variant>
        <vt:i4>212</vt:i4>
      </vt:variant>
      <vt:variant>
        <vt:i4>0</vt:i4>
      </vt:variant>
      <vt:variant>
        <vt:i4>5</vt:i4>
      </vt:variant>
      <vt:variant>
        <vt:lpwstr/>
      </vt:variant>
      <vt:variant>
        <vt:lpwstr>_Toc326248843</vt:lpwstr>
      </vt:variant>
      <vt:variant>
        <vt:i4>1769529</vt:i4>
      </vt:variant>
      <vt:variant>
        <vt:i4>206</vt:i4>
      </vt:variant>
      <vt:variant>
        <vt:i4>0</vt:i4>
      </vt:variant>
      <vt:variant>
        <vt:i4>5</vt:i4>
      </vt:variant>
      <vt:variant>
        <vt:lpwstr/>
      </vt:variant>
      <vt:variant>
        <vt:lpwstr>_Toc326248842</vt:lpwstr>
      </vt:variant>
      <vt:variant>
        <vt:i4>1769529</vt:i4>
      </vt:variant>
      <vt:variant>
        <vt:i4>200</vt:i4>
      </vt:variant>
      <vt:variant>
        <vt:i4>0</vt:i4>
      </vt:variant>
      <vt:variant>
        <vt:i4>5</vt:i4>
      </vt:variant>
      <vt:variant>
        <vt:lpwstr/>
      </vt:variant>
      <vt:variant>
        <vt:lpwstr>_Toc326248841</vt:lpwstr>
      </vt:variant>
      <vt:variant>
        <vt:i4>1769529</vt:i4>
      </vt:variant>
      <vt:variant>
        <vt:i4>194</vt:i4>
      </vt:variant>
      <vt:variant>
        <vt:i4>0</vt:i4>
      </vt:variant>
      <vt:variant>
        <vt:i4>5</vt:i4>
      </vt:variant>
      <vt:variant>
        <vt:lpwstr/>
      </vt:variant>
      <vt:variant>
        <vt:lpwstr>_Toc326248840</vt:lpwstr>
      </vt:variant>
      <vt:variant>
        <vt:i4>1835065</vt:i4>
      </vt:variant>
      <vt:variant>
        <vt:i4>188</vt:i4>
      </vt:variant>
      <vt:variant>
        <vt:i4>0</vt:i4>
      </vt:variant>
      <vt:variant>
        <vt:i4>5</vt:i4>
      </vt:variant>
      <vt:variant>
        <vt:lpwstr/>
      </vt:variant>
      <vt:variant>
        <vt:lpwstr>_Toc326248839</vt:lpwstr>
      </vt:variant>
      <vt:variant>
        <vt:i4>1835065</vt:i4>
      </vt:variant>
      <vt:variant>
        <vt:i4>182</vt:i4>
      </vt:variant>
      <vt:variant>
        <vt:i4>0</vt:i4>
      </vt:variant>
      <vt:variant>
        <vt:i4>5</vt:i4>
      </vt:variant>
      <vt:variant>
        <vt:lpwstr/>
      </vt:variant>
      <vt:variant>
        <vt:lpwstr>_Toc326248838</vt:lpwstr>
      </vt:variant>
      <vt:variant>
        <vt:i4>1835065</vt:i4>
      </vt:variant>
      <vt:variant>
        <vt:i4>176</vt:i4>
      </vt:variant>
      <vt:variant>
        <vt:i4>0</vt:i4>
      </vt:variant>
      <vt:variant>
        <vt:i4>5</vt:i4>
      </vt:variant>
      <vt:variant>
        <vt:lpwstr/>
      </vt:variant>
      <vt:variant>
        <vt:lpwstr>_Toc326248837</vt:lpwstr>
      </vt:variant>
      <vt:variant>
        <vt:i4>1835065</vt:i4>
      </vt:variant>
      <vt:variant>
        <vt:i4>170</vt:i4>
      </vt:variant>
      <vt:variant>
        <vt:i4>0</vt:i4>
      </vt:variant>
      <vt:variant>
        <vt:i4>5</vt:i4>
      </vt:variant>
      <vt:variant>
        <vt:lpwstr/>
      </vt:variant>
      <vt:variant>
        <vt:lpwstr>_Toc326248836</vt:lpwstr>
      </vt:variant>
      <vt:variant>
        <vt:i4>1835065</vt:i4>
      </vt:variant>
      <vt:variant>
        <vt:i4>164</vt:i4>
      </vt:variant>
      <vt:variant>
        <vt:i4>0</vt:i4>
      </vt:variant>
      <vt:variant>
        <vt:i4>5</vt:i4>
      </vt:variant>
      <vt:variant>
        <vt:lpwstr/>
      </vt:variant>
      <vt:variant>
        <vt:lpwstr>_Toc326248835</vt:lpwstr>
      </vt:variant>
      <vt:variant>
        <vt:i4>1835065</vt:i4>
      </vt:variant>
      <vt:variant>
        <vt:i4>158</vt:i4>
      </vt:variant>
      <vt:variant>
        <vt:i4>0</vt:i4>
      </vt:variant>
      <vt:variant>
        <vt:i4>5</vt:i4>
      </vt:variant>
      <vt:variant>
        <vt:lpwstr/>
      </vt:variant>
      <vt:variant>
        <vt:lpwstr>_Toc326248834</vt:lpwstr>
      </vt:variant>
      <vt:variant>
        <vt:i4>1835065</vt:i4>
      </vt:variant>
      <vt:variant>
        <vt:i4>152</vt:i4>
      </vt:variant>
      <vt:variant>
        <vt:i4>0</vt:i4>
      </vt:variant>
      <vt:variant>
        <vt:i4>5</vt:i4>
      </vt:variant>
      <vt:variant>
        <vt:lpwstr/>
      </vt:variant>
      <vt:variant>
        <vt:lpwstr>_Toc326248833</vt:lpwstr>
      </vt:variant>
      <vt:variant>
        <vt:i4>1835065</vt:i4>
      </vt:variant>
      <vt:variant>
        <vt:i4>146</vt:i4>
      </vt:variant>
      <vt:variant>
        <vt:i4>0</vt:i4>
      </vt:variant>
      <vt:variant>
        <vt:i4>5</vt:i4>
      </vt:variant>
      <vt:variant>
        <vt:lpwstr/>
      </vt:variant>
      <vt:variant>
        <vt:lpwstr>_Toc326248832</vt:lpwstr>
      </vt:variant>
      <vt:variant>
        <vt:i4>1835065</vt:i4>
      </vt:variant>
      <vt:variant>
        <vt:i4>140</vt:i4>
      </vt:variant>
      <vt:variant>
        <vt:i4>0</vt:i4>
      </vt:variant>
      <vt:variant>
        <vt:i4>5</vt:i4>
      </vt:variant>
      <vt:variant>
        <vt:lpwstr/>
      </vt:variant>
      <vt:variant>
        <vt:lpwstr>_Toc326248831</vt:lpwstr>
      </vt:variant>
      <vt:variant>
        <vt:i4>1835065</vt:i4>
      </vt:variant>
      <vt:variant>
        <vt:i4>134</vt:i4>
      </vt:variant>
      <vt:variant>
        <vt:i4>0</vt:i4>
      </vt:variant>
      <vt:variant>
        <vt:i4>5</vt:i4>
      </vt:variant>
      <vt:variant>
        <vt:lpwstr/>
      </vt:variant>
      <vt:variant>
        <vt:lpwstr>_Toc326248830</vt:lpwstr>
      </vt:variant>
      <vt:variant>
        <vt:i4>1900601</vt:i4>
      </vt:variant>
      <vt:variant>
        <vt:i4>128</vt:i4>
      </vt:variant>
      <vt:variant>
        <vt:i4>0</vt:i4>
      </vt:variant>
      <vt:variant>
        <vt:i4>5</vt:i4>
      </vt:variant>
      <vt:variant>
        <vt:lpwstr/>
      </vt:variant>
      <vt:variant>
        <vt:lpwstr>_Toc326248829</vt:lpwstr>
      </vt:variant>
      <vt:variant>
        <vt:i4>1900601</vt:i4>
      </vt:variant>
      <vt:variant>
        <vt:i4>122</vt:i4>
      </vt:variant>
      <vt:variant>
        <vt:i4>0</vt:i4>
      </vt:variant>
      <vt:variant>
        <vt:i4>5</vt:i4>
      </vt:variant>
      <vt:variant>
        <vt:lpwstr/>
      </vt:variant>
      <vt:variant>
        <vt:lpwstr>_Toc326248828</vt:lpwstr>
      </vt:variant>
      <vt:variant>
        <vt:i4>1900601</vt:i4>
      </vt:variant>
      <vt:variant>
        <vt:i4>116</vt:i4>
      </vt:variant>
      <vt:variant>
        <vt:i4>0</vt:i4>
      </vt:variant>
      <vt:variant>
        <vt:i4>5</vt:i4>
      </vt:variant>
      <vt:variant>
        <vt:lpwstr/>
      </vt:variant>
      <vt:variant>
        <vt:lpwstr>_Toc326248827</vt:lpwstr>
      </vt:variant>
      <vt:variant>
        <vt:i4>1900601</vt:i4>
      </vt:variant>
      <vt:variant>
        <vt:i4>110</vt:i4>
      </vt:variant>
      <vt:variant>
        <vt:i4>0</vt:i4>
      </vt:variant>
      <vt:variant>
        <vt:i4>5</vt:i4>
      </vt:variant>
      <vt:variant>
        <vt:lpwstr/>
      </vt:variant>
      <vt:variant>
        <vt:lpwstr>_Toc326248826</vt:lpwstr>
      </vt:variant>
      <vt:variant>
        <vt:i4>1900601</vt:i4>
      </vt:variant>
      <vt:variant>
        <vt:i4>104</vt:i4>
      </vt:variant>
      <vt:variant>
        <vt:i4>0</vt:i4>
      </vt:variant>
      <vt:variant>
        <vt:i4>5</vt:i4>
      </vt:variant>
      <vt:variant>
        <vt:lpwstr/>
      </vt:variant>
      <vt:variant>
        <vt:lpwstr>_Toc326248825</vt:lpwstr>
      </vt:variant>
      <vt:variant>
        <vt:i4>1900601</vt:i4>
      </vt:variant>
      <vt:variant>
        <vt:i4>98</vt:i4>
      </vt:variant>
      <vt:variant>
        <vt:i4>0</vt:i4>
      </vt:variant>
      <vt:variant>
        <vt:i4>5</vt:i4>
      </vt:variant>
      <vt:variant>
        <vt:lpwstr/>
      </vt:variant>
      <vt:variant>
        <vt:lpwstr>_Toc326248824</vt:lpwstr>
      </vt:variant>
      <vt:variant>
        <vt:i4>1900601</vt:i4>
      </vt:variant>
      <vt:variant>
        <vt:i4>92</vt:i4>
      </vt:variant>
      <vt:variant>
        <vt:i4>0</vt:i4>
      </vt:variant>
      <vt:variant>
        <vt:i4>5</vt:i4>
      </vt:variant>
      <vt:variant>
        <vt:lpwstr/>
      </vt:variant>
      <vt:variant>
        <vt:lpwstr>_Toc326248823</vt:lpwstr>
      </vt:variant>
      <vt:variant>
        <vt:i4>1900601</vt:i4>
      </vt:variant>
      <vt:variant>
        <vt:i4>86</vt:i4>
      </vt:variant>
      <vt:variant>
        <vt:i4>0</vt:i4>
      </vt:variant>
      <vt:variant>
        <vt:i4>5</vt:i4>
      </vt:variant>
      <vt:variant>
        <vt:lpwstr/>
      </vt:variant>
      <vt:variant>
        <vt:lpwstr>_Toc326248822</vt:lpwstr>
      </vt:variant>
      <vt:variant>
        <vt:i4>1900601</vt:i4>
      </vt:variant>
      <vt:variant>
        <vt:i4>80</vt:i4>
      </vt:variant>
      <vt:variant>
        <vt:i4>0</vt:i4>
      </vt:variant>
      <vt:variant>
        <vt:i4>5</vt:i4>
      </vt:variant>
      <vt:variant>
        <vt:lpwstr/>
      </vt:variant>
      <vt:variant>
        <vt:lpwstr>_Toc326248821</vt:lpwstr>
      </vt:variant>
      <vt:variant>
        <vt:i4>1900601</vt:i4>
      </vt:variant>
      <vt:variant>
        <vt:i4>74</vt:i4>
      </vt:variant>
      <vt:variant>
        <vt:i4>0</vt:i4>
      </vt:variant>
      <vt:variant>
        <vt:i4>5</vt:i4>
      </vt:variant>
      <vt:variant>
        <vt:lpwstr/>
      </vt:variant>
      <vt:variant>
        <vt:lpwstr>_Toc326248820</vt:lpwstr>
      </vt:variant>
      <vt:variant>
        <vt:i4>1966137</vt:i4>
      </vt:variant>
      <vt:variant>
        <vt:i4>68</vt:i4>
      </vt:variant>
      <vt:variant>
        <vt:i4>0</vt:i4>
      </vt:variant>
      <vt:variant>
        <vt:i4>5</vt:i4>
      </vt:variant>
      <vt:variant>
        <vt:lpwstr/>
      </vt:variant>
      <vt:variant>
        <vt:lpwstr>_Toc326248819</vt:lpwstr>
      </vt:variant>
      <vt:variant>
        <vt:i4>1966137</vt:i4>
      </vt:variant>
      <vt:variant>
        <vt:i4>62</vt:i4>
      </vt:variant>
      <vt:variant>
        <vt:i4>0</vt:i4>
      </vt:variant>
      <vt:variant>
        <vt:i4>5</vt:i4>
      </vt:variant>
      <vt:variant>
        <vt:lpwstr/>
      </vt:variant>
      <vt:variant>
        <vt:lpwstr>_Toc326248818</vt:lpwstr>
      </vt:variant>
      <vt:variant>
        <vt:i4>1966137</vt:i4>
      </vt:variant>
      <vt:variant>
        <vt:i4>56</vt:i4>
      </vt:variant>
      <vt:variant>
        <vt:i4>0</vt:i4>
      </vt:variant>
      <vt:variant>
        <vt:i4>5</vt:i4>
      </vt:variant>
      <vt:variant>
        <vt:lpwstr/>
      </vt:variant>
      <vt:variant>
        <vt:lpwstr>_Toc326248817</vt:lpwstr>
      </vt:variant>
      <vt:variant>
        <vt:i4>1966137</vt:i4>
      </vt:variant>
      <vt:variant>
        <vt:i4>50</vt:i4>
      </vt:variant>
      <vt:variant>
        <vt:i4>0</vt:i4>
      </vt:variant>
      <vt:variant>
        <vt:i4>5</vt:i4>
      </vt:variant>
      <vt:variant>
        <vt:lpwstr/>
      </vt:variant>
      <vt:variant>
        <vt:lpwstr>_Toc326248816</vt:lpwstr>
      </vt:variant>
      <vt:variant>
        <vt:i4>1966137</vt:i4>
      </vt:variant>
      <vt:variant>
        <vt:i4>44</vt:i4>
      </vt:variant>
      <vt:variant>
        <vt:i4>0</vt:i4>
      </vt:variant>
      <vt:variant>
        <vt:i4>5</vt:i4>
      </vt:variant>
      <vt:variant>
        <vt:lpwstr/>
      </vt:variant>
      <vt:variant>
        <vt:lpwstr>_Toc326248815</vt:lpwstr>
      </vt:variant>
      <vt:variant>
        <vt:i4>1966137</vt:i4>
      </vt:variant>
      <vt:variant>
        <vt:i4>38</vt:i4>
      </vt:variant>
      <vt:variant>
        <vt:i4>0</vt:i4>
      </vt:variant>
      <vt:variant>
        <vt:i4>5</vt:i4>
      </vt:variant>
      <vt:variant>
        <vt:lpwstr/>
      </vt:variant>
      <vt:variant>
        <vt:lpwstr>_Toc326248814</vt:lpwstr>
      </vt:variant>
      <vt:variant>
        <vt:i4>1966137</vt:i4>
      </vt:variant>
      <vt:variant>
        <vt:i4>32</vt:i4>
      </vt:variant>
      <vt:variant>
        <vt:i4>0</vt:i4>
      </vt:variant>
      <vt:variant>
        <vt:i4>5</vt:i4>
      </vt:variant>
      <vt:variant>
        <vt:lpwstr/>
      </vt:variant>
      <vt:variant>
        <vt:lpwstr>_Toc326248813</vt:lpwstr>
      </vt:variant>
      <vt:variant>
        <vt:i4>1966137</vt:i4>
      </vt:variant>
      <vt:variant>
        <vt:i4>26</vt:i4>
      </vt:variant>
      <vt:variant>
        <vt:i4>0</vt:i4>
      </vt:variant>
      <vt:variant>
        <vt:i4>5</vt:i4>
      </vt:variant>
      <vt:variant>
        <vt:lpwstr/>
      </vt:variant>
      <vt:variant>
        <vt:lpwstr>_Toc326248812</vt:lpwstr>
      </vt:variant>
      <vt:variant>
        <vt:i4>1966137</vt:i4>
      </vt:variant>
      <vt:variant>
        <vt:i4>20</vt:i4>
      </vt:variant>
      <vt:variant>
        <vt:i4>0</vt:i4>
      </vt:variant>
      <vt:variant>
        <vt:i4>5</vt:i4>
      </vt:variant>
      <vt:variant>
        <vt:lpwstr/>
      </vt:variant>
      <vt:variant>
        <vt:lpwstr>_Toc326248811</vt:lpwstr>
      </vt:variant>
      <vt:variant>
        <vt:i4>1966137</vt:i4>
      </vt:variant>
      <vt:variant>
        <vt:i4>14</vt:i4>
      </vt:variant>
      <vt:variant>
        <vt:i4>0</vt:i4>
      </vt:variant>
      <vt:variant>
        <vt:i4>5</vt:i4>
      </vt:variant>
      <vt:variant>
        <vt:lpwstr/>
      </vt:variant>
      <vt:variant>
        <vt:lpwstr>_Toc326248810</vt:lpwstr>
      </vt:variant>
      <vt:variant>
        <vt:i4>2031673</vt:i4>
      </vt:variant>
      <vt:variant>
        <vt:i4>8</vt:i4>
      </vt:variant>
      <vt:variant>
        <vt:i4>0</vt:i4>
      </vt:variant>
      <vt:variant>
        <vt:i4>5</vt:i4>
      </vt:variant>
      <vt:variant>
        <vt:lpwstr/>
      </vt:variant>
      <vt:variant>
        <vt:lpwstr>_Toc326248809</vt:lpwstr>
      </vt:variant>
      <vt:variant>
        <vt:i4>2031673</vt:i4>
      </vt:variant>
      <vt:variant>
        <vt:i4>2</vt:i4>
      </vt:variant>
      <vt:variant>
        <vt:i4>0</vt:i4>
      </vt:variant>
      <vt:variant>
        <vt:i4>5</vt:i4>
      </vt:variant>
      <vt:variant>
        <vt:lpwstr/>
      </vt:variant>
      <vt:variant>
        <vt:lpwstr>_Toc326248808</vt:lpwstr>
      </vt:variant>
      <vt:variant>
        <vt:i4>5242895</vt:i4>
      </vt:variant>
      <vt:variant>
        <vt:i4>3</vt:i4>
      </vt:variant>
      <vt:variant>
        <vt:i4>0</vt:i4>
      </vt:variant>
      <vt:variant>
        <vt:i4>5</vt:i4>
      </vt:variant>
      <vt:variant>
        <vt:lpwstr>http://ecfr.gpoaccess.gov/cgi/t/text/text-idx?c=ecfr&amp;sid=e8d73cba46b9820296c34789af741e72&amp;tpl=/ecfrbrowse/Title40/40cfr503_main_02.tpl</vt:lpwstr>
      </vt:variant>
      <vt:variant>
        <vt:lpwstr/>
      </vt:variant>
      <vt:variant>
        <vt:i4>3670110</vt:i4>
      </vt:variant>
      <vt:variant>
        <vt:i4>0</vt:i4>
      </vt:variant>
      <vt:variant>
        <vt:i4>0</vt:i4>
      </vt:variant>
      <vt:variant>
        <vt:i4>5</vt:i4>
      </vt:variant>
      <vt:variant>
        <vt:lpwstr>http://arcweb.sos.state.or.us/pages/rules/oars_300/oar_340/340_050.html</vt:lpwstr>
      </vt:variant>
      <vt:variant>
        <vt:lpwstr/>
      </vt:variant>
      <vt:variant>
        <vt:i4>7995510</vt:i4>
      </vt:variant>
      <vt:variant>
        <vt:i4>30</vt:i4>
      </vt:variant>
      <vt:variant>
        <vt:i4>0</vt:i4>
      </vt:variant>
      <vt:variant>
        <vt:i4>5</vt:i4>
      </vt:variant>
      <vt:variant>
        <vt:lpwstr>http://www.deq.state.or.us/wq/pubs/imds/ComplianceSchedule.pdf</vt:lpwstr>
      </vt:variant>
      <vt:variant>
        <vt:lpwstr/>
      </vt:variant>
      <vt:variant>
        <vt:i4>7995510</vt:i4>
      </vt:variant>
      <vt:variant>
        <vt:i4>27</vt:i4>
      </vt:variant>
      <vt:variant>
        <vt:i4>0</vt:i4>
      </vt:variant>
      <vt:variant>
        <vt:i4>5</vt:i4>
      </vt:variant>
      <vt:variant>
        <vt:lpwstr>http://www.deq.state.or.us/wq/pubs/imds/ComplianceSchedule.pdf</vt:lpwstr>
      </vt:variant>
      <vt:variant>
        <vt:lpwstr/>
      </vt:variant>
      <vt:variant>
        <vt:i4>6225991</vt:i4>
      </vt:variant>
      <vt:variant>
        <vt:i4>24</vt:i4>
      </vt:variant>
      <vt:variant>
        <vt:i4>0</vt:i4>
      </vt:variant>
      <vt:variant>
        <vt:i4>5</vt:i4>
      </vt:variant>
      <vt:variant>
        <vt:lpwstr>http://www.deq.state.or.us/wq/pubs/imds/biosolids.pdf</vt:lpwstr>
      </vt:variant>
      <vt:variant>
        <vt:lpwstr/>
      </vt:variant>
      <vt:variant>
        <vt:i4>6225991</vt:i4>
      </vt:variant>
      <vt:variant>
        <vt:i4>21</vt:i4>
      </vt:variant>
      <vt:variant>
        <vt:i4>0</vt:i4>
      </vt:variant>
      <vt:variant>
        <vt:i4>5</vt:i4>
      </vt:variant>
      <vt:variant>
        <vt:lpwstr>http://www.deq.state.or.us/wq/pubs/imds/biosolids.pdf</vt:lpwstr>
      </vt:variant>
      <vt:variant>
        <vt:lpwstr/>
      </vt:variant>
      <vt:variant>
        <vt:i4>7078011</vt:i4>
      </vt:variant>
      <vt:variant>
        <vt:i4>18</vt:i4>
      </vt:variant>
      <vt:variant>
        <vt:i4>0</vt:i4>
      </vt:variant>
      <vt:variant>
        <vt:i4>5</vt:i4>
      </vt:variant>
      <vt:variant>
        <vt:lpwstr>http://www.deq.state.or.us/wq/pubs/imds/rpaIMD.pdf</vt:lpwstr>
      </vt:variant>
      <vt:variant>
        <vt:lpwstr/>
      </vt:variant>
      <vt:variant>
        <vt:i4>65564</vt:i4>
      </vt:variant>
      <vt:variant>
        <vt:i4>15</vt:i4>
      </vt:variant>
      <vt:variant>
        <vt:i4>0</vt:i4>
      </vt:variant>
      <vt:variant>
        <vt:i4>5</vt:i4>
      </vt:variant>
      <vt:variant>
        <vt:lpwstr>http://deq05/wq/wqpermits/docs/MassLoadLimitDecisionTree.pdf</vt:lpwstr>
      </vt:variant>
      <vt:variant>
        <vt:lpwstr/>
      </vt:variant>
      <vt:variant>
        <vt:i4>7209018</vt:i4>
      </vt:variant>
      <vt:variant>
        <vt:i4>12</vt:i4>
      </vt:variant>
      <vt:variant>
        <vt:i4>0</vt:i4>
      </vt:variant>
      <vt:variant>
        <vt:i4>5</vt:i4>
      </vt:variant>
      <vt:variant>
        <vt:lpwstr>http://www.deq.state.or.us/pubs/permithandbook/lucs.htm</vt:lpwstr>
      </vt:variant>
      <vt:variant>
        <vt:lpwstr/>
      </vt:variant>
      <vt:variant>
        <vt:i4>1048687</vt:i4>
      </vt:variant>
      <vt:variant>
        <vt:i4>9</vt:i4>
      </vt:variant>
      <vt:variant>
        <vt:i4>0</vt:i4>
      </vt:variant>
      <vt:variant>
        <vt:i4>5</vt:i4>
      </vt:variant>
      <vt:variant>
        <vt:lpwstr>http://deq05/wq/wqpermits/PCTools_Databases.htm</vt:lpwstr>
      </vt:variant>
      <vt:variant>
        <vt:lpwstr/>
      </vt:variant>
      <vt:variant>
        <vt:i4>4456464</vt:i4>
      </vt:variant>
      <vt:variant>
        <vt:i4>6</vt:i4>
      </vt:variant>
      <vt:variant>
        <vt:i4>0</vt:i4>
      </vt:variant>
      <vt:variant>
        <vt:i4>5</vt:i4>
      </vt:variant>
      <vt:variant>
        <vt:lpwstr>http://www.deq.state.or.us/wq/assessment/usgssubbasinmap.htm</vt:lpwstr>
      </vt:variant>
      <vt:variant>
        <vt:lpwstr/>
      </vt:variant>
      <vt:variant>
        <vt:i4>3473449</vt:i4>
      </vt:variant>
      <vt:variant>
        <vt:i4>3</vt:i4>
      </vt:variant>
      <vt:variant>
        <vt:i4>0</vt:i4>
      </vt:variant>
      <vt:variant>
        <vt:i4>5</vt:i4>
      </vt:variant>
      <vt:variant>
        <vt:lpwstr>http://deqgisweb.deq.state.or.us/llid/llid.html</vt:lpwstr>
      </vt:variant>
      <vt:variant>
        <vt:lpwstr/>
      </vt:variant>
      <vt:variant>
        <vt:i4>2097261</vt:i4>
      </vt:variant>
      <vt:variant>
        <vt:i4>0</vt:i4>
      </vt:variant>
      <vt:variant>
        <vt:i4>0</vt:i4>
      </vt:variant>
      <vt:variant>
        <vt:i4>5</vt:i4>
      </vt:variant>
      <vt:variant>
        <vt:lpwstr>http://www.deq.state.or.us/wq/rules/div041/basinmap.pdf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from Ranei with changes accepted</dc:title>
  <dc:creator>Sonja Biorn-Hansen</dc:creator>
  <cp:lastModifiedBy>rburkha</cp:lastModifiedBy>
  <cp:revision>8</cp:revision>
  <cp:lastPrinted>2013-07-19T17:52:00Z</cp:lastPrinted>
  <dcterms:created xsi:type="dcterms:W3CDTF">2013-07-11T23:50:00Z</dcterms:created>
  <dcterms:modified xsi:type="dcterms:W3CDTF">2013-07-19T17:55:00Z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0x01010041A94E5C6EAF0549AA731DC91536CDC2</vt:lpwstr>
  </property>
</Properties>
</file>