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83C" w:rsidRDefault="003146F0">
      <w:pPr>
        <w:pStyle w:val="Heading1"/>
        <w:rPr>
          <w:noProof/>
        </w:rPr>
      </w:pPr>
      <w:bookmarkStart w:id="0" w:name="_Toc167527148"/>
      <w:bookmarkStart w:id="1" w:name="_Toc167527228"/>
      <w:bookmarkStart w:id="2" w:name="_Toc167527488"/>
      <w:bookmarkStart w:id="3" w:name="_Toc167527542"/>
      <w:bookmarkStart w:id="4" w:name="_Toc167527636"/>
      <w:bookmarkStart w:id="5" w:name="_Toc167527673"/>
      <w:bookmarkStart w:id="6" w:name="_Toc167527709"/>
      <w:bookmarkStart w:id="7" w:name="_Toc167527783"/>
      <w:bookmarkStart w:id="8" w:name="_Toc167527831"/>
      <w:bookmarkStart w:id="9" w:name="_Toc167527860"/>
      <w:bookmarkStart w:id="10" w:name="_Toc167527931"/>
      <w:bookmarkStart w:id="11" w:name="_Toc167528031"/>
      <w:bookmarkStart w:id="12" w:name="_Toc167528090"/>
      <w:bookmarkStart w:id="13" w:name="_Toc167528123"/>
      <w:bookmarkStart w:id="14" w:name="_Toc167528235"/>
      <w:bookmarkStart w:id="15" w:name="_Toc167528297"/>
      <w:bookmarkStart w:id="16" w:name="_Toc167528384"/>
      <w:bookmarkStart w:id="17" w:name="_Toc167528414"/>
      <w:bookmarkStart w:id="18" w:name="_Toc167528443"/>
      <w:bookmarkStart w:id="19" w:name="_Toc167528472"/>
      <w:bookmarkStart w:id="20" w:name="_Toc167528506"/>
      <w:bookmarkStart w:id="21" w:name="_Toc167528559"/>
      <w:bookmarkStart w:id="22" w:name="_Toc197758068"/>
      <w:bookmarkStart w:id="23" w:name="_Toc197758188"/>
      <w:r>
        <w:rPr>
          <w:noProof/>
        </w:rPr>
        <w:drawing>
          <wp:anchor distT="0" distB="0" distL="114300" distR="114300" simplePos="0" relativeHeight="251658240" behindDoc="0" locked="0" layoutInCell="0" allowOverlap="1">
            <wp:simplePos x="0" y="0"/>
            <wp:positionH relativeFrom="column">
              <wp:posOffset>160020</wp:posOffset>
            </wp:positionH>
            <wp:positionV relativeFrom="paragraph">
              <wp:posOffset>209550</wp:posOffset>
            </wp:positionV>
            <wp:extent cx="832485" cy="1924050"/>
            <wp:effectExtent l="19050" t="0" r="5715" b="0"/>
            <wp:wrapTopAndBottom/>
            <wp:docPr id="3" name="Picture 3"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rg"/>
                    <pic:cNvPicPr>
                      <a:picLocks noChangeAspect="1" noChangeArrowheads="1"/>
                    </pic:cNvPicPr>
                  </pic:nvPicPr>
                  <pic:blipFill>
                    <a:blip r:embed="rId9"/>
                    <a:srcRect/>
                    <a:stretch>
                      <a:fillRect/>
                    </a:stretch>
                  </pic:blipFill>
                  <pic:spPr bwMode="auto">
                    <a:xfrm>
                      <a:off x="0" y="0"/>
                      <a:ext cx="832485" cy="1924050"/>
                    </a:xfrm>
                    <a:prstGeom prst="rect">
                      <a:avLst/>
                    </a:prstGeom>
                    <a:noFill/>
                  </pic:spPr>
                </pic:pic>
              </a:graphicData>
            </a:graphic>
          </wp:anchor>
        </w:drawing>
      </w:r>
      <w:r w:rsidR="00D62243">
        <w:rPr>
          <w:noProof/>
        </w:rPr>
        <w:pict>
          <v:shapetype id="_x0000_t202" coordsize="21600,21600" o:spt="202" path="m,l,21600r21600,l21600,xe">
            <v:stroke joinstyle="miter"/>
            <v:path gradientshapeok="t" o:connecttype="rect"/>
          </v:shapetype>
          <v:shape id="_x0000_s1026" type="#_x0000_t202" style="position:absolute;left:0;text-align:left;margin-left:118.15pt;margin-top:18.25pt;width:5in;height:2in;z-index:251659264;mso-position-horizontal-relative:text;mso-position-vertical-relative:text" filled="f">
            <v:textbox style="mso-next-textbox:#_x0000_s1026">
              <w:txbxContent>
                <w:p w:rsidR="00614D7A" w:rsidRDefault="00614D7A">
                  <w:pPr>
                    <w:jc w:val="center"/>
                    <w:rPr>
                      <w:rFonts w:ascii="Arial" w:hAnsi="Arial" w:cs="Arial"/>
                      <w:b/>
                      <w:bCs/>
                    </w:rPr>
                  </w:pPr>
                  <w:r>
                    <w:rPr>
                      <w:rFonts w:cs="Times New Roman"/>
                      <w:b/>
                      <w:bCs/>
                    </w:rPr>
                    <w:t>National Pollutant Discharge Elimination System</w:t>
                  </w:r>
                  <w:r>
                    <w:rPr>
                      <w:rFonts w:ascii="Arial" w:hAnsi="Arial" w:cs="Arial"/>
                      <w:b/>
                      <w:bCs/>
                    </w:rPr>
                    <w:t xml:space="preserve"> </w:t>
                  </w:r>
                </w:p>
                <w:p w:rsidR="00614D7A" w:rsidRDefault="00614D7A">
                  <w:pPr>
                    <w:jc w:val="center"/>
                    <w:rPr>
                      <w:rFonts w:ascii="Arial" w:hAnsi="Arial" w:cs="Arial"/>
                      <w:b/>
                      <w:bCs/>
                      <w:sz w:val="16"/>
                      <w:szCs w:val="16"/>
                    </w:rPr>
                  </w:pPr>
                </w:p>
                <w:p w:rsidR="00614D7A" w:rsidRDefault="00614D7A">
                  <w:pPr>
                    <w:jc w:val="center"/>
                    <w:rPr>
                      <w:rFonts w:ascii="Arial" w:hAnsi="Arial" w:cs="Arial"/>
                      <w:b/>
                      <w:bCs/>
                    </w:rPr>
                  </w:pPr>
                  <w:r>
                    <w:rPr>
                      <w:rFonts w:cs="Times New Roman"/>
                      <w:b/>
                      <w:bCs/>
                    </w:rPr>
                    <w:t>PERMIT EVALUATION AND FACT SHEET</w:t>
                  </w:r>
                </w:p>
                <w:p w:rsidR="00614D7A" w:rsidRDefault="00614D7A">
                  <w:pPr>
                    <w:jc w:val="center"/>
                    <w:rPr>
                      <w:rFonts w:ascii="Arial" w:hAnsi="Arial" w:cs="Arial"/>
                      <w:b/>
                      <w:bCs/>
                      <w:sz w:val="16"/>
                      <w:szCs w:val="16"/>
                    </w:rPr>
                  </w:pPr>
                </w:p>
                <w:p w:rsidR="00614D7A" w:rsidRDefault="00614D7A">
                  <w:pPr>
                    <w:jc w:val="center"/>
                    <w:rPr>
                      <w:rFonts w:cs="Times New Roman"/>
                      <w:b/>
                      <w:bCs/>
                      <w:sz w:val="32"/>
                      <w:szCs w:val="32"/>
                    </w:rPr>
                  </w:pPr>
                  <w:r>
                    <w:rPr>
                      <w:rFonts w:cs="Times New Roman"/>
                      <w:b/>
                      <w:bCs/>
                      <w:sz w:val="32"/>
                      <w:szCs w:val="32"/>
                    </w:rPr>
                    <w:t>Oregon Department of Environmental Quality</w:t>
                  </w:r>
                </w:p>
                <w:p w:rsidR="00614D7A" w:rsidRDefault="00614D7A">
                  <w:pPr>
                    <w:jc w:val="center"/>
                    <w:rPr>
                      <w:rFonts w:cs="Times New Roman"/>
                    </w:rPr>
                  </w:pPr>
                  <w:r>
                    <w:rPr>
                      <w:rFonts w:cs="Times New Roman"/>
                    </w:rPr>
                    <w:t>Northwest Region</w:t>
                  </w:r>
                </w:p>
                <w:p w:rsidR="00614D7A" w:rsidRDefault="00614D7A">
                  <w:pPr>
                    <w:jc w:val="center"/>
                    <w:rPr>
                      <w:rFonts w:cs="Times New Roman"/>
                    </w:rPr>
                  </w:pPr>
                  <w:r>
                    <w:rPr>
                      <w:rFonts w:cs="Times New Roman"/>
                    </w:rPr>
                    <w:t>2020 SW Fourth Ave., Suite 450</w:t>
                  </w:r>
                </w:p>
                <w:p w:rsidR="00614D7A" w:rsidRDefault="00614D7A">
                  <w:pPr>
                    <w:jc w:val="center"/>
                    <w:rPr>
                      <w:rFonts w:cs="Times New Roman"/>
                    </w:rPr>
                  </w:pPr>
                  <w:r>
                    <w:rPr>
                      <w:rFonts w:cs="Times New Roman"/>
                    </w:rPr>
                    <w:t>Portland, OR 97202</w:t>
                  </w:r>
                </w:p>
                <w:p w:rsidR="00614D7A" w:rsidRDefault="00614D7A">
                  <w:pPr>
                    <w:jc w:val="center"/>
                    <w:rPr>
                      <w:rFonts w:cs="Times New Roman"/>
                    </w:rPr>
                  </w:pPr>
                  <w:r>
                    <w:rPr>
                      <w:rFonts w:cs="Times New Roman"/>
                    </w:rPr>
                    <w:t>(503) 229-5263</w:t>
                  </w:r>
                </w:p>
                <w:p w:rsidR="00614D7A" w:rsidRDefault="00614D7A">
                  <w:pPr>
                    <w:pStyle w:val="Date"/>
                    <w:spacing w:before="0"/>
                    <w:rPr>
                      <w:rFonts w:ascii="Times New Roman" w:hAnsi="Times New Roman" w:cs="Times New Roman"/>
                    </w:rPr>
                  </w:pPr>
                </w:p>
              </w:txbxContent>
            </v:textbox>
          </v:shape>
        </w:pic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0"/>
        <w:gridCol w:w="7020"/>
      </w:tblGrid>
      <w:tr w:rsidR="0027683C">
        <w:trPr>
          <w:cantSplit/>
          <w:jc w:val="center"/>
        </w:trPr>
        <w:tc>
          <w:tcPr>
            <w:tcW w:w="2610" w:type="dxa"/>
            <w:vMerge w:val="restart"/>
            <w:tcBorders>
              <w:right w:val="nil"/>
            </w:tcBorders>
          </w:tcPr>
          <w:p w:rsidR="0027683C" w:rsidRDefault="0027683C">
            <w:pPr>
              <w:tabs>
                <w:tab w:val="left" w:pos="-1440"/>
                <w:tab w:val="left" w:pos="-720"/>
                <w:tab w:val="left" w:pos="0"/>
                <w:tab w:val="left" w:pos="720"/>
                <w:tab w:val="left" w:pos="1440"/>
              </w:tabs>
              <w:suppressAutoHyphens/>
              <w:spacing w:before="60" w:after="60"/>
              <w:rPr>
                <w:rFonts w:cs="Times New Roman"/>
                <w:b/>
                <w:bCs/>
                <w:spacing w:val="-3"/>
              </w:rPr>
            </w:pPr>
            <w:r>
              <w:rPr>
                <w:rFonts w:cs="Times New Roman"/>
                <w:b/>
                <w:bCs/>
                <w:spacing w:val="-3"/>
                <w:sz w:val="22"/>
                <w:szCs w:val="22"/>
              </w:rPr>
              <w:t>Permittee:</w:t>
            </w:r>
          </w:p>
        </w:tc>
        <w:tc>
          <w:tcPr>
            <w:tcW w:w="7020" w:type="dxa"/>
            <w:tcBorders>
              <w:left w:val="nil"/>
              <w:bottom w:val="nil"/>
            </w:tcBorders>
          </w:tcPr>
          <w:p w:rsidR="0027683C" w:rsidRDefault="0027683C" w:rsidP="00D460BB">
            <w:pPr>
              <w:tabs>
                <w:tab w:val="left" w:pos="-1440"/>
                <w:tab w:val="left" w:pos="-720"/>
                <w:tab w:val="left" w:pos="0"/>
                <w:tab w:val="left" w:pos="2142"/>
              </w:tabs>
              <w:rPr>
                <w:rFonts w:cs="Times New Roman"/>
                <w:spacing w:val="-3"/>
              </w:rPr>
            </w:pPr>
            <w:r>
              <w:rPr>
                <w:rFonts w:cs="Times New Roman"/>
                <w:spacing w:val="-3"/>
                <w:sz w:val="22"/>
                <w:szCs w:val="22"/>
              </w:rPr>
              <w:t>N</w:t>
            </w:r>
            <w:r w:rsidR="00D460BB">
              <w:rPr>
                <w:rFonts w:cs="Times New Roman"/>
                <w:spacing w:val="-3"/>
                <w:sz w:val="22"/>
                <w:szCs w:val="22"/>
              </w:rPr>
              <w:t>W</w:t>
            </w:r>
            <w:r>
              <w:rPr>
                <w:rFonts w:cs="Times New Roman"/>
                <w:spacing w:val="-3"/>
                <w:sz w:val="22"/>
                <w:szCs w:val="22"/>
              </w:rPr>
              <w:t xml:space="preserve"> Natural</w:t>
            </w:r>
          </w:p>
        </w:tc>
      </w:tr>
      <w:tr w:rsidR="0027683C">
        <w:trPr>
          <w:cantSplit/>
          <w:trHeight w:val="107"/>
          <w:jc w:val="center"/>
        </w:trPr>
        <w:tc>
          <w:tcPr>
            <w:tcW w:w="2610" w:type="dxa"/>
            <w:vMerge/>
            <w:tcBorders>
              <w:right w:val="nil"/>
            </w:tcBorders>
          </w:tcPr>
          <w:p w:rsidR="0027683C" w:rsidRDefault="0027683C">
            <w:pPr>
              <w:tabs>
                <w:tab w:val="left" w:pos="-1440"/>
                <w:tab w:val="left" w:pos="-720"/>
                <w:tab w:val="left" w:pos="0"/>
                <w:tab w:val="left" w:pos="720"/>
                <w:tab w:val="left" w:pos="1440"/>
              </w:tabs>
              <w:suppressAutoHyphens/>
              <w:spacing w:before="60" w:after="60"/>
              <w:rPr>
                <w:rFonts w:cs="Times New Roman"/>
                <w:b/>
                <w:bCs/>
                <w:spacing w:val="-3"/>
              </w:rPr>
            </w:pPr>
          </w:p>
        </w:tc>
        <w:tc>
          <w:tcPr>
            <w:tcW w:w="7020" w:type="dxa"/>
            <w:tcBorders>
              <w:top w:val="nil"/>
              <w:left w:val="nil"/>
              <w:bottom w:val="nil"/>
            </w:tcBorders>
          </w:tcPr>
          <w:p w:rsidR="0027683C" w:rsidRDefault="0027683C" w:rsidP="0046649C">
            <w:pPr>
              <w:tabs>
                <w:tab w:val="left" w:pos="-1440"/>
                <w:tab w:val="left" w:pos="-720"/>
                <w:tab w:val="left" w:pos="0"/>
                <w:tab w:val="left" w:pos="2142"/>
              </w:tabs>
              <w:suppressAutoHyphens/>
              <w:spacing w:before="60" w:after="60"/>
              <w:rPr>
                <w:rFonts w:cs="Times New Roman"/>
                <w:spacing w:val="-3"/>
              </w:rPr>
            </w:pPr>
            <w:r>
              <w:rPr>
                <w:rFonts w:cs="Times New Roman"/>
                <w:spacing w:val="-3"/>
                <w:sz w:val="22"/>
                <w:szCs w:val="22"/>
              </w:rPr>
              <w:t>NW Natural Gas Site Remediation</w:t>
            </w:r>
          </w:p>
        </w:tc>
      </w:tr>
      <w:tr w:rsidR="0027683C">
        <w:trPr>
          <w:cantSplit/>
          <w:jc w:val="center"/>
        </w:trPr>
        <w:tc>
          <w:tcPr>
            <w:tcW w:w="2610" w:type="dxa"/>
            <w:vMerge w:val="restart"/>
            <w:tcBorders>
              <w:bottom w:val="nil"/>
              <w:right w:val="nil"/>
            </w:tcBorders>
          </w:tcPr>
          <w:p w:rsidR="0027683C" w:rsidRPr="00DF3A2F" w:rsidRDefault="0027683C">
            <w:pPr>
              <w:tabs>
                <w:tab w:val="left" w:pos="-1440"/>
                <w:tab w:val="left" w:pos="-720"/>
                <w:tab w:val="left" w:pos="0"/>
                <w:tab w:val="left" w:pos="720"/>
                <w:tab w:val="left" w:pos="1440"/>
              </w:tabs>
              <w:suppressAutoHyphens/>
              <w:spacing w:before="60" w:after="60"/>
              <w:jc w:val="left"/>
              <w:rPr>
                <w:rFonts w:cs="Times New Roman"/>
                <w:b/>
                <w:spacing w:val="-3"/>
              </w:rPr>
            </w:pPr>
            <w:r w:rsidRPr="00DF3A2F">
              <w:rPr>
                <w:rFonts w:cs="Times New Roman"/>
                <w:b/>
                <w:spacing w:val="-3"/>
                <w:sz w:val="22"/>
                <w:szCs w:val="22"/>
              </w:rPr>
              <w:t>Existing Permit Information:</w:t>
            </w:r>
          </w:p>
        </w:tc>
        <w:tc>
          <w:tcPr>
            <w:tcW w:w="7020" w:type="dxa"/>
            <w:tcBorders>
              <w:left w:val="nil"/>
              <w:bottom w:val="nil"/>
            </w:tcBorders>
            <w:vAlign w:val="center"/>
          </w:tcPr>
          <w:p w:rsidR="0027683C" w:rsidRDefault="0027683C">
            <w:pPr>
              <w:tabs>
                <w:tab w:val="left" w:pos="-1440"/>
                <w:tab w:val="left" w:pos="-720"/>
                <w:tab w:val="left" w:pos="0"/>
                <w:tab w:val="left" w:pos="2142"/>
              </w:tabs>
              <w:suppressAutoHyphens/>
              <w:spacing w:before="60" w:after="60"/>
              <w:rPr>
                <w:rFonts w:cs="Times New Roman"/>
              </w:rPr>
            </w:pPr>
            <w:r>
              <w:rPr>
                <w:rFonts w:cs="Times New Roman"/>
                <w:spacing w:val="-3"/>
                <w:sz w:val="22"/>
                <w:szCs w:val="22"/>
              </w:rPr>
              <w:t xml:space="preserve">File Number: </w:t>
            </w:r>
            <w:r>
              <w:rPr>
                <w:rFonts w:cs="Times New Roman"/>
                <w:sz w:val="22"/>
                <w:szCs w:val="22"/>
              </w:rPr>
              <w:t>120589</w:t>
            </w:r>
          </w:p>
        </w:tc>
      </w:tr>
      <w:tr w:rsidR="0027683C">
        <w:trPr>
          <w:cantSplit/>
          <w:jc w:val="center"/>
        </w:trPr>
        <w:tc>
          <w:tcPr>
            <w:tcW w:w="2610" w:type="dxa"/>
            <w:vMerge/>
            <w:tcBorders>
              <w:top w:val="nil"/>
              <w:bottom w:val="nil"/>
              <w:right w:val="nil"/>
            </w:tcBorders>
            <w:vAlign w:val="center"/>
          </w:tcPr>
          <w:p w:rsidR="0027683C" w:rsidRDefault="0027683C">
            <w:pPr>
              <w:tabs>
                <w:tab w:val="left" w:pos="-1440"/>
                <w:tab w:val="left" w:pos="-720"/>
                <w:tab w:val="left" w:pos="0"/>
                <w:tab w:val="left" w:pos="720"/>
                <w:tab w:val="left" w:pos="1440"/>
              </w:tabs>
              <w:suppressAutoHyphens/>
              <w:spacing w:before="60" w:after="60"/>
              <w:rPr>
                <w:rFonts w:cs="Times New Roman"/>
                <w:b/>
                <w:bCs/>
                <w:spacing w:val="-3"/>
              </w:rPr>
            </w:pPr>
          </w:p>
        </w:tc>
        <w:tc>
          <w:tcPr>
            <w:tcW w:w="7020" w:type="dxa"/>
            <w:tcBorders>
              <w:top w:val="nil"/>
              <w:left w:val="nil"/>
              <w:bottom w:val="nil"/>
            </w:tcBorders>
            <w:vAlign w:val="center"/>
          </w:tcPr>
          <w:p w:rsidR="0027683C" w:rsidRDefault="0027683C">
            <w:pPr>
              <w:tabs>
                <w:tab w:val="left" w:pos="-1440"/>
                <w:tab w:val="left" w:pos="-720"/>
                <w:tab w:val="left" w:pos="0"/>
                <w:tab w:val="left" w:pos="2142"/>
              </w:tabs>
              <w:suppressAutoHyphens/>
              <w:spacing w:after="60"/>
              <w:rPr>
                <w:rFonts w:cs="Times New Roman"/>
                <w:spacing w:val="-3"/>
              </w:rPr>
            </w:pPr>
            <w:r>
              <w:rPr>
                <w:rFonts w:cs="Times New Roman"/>
                <w:spacing w:val="-3"/>
                <w:sz w:val="22"/>
                <w:szCs w:val="22"/>
              </w:rPr>
              <w:t xml:space="preserve">Permit Number: </w:t>
            </w:r>
            <w:r w:rsidR="008453AD">
              <w:t>103061</w:t>
            </w:r>
          </w:p>
        </w:tc>
      </w:tr>
      <w:tr w:rsidR="0027683C">
        <w:trPr>
          <w:cantSplit/>
          <w:trHeight w:val="351"/>
          <w:jc w:val="center"/>
        </w:trPr>
        <w:tc>
          <w:tcPr>
            <w:tcW w:w="2610" w:type="dxa"/>
            <w:vMerge/>
            <w:tcBorders>
              <w:top w:val="nil"/>
              <w:bottom w:val="nil"/>
              <w:right w:val="nil"/>
            </w:tcBorders>
            <w:vAlign w:val="center"/>
          </w:tcPr>
          <w:p w:rsidR="0027683C" w:rsidRDefault="0027683C">
            <w:pPr>
              <w:tabs>
                <w:tab w:val="left" w:pos="-1440"/>
                <w:tab w:val="left" w:pos="-720"/>
                <w:tab w:val="left" w:pos="0"/>
                <w:tab w:val="left" w:pos="720"/>
                <w:tab w:val="left" w:pos="1440"/>
              </w:tabs>
              <w:suppressAutoHyphens/>
              <w:spacing w:before="60" w:after="60"/>
              <w:rPr>
                <w:rFonts w:cs="Times New Roman"/>
                <w:b/>
                <w:bCs/>
                <w:spacing w:val="-3"/>
              </w:rPr>
            </w:pPr>
          </w:p>
        </w:tc>
        <w:tc>
          <w:tcPr>
            <w:tcW w:w="7020" w:type="dxa"/>
            <w:tcBorders>
              <w:top w:val="nil"/>
              <w:left w:val="nil"/>
              <w:bottom w:val="nil"/>
            </w:tcBorders>
            <w:vAlign w:val="center"/>
          </w:tcPr>
          <w:p w:rsidR="0027683C" w:rsidRDefault="0027683C">
            <w:pPr>
              <w:tabs>
                <w:tab w:val="left" w:pos="-1440"/>
                <w:tab w:val="left" w:pos="-720"/>
                <w:tab w:val="left" w:pos="0"/>
                <w:tab w:val="left" w:pos="2142"/>
              </w:tabs>
              <w:suppressAutoHyphens/>
              <w:spacing w:after="60"/>
              <w:rPr>
                <w:rFonts w:cs="Times New Roman"/>
                <w:spacing w:val="-3"/>
              </w:rPr>
            </w:pPr>
            <w:r>
              <w:rPr>
                <w:rFonts w:cs="Times New Roman"/>
                <w:spacing w:val="-3"/>
                <w:sz w:val="22"/>
                <w:szCs w:val="22"/>
              </w:rPr>
              <w:t xml:space="preserve">EPA Reference Number:  </w:t>
            </w:r>
            <w:r w:rsidR="008453AD" w:rsidRPr="008453AD">
              <w:rPr>
                <w:color w:val="000000" w:themeColor="text1"/>
                <w:sz w:val="22"/>
                <w:szCs w:val="22"/>
              </w:rPr>
              <w:t>OR 004468-7</w:t>
            </w:r>
          </w:p>
        </w:tc>
      </w:tr>
      <w:tr w:rsidR="0027683C">
        <w:trPr>
          <w:cantSplit/>
          <w:trHeight w:val="100"/>
          <w:jc w:val="center"/>
        </w:trPr>
        <w:tc>
          <w:tcPr>
            <w:tcW w:w="2610" w:type="dxa"/>
            <w:vMerge/>
            <w:tcBorders>
              <w:top w:val="nil"/>
              <w:bottom w:val="nil"/>
              <w:right w:val="nil"/>
            </w:tcBorders>
            <w:vAlign w:val="center"/>
          </w:tcPr>
          <w:p w:rsidR="0027683C" w:rsidRDefault="0027683C">
            <w:pPr>
              <w:tabs>
                <w:tab w:val="left" w:pos="-1440"/>
                <w:tab w:val="left" w:pos="-720"/>
                <w:tab w:val="left" w:pos="0"/>
                <w:tab w:val="left" w:pos="720"/>
                <w:tab w:val="left" w:pos="1440"/>
              </w:tabs>
              <w:suppressAutoHyphens/>
              <w:spacing w:before="60" w:after="60"/>
              <w:rPr>
                <w:rFonts w:cs="Times New Roman"/>
                <w:b/>
                <w:bCs/>
                <w:spacing w:val="-3"/>
              </w:rPr>
            </w:pPr>
          </w:p>
        </w:tc>
        <w:tc>
          <w:tcPr>
            <w:tcW w:w="7020" w:type="dxa"/>
            <w:tcBorders>
              <w:top w:val="nil"/>
              <w:left w:val="nil"/>
              <w:bottom w:val="nil"/>
            </w:tcBorders>
            <w:vAlign w:val="center"/>
          </w:tcPr>
          <w:p w:rsidR="0027683C" w:rsidRDefault="0027683C">
            <w:pPr>
              <w:tabs>
                <w:tab w:val="left" w:pos="-1440"/>
                <w:tab w:val="left" w:pos="-720"/>
                <w:tab w:val="left" w:pos="0"/>
                <w:tab w:val="left" w:pos="2142"/>
              </w:tabs>
              <w:suppressAutoHyphens/>
              <w:spacing w:after="60"/>
              <w:rPr>
                <w:rFonts w:cs="Times New Roman"/>
                <w:spacing w:val="-3"/>
              </w:rPr>
            </w:pPr>
            <w:r>
              <w:rPr>
                <w:rFonts w:cs="Times New Roman"/>
                <w:spacing w:val="-3"/>
                <w:sz w:val="22"/>
                <w:szCs w:val="22"/>
              </w:rPr>
              <w:t>County: Multnomah</w:t>
            </w:r>
          </w:p>
        </w:tc>
      </w:tr>
      <w:tr w:rsidR="0027683C">
        <w:trPr>
          <w:cantSplit/>
          <w:jc w:val="center"/>
        </w:trPr>
        <w:tc>
          <w:tcPr>
            <w:tcW w:w="2610" w:type="dxa"/>
            <w:tcBorders>
              <w:right w:val="nil"/>
            </w:tcBorders>
          </w:tcPr>
          <w:p w:rsidR="0027683C" w:rsidRDefault="0027683C">
            <w:pPr>
              <w:tabs>
                <w:tab w:val="left" w:pos="-1440"/>
                <w:tab w:val="left" w:pos="-720"/>
                <w:tab w:val="left" w:pos="0"/>
                <w:tab w:val="left" w:pos="2142"/>
              </w:tabs>
              <w:suppressAutoHyphens/>
              <w:spacing w:after="60"/>
              <w:rPr>
                <w:rFonts w:cs="Times New Roman"/>
                <w:b/>
                <w:bCs/>
                <w:spacing w:val="-3"/>
              </w:rPr>
            </w:pPr>
            <w:r>
              <w:rPr>
                <w:rFonts w:cs="Times New Roman"/>
                <w:b/>
                <w:bCs/>
                <w:spacing w:val="-3"/>
                <w:sz w:val="22"/>
                <w:szCs w:val="22"/>
              </w:rPr>
              <w:t>Source Contact:</w:t>
            </w:r>
          </w:p>
        </w:tc>
        <w:tc>
          <w:tcPr>
            <w:tcW w:w="7020" w:type="dxa"/>
            <w:tcBorders>
              <w:left w:val="nil"/>
              <w:bottom w:val="nil"/>
            </w:tcBorders>
            <w:vAlign w:val="center"/>
          </w:tcPr>
          <w:p w:rsidR="0027683C" w:rsidRDefault="0027683C">
            <w:pPr>
              <w:pStyle w:val="Heading4"/>
              <w:keepNext w:val="0"/>
              <w:spacing w:before="0" w:after="0"/>
              <w:rPr>
                <w:rFonts w:cs="Times New Roman"/>
                <w:b w:val="0"/>
                <w:bCs w:val="0"/>
                <w:spacing w:val="-3"/>
                <w:sz w:val="22"/>
                <w:szCs w:val="22"/>
              </w:rPr>
            </w:pPr>
            <w:r>
              <w:rPr>
                <w:rFonts w:cs="Times New Roman"/>
                <w:b w:val="0"/>
                <w:bCs w:val="0"/>
                <w:spacing w:val="-3"/>
                <w:sz w:val="22"/>
                <w:szCs w:val="22"/>
              </w:rPr>
              <w:t>Robert Wyatt</w:t>
            </w:r>
          </w:p>
          <w:p w:rsidR="0027683C" w:rsidRDefault="0027683C">
            <w:pPr>
              <w:spacing w:before="60"/>
              <w:rPr>
                <w:rFonts w:cs="Times New Roman"/>
              </w:rPr>
            </w:pPr>
            <w:r>
              <w:rPr>
                <w:rFonts w:cs="Times New Roman"/>
                <w:sz w:val="22"/>
                <w:szCs w:val="22"/>
              </w:rPr>
              <w:t>NW Natural Remediation Manager</w:t>
            </w:r>
          </w:p>
          <w:p w:rsidR="0027683C" w:rsidRDefault="0027683C">
            <w:pPr>
              <w:spacing w:before="60"/>
              <w:rPr>
                <w:rFonts w:cs="Times New Roman"/>
              </w:rPr>
            </w:pPr>
            <w:r>
              <w:rPr>
                <w:rFonts w:cs="Times New Roman"/>
                <w:sz w:val="22"/>
                <w:szCs w:val="22"/>
              </w:rPr>
              <w:t>503-226-4211</w:t>
            </w:r>
          </w:p>
        </w:tc>
      </w:tr>
      <w:tr w:rsidR="0027683C">
        <w:trPr>
          <w:cantSplit/>
          <w:trHeight w:val="359"/>
          <w:jc w:val="center"/>
        </w:trPr>
        <w:tc>
          <w:tcPr>
            <w:tcW w:w="2610" w:type="dxa"/>
            <w:tcBorders>
              <w:right w:val="nil"/>
            </w:tcBorders>
          </w:tcPr>
          <w:p w:rsidR="0027683C" w:rsidRDefault="0027683C">
            <w:pPr>
              <w:tabs>
                <w:tab w:val="left" w:pos="-1440"/>
                <w:tab w:val="left" w:pos="-720"/>
                <w:tab w:val="left" w:pos="0"/>
                <w:tab w:val="left" w:pos="720"/>
                <w:tab w:val="left" w:pos="1440"/>
              </w:tabs>
              <w:suppressAutoHyphens/>
              <w:spacing w:before="60" w:after="60"/>
              <w:rPr>
                <w:rFonts w:cs="Times New Roman"/>
                <w:b/>
                <w:bCs/>
                <w:spacing w:val="-3"/>
              </w:rPr>
            </w:pPr>
            <w:r>
              <w:rPr>
                <w:rFonts w:cs="Times New Roman"/>
                <w:b/>
                <w:bCs/>
                <w:spacing w:val="-3"/>
                <w:sz w:val="22"/>
                <w:szCs w:val="22"/>
              </w:rPr>
              <w:t>Source Location:</w:t>
            </w:r>
          </w:p>
        </w:tc>
        <w:tc>
          <w:tcPr>
            <w:tcW w:w="7020" w:type="dxa"/>
            <w:tcBorders>
              <w:left w:val="nil"/>
            </w:tcBorders>
          </w:tcPr>
          <w:p w:rsidR="0027683C" w:rsidRDefault="0027683C">
            <w:pPr>
              <w:pStyle w:val="Heading4"/>
              <w:keepNext w:val="0"/>
              <w:spacing w:before="60"/>
              <w:rPr>
                <w:rFonts w:cs="Times New Roman"/>
                <w:b w:val="0"/>
                <w:bCs w:val="0"/>
                <w:spacing w:val="-3"/>
                <w:sz w:val="22"/>
                <w:szCs w:val="22"/>
              </w:rPr>
            </w:pPr>
            <w:r>
              <w:rPr>
                <w:rFonts w:cs="Times New Roman"/>
                <w:b w:val="0"/>
                <w:bCs w:val="0"/>
                <w:spacing w:val="-3"/>
                <w:sz w:val="22"/>
                <w:szCs w:val="22"/>
              </w:rPr>
              <w:t>7900 NW St. Helens Rd</w:t>
            </w:r>
          </w:p>
        </w:tc>
      </w:tr>
      <w:tr w:rsidR="0027683C">
        <w:trPr>
          <w:cantSplit/>
          <w:jc w:val="center"/>
        </w:trPr>
        <w:tc>
          <w:tcPr>
            <w:tcW w:w="2610" w:type="dxa"/>
            <w:tcBorders>
              <w:bottom w:val="nil"/>
              <w:right w:val="nil"/>
            </w:tcBorders>
            <w:vAlign w:val="center"/>
          </w:tcPr>
          <w:p w:rsidR="0027683C" w:rsidRDefault="0027683C">
            <w:pPr>
              <w:tabs>
                <w:tab w:val="left" w:pos="-1440"/>
                <w:tab w:val="left" w:pos="-720"/>
                <w:tab w:val="left" w:pos="0"/>
                <w:tab w:val="left" w:pos="720"/>
                <w:tab w:val="left" w:pos="1440"/>
              </w:tabs>
              <w:suppressAutoHyphens/>
              <w:spacing w:before="60" w:after="60"/>
              <w:rPr>
                <w:rFonts w:cs="Times New Roman"/>
                <w:b/>
                <w:bCs/>
                <w:spacing w:val="-3"/>
              </w:rPr>
            </w:pPr>
            <w:r>
              <w:rPr>
                <w:rFonts w:cs="Times New Roman"/>
                <w:b/>
                <w:bCs/>
                <w:spacing w:val="-3"/>
                <w:sz w:val="22"/>
                <w:szCs w:val="22"/>
              </w:rPr>
              <w:t xml:space="preserve">LLID </w:t>
            </w:r>
          </w:p>
        </w:tc>
        <w:tc>
          <w:tcPr>
            <w:tcW w:w="7020" w:type="dxa"/>
            <w:tcBorders>
              <w:left w:val="nil"/>
            </w:tcBorders>
          </w:tcPr>
          <w:p w:rsidR="0027683C" w:rsidRDefault="0027683C">
            <w:pPr>
              <w:pStyle w:val="Heading4"/>
              <w:spacing w:before="60"/>
              <w:rPr>
                <w:rFonts w:cs="Times New Roman"/>
                <w:b w:val="0"/>
                <w:bCs w:val="0"/>
                <w:sz w:val="22"/>
                <w:szCs w:val="22"/>
              </w:rPr>
            </w:pPr>
            <w:r>
              <w:rPr>
                <w:rFonts w:cs="Times New Roman"/>
                <w:b w:val="0"/>
                <w:bCs w:val="0"/>
                <w:sz w:val="22"/>
                <w:szCs w:val="22"/>
              </w:rPr>
              <w:t>LLID: 1227618456580-6.4-D</w:t>
            </w:r>
          </w:p>
        </w:tc>
      </w:tr>
      <w:tr w:rsidR="0027683C">
        <w:trPr>
          <w:cantSplit/>
          <w:jc w:val="center"/>
        </w:trPr>
        <w:tc>
          <w:tcPr>
            <w:tcW w:w="2610" w:type="dxa"/>
            <w:tcBorders>
              <w:right w:val="nil"/>
            </w:tcBorders>
          </w:tcPr>
          <w:p w:rsidR="0027683C" w:rsidRDefault="0027683C">
            <w:pPr>
              <w:tabs>
                <w:tab w:val="left" w:pos="-1440"/>
                <w:tab w:val="left" w:pos="-720"/>
                <w:tab w:val="left" w:pos="0"/>
                <w:tab w:val="left" w:pos="720"/>
                <w:tab w:val="left" w:pos="1440"/>
              </w:tabs>
              <w:suppressAutoHyphens/>
              <w:spacing w:before="60" w:after="60"/>
              <w:rPr>
                <w:rFonts w:cs="Times New Roman"/>
                <w:b/>
                <w:bCs/>
                <w:spacing w:val="-3"/>
              </w:rPr>
            </w:pPr>
            <w:r>
              <w:rPr>
                <w:rFonts w:cs="Times New Roman"/>
                <w:b/>
                <w:bCs/>
                <w:spacing w:val="-3"/>
                <w:sz w:val="22"/>
                <w:szCs w:val="22"/>
              </w:rPr>
              <w:t>Receiving Stream:</w:t>
            </w:r>
          </w:p>
        </w:tc>
        <w:tc>
          <w:tcPr>
            <w:tcW w:w="7020" w:type="dxa"/>
            <w:tcBorders>
              <w:left w:val="nil"/>
              <w:bottom w:val="nil"/>
            </w:tcBorders>
            <w:vAlign w:val="center"/>
          </w:tcPr>
          <w:p w:rsidR="0027683C" w:rsidRDefault="0027683C">
            <w:pPr>
              <w:pStyle w:val="Heading4"/>
              <w:spacing w:before="60"/>
              <w:rPr>
                <w:rFonts w:cs="Times New Roman"/>
                <w:b w:val="0"/>
                <w:bCs w:val="0"/>
                <w:sz w:val="22"/>
                <w:szCs w:val="22"/>
                <w:highlight w:val="yellow"/>
              </w:rPr>
            </w:pPr>
            <w:r>
              <w:rPr>
                <w:rFonts w:cs="Times New Roman"/>
                <w:b w:val="0"/>
                <w:bCs w:val="0"/>
                <w:sz w:val="22"/>
                <w:szCs w:val="22"/>
              </w:rPr>
              <w:t>Willamette River</w:t>
            </w:r>
          </w:p>
        </w:tc>
      </w:tr>
      <w:tr w:rsidR="0027683C">
        <w:trPr>
          <w:cantSplit/>
          <w:jc w:val="center"/>
        </w:trPr>
        <w:tc>
          <w:tcPr>
            <w:tcW w:w="2610" w:type="dxa"/>
            <w:vMerge w:val="restart"/>
            <w:tcBorders>
              <w:right w:val="nil"/>
            </w:tcBorders>
          </w:tcPr>
          <w:p w:rsidR="0027683C" w:rsidRDefault="0027683C">
            <w:pPr>
              <w:tabs>
                <w:tab w:val="left" w:pos="-1440"/>
                <w:tab w:val="left" w:pos="-720"/>
                <w:tab w:val="left" w:pos="0"/>
                <w:tab w:val="left" w:pos="720"/>
                <w:tab w:val="left" w:pos="1440"/>
              </w:tabs>
              <w:suppressAutoHyphens/>
              <w:spacing w:before="60" w:after="60"/>
              <w:rPr>
                <w:rFonts w:cs="Times New Roman"/>
                <w:b/>
                <w:bCs/>
                <w:spacing w:val="-3"/>
              </w:rPr>
            </w:pPr>
            <w:r>
              <w:rPr>
                <w:rFonts w:cs="Times New Roman"/>
                <w:b/>
                <w:bCs/>
                <w:spacing w:val="-3"/>
                <w:sz w:val="22"/>
                <w:szCs w:val="22"/>
              </w:rPr>
              <w:t>Proposed Action:</w:t>
            </w:r>
          </w:p>
        </w:tc>
        <w:tc>
          <w:tcPr>
            <w:tcW w:w="7020" w:type="dxa"/>
            <w:tcBorders>
              <w:left w:val="nil"/>
              <w:bottom w:val="nil"/>
            </w:tcBorders>
            <w:vAlign w:val="center"/>
          </w:tcPr>
          <w:p w:rsidR="0027683C" w:rsidRDefault="0027683C">
            <w:pPr>
              <w:pStyle w:val="Heading4"/>
              <w:keepNext w:val="0"/>
              <w:spacing w:before="60" w:after="0"/>
              <w:rPr>
                <w:rFonts w:cs="Times New Roman"/>
                <w:b w:val="0"/>
                <w:bCs w:val="0"/>
                <w:sz w:val="22"/>
                <w:szCs w:val="22"/>
              </w:rPr>
            </w:pPr>
            <w:r>
              <w:rPr>
                <w:rFonts w:cs="Times New Roman"/>
                <w:b w:val="0"/>
                <w:bCs w:val="0"/>
                <w:sz w:val="22"/>
                <w:szCs w:val="22"/>
              </w:rPr>
              <w:t>New NPDES Permit</w:t>
            </w:r>
          </w:p>
        </w:tc>
      </w:tr>
      <w:tr w:rsidR="0027683C">
        <w:trPr>
          <w:cantSplit/>
          <w:jc w:val="center"/>
        </w:trPr>
        <w:tc>
          <w:tcPr>
            <w:tcW w:w="2610" w:type="dxa"/>
            <w:vMerge/>
            <w:tcBorders>
              <w:right w:val="nil"/>
            </w:tcBorders>
          </w:tcPr>
          <w:p w:rsidR="0027683C" w:rsidRDefault="0027683C">
            <w:pPr>
              <w:tabs>
                <w:tab w:val="left" w:pos="-1440"/>
                <w:tab w:val="left" w:pos="-720"/>
                <w:tab w:val="left" w:pos="0"/>
                <w:tab w:val="left" w:pos="720"/>
                <w:tab w:val="left" w:pos="1440"/>
              </w:tabs>
              <w:suppressAutoHyphens/>
              <w:spacing w:before="60" w:after="60"/>
              <w:rPr>
                <w:rFonts w:cs="Times New Roman"/>
                <w:b/>
                <w:bCs/>
                <w:spacing w:val="-3"/>
              </w:rPr>
            </w:pPr>
          </w:p>
        </w:tc>
        <w:tc>
          <w:tcPr>
            <w:tcW w:w="7020" w:type="dxa"/>
            <w:tcBorders>
              <w:top w:val="nil"/>
              <w:left w:val="nil"/>
              <w:bottom w:val="nil"/>
            </w:tcBorders>
            <w:vAlign w:val="center"/>
          </w:tcPr>
          <w:p w:rsidR="0027683C" w:rsidRDefault="0027683C" w:rsidP="001B6ECA">
            <w:pPr>
              <w:pStyle w:val="Heading4"/>
              <w:keepNext w:val="0"/>
              <w:tabs>
                <w:tab w:val="left" w:pos="2142"/>
              </w:tabs>
              <w:spacing w:before="60" w:after="0"/>
              <w:rPr>
                <w:rFonts w:cs="Times New Roman"/>
                <w:b w:val="0"/>
                <w:bCs w:val="0"/>
                <w:sz w:val="22"/>
                <w:szCs w:val="22"/>
              </w:rPr>
            </w:pPr>
            <w:r>
              <w:rPr>
                <w:rFonts w:cs="Times New Roman"/>
                <w:b w:val="0"/>
                <w:bCs w:val="0"/>
                <w:sz w:val="22"/>
                <w:szCs w:val="22"/>
              </w:rPr>
              <w:t xml:space="preserve">Application Number: </w:t>
            </w:r>
            <w:r w:rsidR="001B6ECA">
              <w:rPr>
                <w:rFonts w:cs="Times New Roman"/>
                <w:b w:val="0"/>
                <w:bCs w:val="0"/>
                <w:sz w:val="22"/>
                <w:szCs w:val="22"/>
              </w:rPr>
              <w:t>967828</w:t>
            </w:r>
            <w:r>
              <w:rPr>
                <w:rFonts w:cs="Times New Roman"/>
                <w:b w:val="0"/>
                <w:bCs w:val="0"/>
                <w:sz w:val="22"/>
                <w:szCs w:val="22"/>
              </w:rPr>
              <w:t xml:space="preserve"> </w:t>
            </w:r>
          </w:p>
        </w:tc>
      </w:tr>
      <w:tr w:rsidR="0027683C">
        <w:trPr>
          <w:cantSplit/>
          <w:jc w:val="center"/>
        </w:trPr>
        <w:tc>
          <w:tcPr>
            <w:tcW w:w="2610" w:type="dxa"/>
            <w:vMerge/>
            <w:tcBorders>
              <w:bottom w:val="nil"/>
              <w:right w:val="nil"/>
            </w:tcBorders>
          </w:tcPr>
          <w:p w:rsidR="0027683C" w:rsidRDefault="0027683C">
            <w:pPr>
              <w:tabs>
                <w:tab w:val="left" w:pos="-1440"/>
                <w:tab w:val="left" w:pos="-720"/>
                <w:tab w:val="left" w:pos="0"/>
                <w:tab w:val="left" w:pos="720"/>
                <w:tab w:val="left" w:pos="1440"/>
              </w:tabs>
              <w:suppressAutoHyphens/>
              <w:spacing w:before="60" w:after="60"/>
              <w:rPr>
                <w:rFonts w:cs="Times New Roman"/>
                <w:b/>
                <w:bCs/>
                <w:spacing w:val="-3"/>
              </w:rPr>
            </w:pPr>
          </w:p>
        </w:tc>
        <w:tc>
          <w:tcPr>
            <w:tcW w:w="7020" w:type="dxa"/>
            <w:tcBorders>
              <w:top w:val="nil"/>
              <w:left w:val="nil"/>
            </w:tcBorders>
            <w:vAlign w:val="center"/>
          </w:tcPr>
          <w:p w:rsidR="0027683C" w:rsidRPr="00AA4843" w:rsidRDefault="0027683C">
            <w:pPr>
              <w:pStyle w:val="Heading4"/>
              <w:keepNext w:val="0"/>
              <w:tabs>
                <w:tab w:val="left" w:pos="2142"/>
              </w:tabs>
              <w:spacing w:before="60" w:after="0"/>
              <w:rPr>
                <w:rFonts w:cs="Times New Roman"/>
                <w:b w:val="0"/>
                <w:bCs w:val="0"/>
                <w:sz w:val="22"/>
                <w:szCs w:val="22"/>
              </w:rPr>
            </w:pPr>
            <w:r>
              <w:rPr>
                <w:rFonts w:cs="Times New Roman"/>
                <w:b w:val="0"/>
                <w:bCs w:val="0"/>
                <w:sz w:val="22"/>
                <w:szCs w:val="22"/>
              </w:rPr>
              <w:t>Date Received: 1/28/</w:t>
            </w:r>
            <w:r w:rsidRPr="00AA4843">
              <w:rPr>
                <w:rFonts w:cs="Times New Roman"/>
                <w:b w:val="0"/>
                <w:bCs w:val="0"/>
                <w:sz w:val="22"/>
                <w:szCs w:val="22"/>
              </w:rPr>
              <w:t>2011; Supplemental information received</w:t>
            </w:r>
          </w:p>
          <w:p w:rsidR="0027683C" w:rsidRDefault="0027683C" w:rsidP="00AA4843">
            <w:pPr>
              <w:pStyle w:val="Heading4"/>
              <w:keepNext w:val="0"/>
              <w:tabs>
                <w:tab w:val="left" w:pos="2142"/>
              </w:tabs>
              <w:spacing w:before="60" w:after="0"/>
              <w:rPr>
                <w:rFonts w:cs="Times New Roman"/>
                <w:b w:val="0"/>
                <w:bCs w:val="0"/>
                <w:sz w:val="22"/>
                <w:szCs w:val="22"/>
              </w:rPr>
            </w:pPr>
            <w:r w:rsidRPr="00AA4843">
              <w:rPr>
                <w:rFonts w:cs="Times New Roman"/>
                <w:b w:val="0"/>
                <w:bCs w:val="0"/>
                <w:sz w:val="22"/>
                <w:szCs w:val="22"/>
              </w:rPr>
              <w:t xml:space="preserve"> </w:t>
            </w:r>
            <w:proofErr w:type="gramStart"/>
            <w:r w:rsidRPr="00AA4843">
              <w:rPr>
                <w:rFonts w:cs="Times New Roman"/>
                <w:b w:val="0"/>
                <w:bCs w:val="0"/>
                <w:sz w:val="22"/>
                <w:szCs w:val="22"/>
              </w:rPr>
              <w:t>on</w:t>
            </w:r>
            <w:proofErr w:type="gramEnd"/>
            <w:r w:rsidRPr="00AA4843">
              <w:rPr>
                <w:rFonts w:cs="Times New Roman"/>
                <w:b w:val="0"/>
                <w:bCs w:val="0"/>
                <w:sz w:val="22"/>
                <w:szCs w:val="22"/>
              </w:rPr>
              <w:t xml:space="preserve"> </w:t>
            </w:r>
            <w:r w:rsidR="009B286F">
              <w:rPr>
                <w:rFonts w:cs="Times New Roman"/>
                <w:b w:val="0"/>
                <w:bCs w:val="0"/>
                <w:sz w:val="22"/>
                <w:szCs w:val="22"/>
              </w:rPr>
              <w:t xml:space="preserve">5/10/2011, </w:t>
            </w:r>
            <w:r w:rsidR="00AA4843" w:rsidRPr="00AA4843">
              <w:rPr>
                <w:rFonts w:cs="Times New Roman"/>
                <w:b w:val="0"/>
                <w:bCs w:val="0"/>
                <w:sz w:val="22"/>
                <w:szCs w:val="22"/>
              </w:rPr>
              <w:t>1/31/2012</w:t>
            </w:r>
            <w:r w:rsidRPr="00AA4843">
              <w:rPr>
                <w:rFonts w:cs="Times New Roman"/>
                <w:b w:val="0"/>
                <w:bCs w:val="0"/>
                <w:sz w:val="22"/>
                <w:szCs w:val="22"/>
              </w:rPr>
              <w:t xml:space="preserve"> and </w:t>
            </w:r>
            <w:r w:rsidR="00AA4843" w:rsidRPr="00AA4843">
              <w:rPr>
                <w:rFonts w:cs="Times New Roman"/>
                <w:b w:val="0"/>
                <w:bCs w:val="0"/>
                <w:sz w:val="22"/>
                <w:szCs w:val="22"/>
              </w:rPr>
              <w:t>10/31/2012</w:t>
            </w:r>
            <w:r>
              <w:rPr>
                <w:rFonts w:cs="Times New Roman"/>
                <w:b w:val="0"/>
                <w:bCs w:val="0"/>
                <w:sz w:val="22"/>
                <w:szCs w:val="22"/>
              </w:rPr>
              <w:t xml:space="preserve"> </w:t>
            </w:r>
          </w:p>
        </w:tc>
      </w:tr>
      <w:tr w:rsidR="0027683C">
        <w:trPr>
          <w:cantSplit/>
          <w:jc w:val="center"/>
        </w:trPr>
        <w:tc>
          <w:tcPr>
            <w:tcW w:w="2610" w:type="dxa"/>
            <w:tcBorders>
              <w:bottom w:val="nil"/>
              <w:right w:val="nil"/>
            </w:tcBorders>
          </w:tcPr>
          <w:p w:rsidR="0027683C" w:rsidRDefault="0027683C">
            <w:pPr>
              <w:tabs>
                <w:tab w:val="left" w:pos="-1440"/>
                <w:tab w:val="left" w:pos="-720"/>
                <w:tab w:val="left" w:pos="0"/>
                <w:tab w:val="left" w:pos="720"/>
                <w:tab w:val="left" w:pos="1440"/>
              </w:tabs>
              <w:suppressAutoHyphens/>
              <w:spacing w:before="60" w:after="60"/>
              <w:rPr>
                <w:rFonts w:cs="Times New Roman"/>
                <w:b/>
                <w:bCs/>
                <w:spacing w:val="-3"/>
              </w:rPr>
            </w:pPr>
            <w:r>
              <w:rPr>
                <w:rFonts w:cs="Times New Roman"/>
                <w:b/>
                <w:bCs/>
                <w:spacing w:val="-3"/>
                <w:sz w:val="22"/>
                <w:szCs w:val="22"/>
              </w:rPr>
              <w:t>Source Category</w:t>
            </w:r>
          </w:p>
        </w:tc>
        <w:tc>
          <w:tcPr>
            <w:tcW w:w="7020" w:type="dxa"/>
            <w:tcBorders>
              <w:left w:val="nil"/>
            </w:tcBorders>
            <w:vAlign w:val="center"/>
          </w:tcPr>
          <w:p w:rsidR="0027683C" w:rsidRDefault="0027683C">
            <w:pPr>
              <w:pStyle w:val="Heading4"/>
              <w:keepNext w:val="0"/>
              <w:tabs>
                <w:tab w:val="left" w:pos="2142"/>
              </w:tabs>
              <w:spacing w:before="60"/>
              <w:rPr>
                <w:rFonts w:cs="Times New Roman"/>
                <w:b w:val="0"/>
                <w:bCs w:val="0"/>
                <w:sz w:val="22"/>
                <w:szCs w:val="22"/>
                <w:highlight w:val="yellow"/>
              </w:rPr>
            </w:pPr>
            <w:r>
              <w:rPr>
                <w:rFonts w:cs="Times New Roman"/>
                <w:b w:val="0"/>
                <w:bCs w:val="0"/>
                <w:sz w:val="22"/>
                <w:szCs w:val="22"/>
              </w:rPr>
              <w:t>NPDES Minor – Industrial</w:t>
            </w:r>
          </w:p>
        </w:tc>
      </w:tr>
      <w:tr w:rsidR="0027683C">
        <w:trPr>
          <w:cantSplit/>
          <w:trHeight w:val="380"/>
          <w:jc w:val="center"/>
        </w:trPr>
        <w:tc>
          <w:tcPr>
            <w:tcW w:w="2610" w:type="dxa"/>
            <w:vMerge w:val="restart"/>
            <w:tcBorders>
              <w:right w:val="nil"/>
            </w:tcBorders>
          </w:tcPr>
          <w:p w:rsidR="0027683C" w:rsidRDefault="0027683C">
            <w:pPr>
              <w:tabs>
                <w:tab w:val="left" w:pos="-1440"/>
                <w:tab w:val="left" w:pos="-720"/>
                <w:tab w:val="left" w:pos="0"/>
                <w:tab w:val="left" w:pos="720"/>
                <w:tab w:val="left" w:pos="1440"/>
              </w:tabs>
              <w:suppressAutoHyphens/>
              <w:spacing w:before="60" w:after="60"/>
              <w:rPr>
                <w:rFonts w:cs="Times New Roman"/>
                <w:b/>
                <w:bCs/>
                <w:spacing w:val="-3"/>
              </w:rPr>
            </w:pPr>
            <w:r>
              <w:rPr>
                <w:rFonts w:cs="Times New Roman"/>
                <w:b/>
                <w:bCs/>
                <w:spacing w:val="-3"/>
                <w:sz w:val="22"/>
                <w:szCs w:val="22"/>
              </w:rPr>
              <w:t>Permit Writer:</w:t>
            </w:r>
          </w:p>
        </w:tc>
        <w:tc>
          <w:tcPr>
            <w:tcW w:w="7020" w:type="dxa"/>
            <w:tcBorders>
              <w:left w:val="nil"/>
              <w:bottom w:val="nil"/>
            </w:tcBorders>
            <w:vAlign w:val="center"/>
          </w:tcPr>
          <w:p w:rsidR="0027683C" w:rsidRDefault="0027683C">
            <w:pPr>
              <w:pStyle w:val="Heading4"/>
              <w:keepNext w:val="0"/>
              <w:spacing w:before="0" w:after="0"/>
              <w:rPr>
                <w:rFonts w:cs="Times New Roman"/>
                <w:b w:val="0"/>
                <w:bCs w:val="0"/>
                <w:spacing w:val="-3"/>
                <w:sz w:val="22"/>
                <w:szCs w:val="22"/>
              </w:rPr>
            </w:pPr>
            <w:r>
              <w:rPr>
                <w:rFonts w:cs="Times New Roman"/>
                <w:b w:val="0"/>
                <w:bCs w:val="0"/>
                <w:spacing w:val="-3"/>
                <w:sz w:val="22"/>
                <w:szCs w:val="22"/>
              </w:rPr>
              <w:t>Rob Burkhart</w:t>
            </w:r>
          </w:p>
        </w:tc>
      </w:tr>
      <w:tr w:rsidR="0027683C">
        <w:trPr>
          <w:cantSplit/>
          <w:trHeight w:val="340"/>
          <w:jc w:val="center"/>
        </w:trPr>
        <w:tc>
          <w:tcPr>
            <w:tcW w:w="2610" w:type="dxa"/>
            <w:vMerge/>
            <w:tcBorders>
              <w:right w:val="nil"/>
            </w:tcBorders>
          </w:tcPr>
          <w:p w:rsidR="0027683C" w:rsidRDefault="0027683C">
            <w:pPr>
              <w:tabs>
                <w:tab w:val="left" w:pos="-1440"/>
                <w:tab w:val="left" w:pos="-720"/>
                <w:tab w:val="left" w:pos="0"/>
                <w:tab w:val="left" w:pos="720"/>
                <w:tab w:val="left" w:pos="1440"/>
              </w:tabs>
              <w:suppressAutoHyphens/>
              <w:spacing w:before="60" w:after="60"/>
              <w:rPr>
                <w:rFonts w:cs="Times New Roman"/>
                <w:b/>
                <w:bCs/>
                <w:spacing w:val="-3"/>
              </w:rPr>
            </w:pPr>
          </w:p>
        </w:tc>
        <w:tc>
          <w:tcPr>
            <w:tcW w:w="7020" w:type="dxa"/>
            <w:tcBorders>
              <w:top w:val="nil"/>
              <w:left w:val="nil"/>
            </w:tcBorders>
            <w:vAlign w:val="center"/>
          </w:tcPr>
          <w:p w:rsidR="0027683C" w:rsidRDefault="0027683C">
            <w:pPr>
              <w:pStyle w:val="Heading4"/>
              <w:keepNext w:val="0"/>
              <w:spacing w:before="0" w:after="0"/>
              <w:rPr>
                <w:rFonts w:cs="Times New Roman"/>
                <w:b w:val="0"/>
                <w:bCs w:val="0"/>
                <w:sz w:val="22"/>
                <w:szCs w:val="22"/>
              </w:rPr>
            </w:pPr>
            <w:r>
              <w:rPr>
                <w:rFonts w:cs="Times New Roman"/>
                <w:b w:val="0"/>
                <w:bCs w:val="0"/>
                <w:sz w:val="22"/>
                <w:szCs w:val="22"/>
              </w:rPr>
              <w:t>503-229-5566</w:t>
            </w:r>
          </w:p>
        </w:tc>
      </w:tr>
      <w:tr w:rsidR="0027683C">
        <w:trPr>
          <w:cantSplit/>
          <w:trHeight w:val="340"/>
          <w:jc w:val="center"/>
        </w:trPr>
        <w:tc>
          <w:tcPr>
            <w:tcW w:w="2610" w:type="dxa"/>
            <w:tcBorders>
              <w:right w:val="nil"/>
            </w:tcBorders>
          </w:tcPr>
          <w:p w:rsidR="0027683C" w:rsidRDefault="0027683C">
            <w:pPr>
              <w:tabs>
                <w:tab w:val="left" w:pos="-1440"/>
                <w:tab w:val="left" w:pos="-720"/>
                <w:tab w:val="left" w:pos="0"/>
                <w:tab w:val="left" w:pos="720"/>
                <w:tab w:val="left" w:pos="1440"/>
              </w:tabs>
              <w:suppressAutoHyphens/>
              <w:spacing w:before="60" w:after="60"/>
              <w:rPr>
                <w:rFonts w:cs="Times New Roman"/>
                <w:b/>
                <w:bCs/>
                <w:spacing w:val="-3"/>
              </w:rPr>
            </w:pPr>
            <w:r>
              <w:rPr>
                <w:rFonts w:cs="Times New Roman"/>
                <w:b/>
                <w:bCs/>
                <w:spacing w:val="-3"/>
                <w:sz w:val="22"/>
                <w:szCs w:val="22"/>
              </w:rPr>
              <w:t>Date Prepared:</w:t>
            </w:r>
          </w:p>
        </w:tc>
        <w:tc>
          <w:tcPr>
            <w:tcW w:w="7020" w:type="dxa"/>
            <w:tcBorders>
              <w:left w:val="nil"/>
            </w:tcBorders>
            <w:vAlign w:val="center"/>
          </w:tcPr>
          <w:p w:rsidR="0027683C" w:rsidRDefault="00302738" w:rsidP="00664BFB">
            <w:pPr>
              <w:pStyle w:val="Heading4"/>
              <w:keepNext w:val="0"/>
              <w:spacing w:before="60"/>
              <w:rPr>
                <w:rFonts w:cs="Times New Roman"/>
                <w:b w:val="0"/>
                <w:bCs w:val="0"/>
                <w:sz w:val="22"/>
                <w:szCs w:val="22"/>
              </w:rPr>
            </w:pPr>
            <w:r>
              <w:rPr>
                <w:rFonts w:cs="Times New Roman"/>
                <w:b w:val="0"/>
                <w:bCs w:val="0"/>
                <w:sz w:val="22"/>
                <w:szCs w:val="22"/>
              </w:rPr>
              <w:t xml:space="preserve">July </w:t>
            </w:r>
            <w:r w:rsidR="00664BFB">
              <w:rPr>
                <w:rFonts w:cs="Times New Roman"/>
                <w:b w:val="0"/>
                <w:bCs w:val="0"/>
                <w:sz w:val="22"/>
                <w:szCs w:val="22"/>
              </w:rPr>
              <w:t>17</w:t>
            </w:r>
            <w:r w:rsidR="00AA4843">
              <w:rPr>
                <w:rFonts w:cs="Times New Roman"/>
                <w:b w:val="0"/>
                <w:bCs w:val="0"/>
                <w:sz w:val="22"/>
                <w:szCs w:val="22"/>
              </w:rPr>
              <w:t>, 201</w:t>
            </w:r>
            <w:r w:rsidR="00F07C6A">
              <w:rPr>
                <w:rFonts w:cs="Times New Roman"/>
                <w:b w:val="0"/>
                <w:bCs w:val="0"/>
                <w:sz w:val="22"/>
                <w:szCs w:val="22"/>
              </w:rPr>
              <w:t>3</w:t>
            </w:r>
          </w:p>
        </w:tc>
      </w:tr>
    </w:tbl>
    <w:p w:rsidR="0027683C" w:rsidRDefault="0027683C">
      <w:pPr>
        <w:rPr>
          <w:rFonts w:cs="Times New Roman"/>
        </w:rPr>
      </w:pPr>
    </w:p>
    <w:p w:rsidR="0027683C" w:rsidRDefault="0027683C">
      <w:pPr>
        <w:rPr>
          <w:rFonts w:cs="Times New Roman"/>
        </w:rPr>
      </w:pPr>
    </w:p>
    <w:p w:rsidR="0027683C" w:rsidRDefault="0027683C">
      <w:pPr>
        <w:rPr>
          <w:rFonts w:cs="Times New Roman"/>
        </w:rPr>
      </w:pPr>
    </w:p>
    <w:p w:rsidR="0027683C" w:rsidRDefault="0027683C">
      <w:pPr>
        <w:rPr>
          <w:rFonts w:cs="Times New Roman"/>
        </w:rPr>
      </w:pPr>
    </w:p>
    <w:p w:rsidR="0027683C" w:rsidRDefault="0027683C">
      <w:pPr>
        <w:rPr>
          <w:rFonts w:cs="Times New Roman"/>
        </w:rPr>
      </w:pPr>
    </w:p>
    <w:p w:rsidR="0027683C" w:rsidRDefault="0027683C">
      <w:pPr>
        <w:rPr>
          <w:rFonts w:cs="Times New Roman"/>
        </w:rPr>
      </w:pPr>
    </w:p>
    <w:p w:rsidR="0027683C" w:rsidRDefault="0027683C">
      <w:pPr>
        <w:rPr>
          <w:rFonts w:cs="Times New Roman"/>
        </w:rPr>
      </w:pPr>
    </w:p>
    <w:p w:rsidR="0027683C" w:rsidRDefault="0027683C">
      <w:pPr>
        <w:rPr>
          <w:rFonts w:cs="Times New Roman"/>
        </w:rPr>
      </w:pPr>
    </w:p>
    <w:p w:rsidR="0027683C" w:rsidRDefault="0027683C">
      <w:pPr>
        <w:rPr>
          <w:rFonts w:cs="Times New Roman"/>
        </w:rPr>
      </w:pPr>
    </w:p>
    <w:p w:rsidR="0027683C" w:rsidRPr="00240B10" w:rsidRDefault="0027683C" w:rsidP="00240B10">
      <w:pPr>
        <w:pStyle w:val="TOC1"/>
      </w:pPr>
      <w:r w:rsidRPr="00240B10">
        <w:t>Table of Contents</w:t>
      </w:r>
    </w:p>
    <w:p w:rsidR="0027683C" w:rsidRPr="00240B10" w:rsidRDefault="0027683C">
      <w:pPr>
        <w:rPr>
          <w:rFonts w:cs="Times New Roman"/>
        </w:rPr>
      </w:pPr>
    </w:p>
    <w:p w:rsidR="0027683C" w:rsidRPr="00240B10" w:rsidRDefault="00D62243" w:rsidP="00240B10">
      <w:pPr>
        <w:pStyle w:val="TOC1"/>
        <w:rPr>
          <w:b w:val="0"/>
          <w:noProof/>
          <w:sz w:val="24"/>
          <w:szCs w:val="24"/>
        </w:rPr>
      </w:pPr>
      <w:r w:rsidRPr="00D62243">
        <w:rPr>
          <w:b w:val="0"/>
        </w:rPr>
        <w:fldChar w:fldCharType="begin"/>
      </w:r>
      <w:r w:rsidR="0027683C" w:rsidRPr="00240B10">
        <w:rPr>
          <w:b w:val="0"/>
        </w:rPr>
        <w:instrText xml:space="preserve"> TOC \o "1-3" \h \z \u </w:instrText>
      </w:r>
      <w:r w:rsidRPr="00D62243">
        <w:rPr>
          <w:b w:val="0"/>
        </w:rPr>
        <w:fldChar w:fldCharType="separate"/>
      </w:r>
      <w:hyperlink w:anchor="_Toc197758189" w:history="1">
        <w:r w:rsidR="0027683C" w:rsidRPr="00240B10">
          <w:rPr>
            <w:rStyle w:val="Hyperlink"/>
            <w:b w:val="0"/>
            <w:noProof/>
            <w:sz w:val="24"/>
            <w:szCs w:val="24"/>
          </w:rPr>
          <w:t>1.0 Introduction</w:t>
        </w:r>
        <w:r w:rsidR="0027683C" w:rsidRPr="00240B10">
          <w:rPr>
            <w:b w:val="0"/>
            <w:noProof/>
            <w:webHidden/>
            <w:sz w:val="24"/>
            <w:szCs w:val="24"/>
          </w:rPr>
          <w:tab/>
        </w:r>
        <w:r w:rsidR="00964597" w:rsidRPr="00240B10">
          <w:rPr>
            <w:b w:val="0"/>
            <w:noProof/>
            <w:webHidden/>
            <w:sz w:val="24"/>
            <w:szCs w:val="24"/>
          </w:rPr>
          <w:t>3</w:t>
        </w:r>
      </w:hyperlink>
    </w:p>
    <w:p w:rsidR="0027683C" w:rsidRPr="00240B10" w:rsidRDefault="0027683C" w:rsidP="00240B10">
      <w:pPr>
        <w:pStyle w:val="TOC1"/>
        <w:rPr>
          <w:b w:val="0"/>
          <w:sz w:val="24"/>
          <w:szCs w:val="24"/>
        </w:rPr>
      </w:pPr>
    </w:p>
    <w:p w:rsidR="0027683C" w:rsidRPr="00240B10" w:rsidRDefault="00D62243" w:rsidP="00240B10">
      <w:pPr>
        <w:pStyle w:val="TOC1"/>
        <w:rPr>
          <w:b w:val="0"/>
          <w:noProof/>
          <w:sz w:val="24"/>
          <w:szCs w:val="24"/>
        </w:rPr>
      </w:pPr>
      <w:hyperlink w:anchor="_Toc197758190" w:history="1">
        <w:r w:rsidR="0027683C" w:rsidRPr="00240B10">
          <w:rPr>
            <w:rStyle w:val="Hyperlink"/>
            <w:b w:val="0"/>
            <w:noProof/>
            <w:sz w:val="24"/>
            <w:szCs w:val="24"/>
          </w:rPr>
          <w:t>2.0 Facility Description</w:t>
        </w:r>
        <w:r w:rsidR="0027683C" w:rsidRPr="00240B10">
          <w:rPr>
            <w:b w:val="0"/>
            <w:noProof/>
            <w:webHidden/>
            <w:sz w:val="24"/>
            <w:szCs w:val="24"/>
          </w:rPr>
          <w:tab/>
          <w:t>3</w:t>
        </w:r>
      </w:hyperlink>
    </w:p>
    <w:p w:rsidR="0027683C" w:rsidRPr="00240B10" w:rsidRDefault="0027683C">
      <w:pPr>
        <w:pStyle w:val="TOC3"/>
        <w:tabs>
          <w:tab w:val="right" w:leader="dot" w:pos="8630"/>
        </w:tabs>
        <w:rPr>
          <w:noProof/>
        </w:rPr>
      </w:pPr>
    </w:p>
    <w:p w:rsidR="0027683C" w:rsidRPr="00240B10" w:rsidRDefault="00D62243" w:rsidP="00240B10">
      <w:pPr>
        <w:pStyle w:val="TOC1"/>
        <w:rPr>
          <w:b w:val="0"/>
          <w:noProof/>
          <w:sz w:val="24"/>
          <w:szCs w:val="24"/>
        </w:rPr>
      </w:pPr>
      <w:hyperlink w:anchor="_Toc197758203" w:history="1">
        <w:r w:rsidR="0027683C" w:rsidRPr="00240B10">
          <w:rPr>
            <w:rStyle w:val="Hyperlink"/>
            <w:b w:val="0"/>
            <w:noProof/>
            <w:sz w:val="24"/>
            <w:szCs w:val="24"/>
          </w:rPr>
          <w:t>3.0 Receiving Water</w:t>
        </w:r>
        <w:r w:rsidR="0027683C" w:rsidRPr="00240B10">
          <w:rPr>
            <w:b w:val="0"/>
            <w:noProof/>
            <w:webHidden/>
            <w:sz w:val="24"/>
            <w:szCs w:val="24"/>
          </w:rPr>
          <w:tab/>
        </w:r>
      </w:hyperlink>
      <w:r w:rsidR="00964597" w:rsidRPr="00240B10">
        <w:rPr>
          <w:b w:val="0"/>
          <w:sz w:val="24"/>
          <w:szCs w:val="24"/>
        </w:rPr>
        <w:t>7</w:t>
      </w:r>
    </w:p>
    <w:p w:rsidR="0027683C" w:rsidRPr="00240B10" w:rsidRDefault="0027683C" w:rsidP="00964597">
      <w:pPr>
        <w:ind w:left="720" w:firstLine="480"/>
        <w:rPr>
          <w:rFonts w:cs="Times New Roman"/>
        </w:rPr>
      </w:pPr>
    </w:p>
    <w:p w:rsidR="0027683C" w:rsidRPr="00240B10" w:rsidRDefault="00D62243" w:rsidP="00240B10">
      <w:pPr>
        <w:pStyle w:val="TOC1"/>
        <w:rPr>
          <w:b w:val="0"/>
          <w:noProof/>
          <w:sz w:val="24"/>
          <w:szCs w:val="24"/>
        </w:rPr>
      </w:pPr>
      <w:hyperlink w:anchor="_Toc197758207" w:history="1">
        <w:r w:rsidR="0027683C" w:rsidRPr="00240B10">
          <w:rPr>
            <w:rStyle w:val="Hyperlink"/>
            <w:b w:val="0"/>
            <w:noProof/>
            <w:sz w:val="24"/>
            <w:szCs w:val="24"/>
          </w:rPr>
          <w:t>4.0 Permit limits</w:t>
        </w:r>
        <w:r w:rsidR="0027683C" w:rsidRPr="00240B10">
          <w:rPr>
            <w:rStyle w:val="Hyperlink"/>
            <w:b w:val="0"/>
            <w:noProof/>
            <w:webHidden/>
            <w:sz w:val="24"/>
            <w:szCs w:val="24"/>
          </w:rPr>
          <w:tab/>
        </w:r>
      </w:hyperlink>
      <w:r w:rsidR="006F721C" w:rsidRPr="00240B10">
        <w:rPr>
          <w:b w:val="0"/>
          <w:sz w:val="24"/>
          <w:szCs w:val="24"/>
        </w:rPr>
        <w:t>1</w:t>
      </w:r>
      <w:r w:rsidR="000D2B87" w:rsidRPr="00240B10">
        <w:rPr>
          <w:b w:val="0"/>
          <w:sz w:val="24"/>
          <w:szCs w:val="24"/>
        </w:rPr>
        <w:t>1</w:t>
      </w:r>
    </w:p>
    <w:p w:rsidR="0027683C" w:rsidRPr="00240B10" w:rsidRDefault="0027683C" w:rsidP="00964597">
      <w:pPr>
        <w:ind w:left="720"/>
        <w:rPr>
          <w:rFonts w:cs="Times New Roman"/>
        </w:rPr>
      </w:pPr>
    </w:p>
    <w:p w:rsidR="0027683C" w:rsidRPr="00240B10" w:rsidRDefault="00D62243" w:rsidP="00240B10">
      <w:pPr>
        <w:pStyle w:val="TOC1"/>
        <w:rPr>
          <w:b w:val="0"/>
          <w:noProof/>
          <w:sz w:val="24"/>
          <w:szCs w:val="24"/>
        </w:rPr>
      </w:pPr>
      <w:hyperlink w:anchor="_Toc197758207" w:history="1">
        <w:r w:rsidR="0027683C" w:rsidRPr="00240B10">
          <w:rPr>
            <w:rStyle w:val="Hyperlink"/>
            <w:b w:val="0"/>
            <w:noProof/>
            <w:sz w:val="24"/>
            <w:szCs w:val="24"/>
          </w:rPr>
          <w:t>5.0 Compliance History</w:t>
        </w:r>
        <w:r w:rsidR="0027683C" w:rsidRPr="00240B10">
          <w:rPr>
            <w:b w:val="0"/>
            <w:noProof/>
            <w:webHidden/>
            <w:sz w:val="24"/>
            <w:szCs w:val="24"/>
          </w:rPr>
          <w:tab/>
        </w:r>
      </w:hyperlink>
      <w:r w:rsidR="006F721C" w:rsidRPr="00240B10">
        <w:rPr>
          <w:b w:val="0"/>
          <w:sz w:val="24"/>
          <w:szCs w:val="24"/>
        </w:rPr>
        <w:t>1</w:t>
      </w:r>
      <w:r w:rsidR="00964597" w:rsidRPr="00240B10">
        <w:rPr>
          <w:b w:val="0"/>
          <w:sz w:val="24"/>
          <w:szCs w:val="24"/>
        </w:rPr>
        <w:t>6</w:t>
      </w:r>
    </w:p>
    <w:p w:rsidR="0027683C" w:rsidRPr="00240B10" w:rsidRDefault="0027683C" w:rsidP="00964597">
      <w:pPr>
        <w:ind w:left="720"/>
        <w:rPr>
          <w:rFonts w:cs="Times New Roman"/>
        </w:rPr>
      </w:pPr>
    </w:p>
    <w:p w:rsidR="0027683C" w:rsidRPr="00240B10" w:rsidRDefault="00D62243" w:rsidP="00240B10">
      <w:pPr>
        <w:pStyle w:val="TOC1"/>
        <w:rPr>
          <w:b w:val="0"/>
          <w:sz w:val="24"/>
          <w:szCs w:val="24"/>
        </w:rPr>
      </w:pPr>
      <w:hyperlink w:anchor="_Toc197758213" w:history="1">
        <w:r w:rsidR="0027683C" w:rsidRPr="00240B10">
          <w:rPr>
            <w:rStyle w:val="Hyperlink"/>
            <w:b w:val="0"/>
            <w:noProof/>
            <w:sz w:val="24"/>
            <w:szCs w:val="24"/>
          </w:rPr>
          <w:t>6.0 Draft Permit Discussion</w:t>
        </w:r>
        <w:r w:rsidR="0027683C" w:rsidRPr="00240B10">
          <w:rPr>
            <w:b w:val="0"/>
            <w:noProof/>
            <w:webHidden/>
            <w:sz w:val="24"/>
            <w:szCs w:val="24"/>
          </w:rPr>
          <w:tab/>
        </w:r>
        <w:r w:rsidRPr="00240B10">
          <w:rPr>
            <w:b w:val="0"/>
            <w:noProof/>
            <w:webHidden/>
            <w:sz w:val="24"/>
            <w:szCs w:val="24"/>
          </w:rPr>
          <w:fldChar w:fldCharType="begin"/>
        </w:r>
        <w:r w:rsidR="0027683C" w:rsidRPr="00240B10">
          <w:rPr>
            <w:b w:val="0"/>
            <w:noProof/>
            <w:webHidden/>
            <w:sz w:val="24"/>
            <w:szCs w:val="24"/>
          </w:rPr>
          <w:instrText xml:space="preserve"> PAGEREF _Toc197758213 \h </w:instrText>
        </w:r>
        <w:r w:rsidRPr="00240B10">
          <w:rPr>
            <w:b w:val="0"/>
            <w:noProof/>
            <w:webHidden/>
            <w:sz w:val="24"/>
            <w:szCs w:val="24"/>
          </w:rPr>
        </w:r>
        <w:r w:rsidRPr="00240B10">
          <w:rPr>
            <w:b w:val="0"/>
            <w:noProof/>
            <w:webHidden/>
            <w:sz w:val="24"/>
            <w:szCs w:val="24"/>
          </w:rPr>
          <w:fldChar w:fldCharType="separate"/>
        </w:r>
        <w:r w:rsidR="00D63347">
          <w:rPr>
            <w:b w:val="0"/>
            <w:noProof/>
            <w:webHidden/>
            <w:sz w:val="24"/>
            <w:szCs w:val="24"/>
          </w:rPr>
          <w:t>16</w:t>
        </w:r>
        <w:r w:rsidRPr="00240B10">
          <w:rPr>
            <w:b w:val="0"/>
            <w:noProof/>
            <w:webHidden/>
            <w:sz w:val="24"/>
            <w:szCs w:val="24"/>
          </w:rPr>
          <w:fldChar w:fldCharType="end"/>
        </w:r>
      </w:hyperlink>
    </w:p>
    <w:p w:rsidR="0027683C" w:rsidRPr="00240B10" w:rsidRDefault="0027683C" w:rsidP="00964597">
      <w:pPr>
        <w:ind w:left="720"/>
        <w:rPr>
          <w:rFonts w:cs="Times New Roman"/>
        </w:rPr>
      </w:pPr>
    </w:p>
    <w:p w:rsidR="0027683C" w:rsidRPr="00240B10" w:rsidRDefault="00D62243" w:rsidP="00240B10">
      <w:pPr>
        <w:pStyle w:val="TOC1"/>
        <w:rPr>
          <w:b w:val="0"/>
          <w:sz w:val="24"/>
          <w:szCs w:val="24"/>
        </w:rPr>
      </w:pPr>
      <w:hyperlink w:anchor="_Toc197758213" w:history="1">
        <w:r w:rsidR="0027683C" w:rsidRPr="00240B10">
          <w:rPr>
            <w:rStyle w:val="Hyperlink"/>
            <w:b w:val="0"/>
            <w:noProof/>
            <w:sz w:val="24"/>
            <w:szCs w:val="24"/>
          </w:rPr>
          <w:t xml:space="preserve">7.0 </w:t>
        </w:r>
        <w:r w:rsidR="0027683C" w:rsidRPr="00240B10">
          <w:rPr>
            <w:b w:val="0"/>
            <w:sz w:val="24"/>
            <w:szCs w:val="24"/>
          </w:rPr>
          <w:t xml:space="preserve">Next Steps </w:t>
        </w:r>
        <w:r w:rsidR="0027683C" w:rsidRPr="00240B10">
          <w:rPr>
            <w:b w:val="0"/>
            <w:noProof/>
            <w:webHidden/>
            <w:sz w:val="24"/>
            <w:szCs w:val="24"/>
          </w:rPr>
          <w:tab/>
        </w:r>
      </w:hyperlink>
      <w:r w:rsidR="006F721C" w:rsidRPr="00240B10">
        <w:rPr>
          <w:b w:val="0"/>
          <w:sz w:val="24"/>
          <w:szCs w:val="24"/>
        </w:rPr>
        <w:t>2</w:t>
      </w:r>
      <w:r w:rsidR="00964597" w:rsidRPr="00240B10">
        <w:rPr>
          <w:b w:val="0"/>
          <w:sz w:val="24"/>
          <w:szCs w:val="24"/>
        </w:rPr>
        <w:t>2</w:t>
      </w:r>
    </w:p>
    <w:p w:rsidR="0027683C" w:rsidRPr="00240B10" w:rsidRDefault="0027683C">
      <w:pPr>
        <w:rPr>
          <w:rFonts w:cs="Times New Roman"/>
        </w:rPr>
      </w:pPr>
    </w:p>
    <w:p w:rsidR="00964597" w:rsidRDefault="00D62243" w:rsidP="00964597">
      <w:pPr>
        <w:ind w:left="720"/>
      </w:pPr>
      <w:r w:rsidRPr="00240B10">
        <w:fldChar w:fldCharType="end"/>
      </w:r>
    </w:p>
    <w:p w:rsidR="0027683C" w:rsidRDefault="0027683C" w:rsidP="00964597">
      <w:pPr>
        <w:ind w:left="720"/>
        <w:rPr>
          <w:rFonts w:cs="Times New Roman"/>
          <w:b/>
          <w:bCs/>
        </w:rPr>
      </w:pPr>
      <w:r w:rsidRPr="00D50DEE">
        <w:rPr>
          <w:rFonts w:cs="Times New Roman"/>
          <w:b/>
          <w:bCs/>
        </w:rPr>
        <w:t>Attachments</w:t>
      </w:r>
    </w:p>
    <w:p w:rsidR="00D50DEE" w:rsidRPr="00D50DEE" w:rsidRDefault="00D50DEE" w:rsidP="00964597">
      <w:pPr>
        <w:ind w:left="720"/>
        <w:rPr>
          <w:rFonts w:cs="Times New Roman"/>
          <w:b/>
          <w:bCs/>
        </w:rPr>
      </w:pPr>
    </w:p>
    <w:p w:rsidR="0027683C" w:rsidRDefault="0027683C" w:rsidP="00D50DEE">
      <w:pPr>
        <w:spacing w:line="276" w:lineRule="auto"/>
        <w:ind w:left="720"/>
        <w:rPr>
          <w:rFonts w:cs="Times New Roman"/>
          <w:color w:val="000000"/>
        </w:rPr>
      </w:pPr>
      <w:r>
        <w:rPr>
          <w:rFonts w:cs="Times New Roman"/>
          <w:color w:val="000000"/>
        </w:rPr>
        <w:t>Attachment A – Outfall 001 Aquatic Life Reasonable Potential Analysis Spreadsheet</w:t>
      </w:r>
    </w:p>
    <w:p w:rsidR="0027683C" w:rsidRDefault="0027683C" w:rsidP="00D50DEE">
      <w:pPr>
        <w:spacing w:line="276" w:lineRule="auto"/>
        <w:ind w:left="720"/>
        <w:rPr>
          <w:rFonts w:cs="Times New Roman"/>
          <w:color w:val="000000"/>
        </w:rPr>
      </w:pPr>
      <w:bookmarkStart w:id="24" w:name="_Toc197758189"/>
      <w:r>
        <w:rPr>
          <w:rFonts w:cs="Times New Roman"/>
          <w:color w:val="000000"/>
        </w:rPr>
        <w:t>Attachment B – Outfall 001 Human Health Reasonable Potential Analysis Spreadsheet</w:t>
      </w:r>
    </w:p>
    <w:p w:rsidR="0027683C" w:rsidRDefault="0027683C" w:rsidP="00D50DEE">
      <w:pPr>
        <w:spacing w:line="276" w:lineRule="auto"/>
        <w:ind w:left="720"/>
        <w:rPr>
          <w:rFonts w:cs="Times New Roman"/>
          <w:color w:val="000000"/>
        </w:rPr>
      </w:pPr>
      <w:r>
        <w:rPr>
          <w:rFonts w:cs="Times New Roman"/>
          <w:color w:val="000000"/>
        </w:rPr>
        <w:t xml:space="preserve">Attachment C – Outfall 001 </w:t>
      </w:r>
      <w:r w:rsidR="00F0558B">
        <w:rPr>
          <w:rFonts w:cs="Times New Roman"/>
          <w:color w:val="000000"/>
        </w:rPr>
        <w:t xml:space="preserve">Aquatic Life </w:t>
      </w:r>
      <w:r>
        <w:rPr>
          <w:rFonts w:cs="Times New Roman"/>
          <w:color w:val="000000"/>
        </w:rPr>
        <w:t>Effluent Limit</w:t>
      </w:r>
      <w:r w:rsidR="00F0558B">
        <w:rPr>
          <w:rFonts w:cs="Times New Roman"/>
          <w:color w:val="000000"/>
        </w:rPr>
        <w:t>s</w:t>
      </w:r>
      <w:r>
        <w:rPr>
          <w:rFonts w:cs="Times New Roman"/>
          <w:color w:val="000000"/>
        </w:rPr>
        <w:t xml:space="preserve"> Spreadsheet</w:t>
      </w:r>
    </w:p>
    <w:p w:rsidR="00F0558B" w:rsidRDefault="00F0558B" w:rsidP="00D50DEE">
      <w:pPr>
        <w:spacing w:line="276" w:lineRule="auto"/>
        <w:ind w:left="720"/>
        <w:rPr>
          <w:rFonts w:cs="Times New Roman"/>
          <w:color w:val="000000"/>
        </w:rPr>
      </w:pPr>
      <w:r>
        <w:rPr>
          <w:rFonts w:cs="Times New Roman"/>
          <w:color w:val="000000"/>
        </w:rPr>
        <w:t>Attachment D – Outfall 001 Human Health Effluent Limits Spreadsheet</w:t>
      </w:r>
    </w:p>
    <w:p w:rsidR="0027683C" w:rsidRDefault="00F0558B" w:rsidP="00D50DEE">
      <w:pPr>
        <w:spacing w:line="276" w:lineRule="auto"/>
        <w:ind w:left="720"/>
        <w:rPr>
          <w:rFonts w:cs="Times New Roman"/>
          <w:color w:val="000000"/>
        </w:rPr>
      </w:pPr>
      <w:r>
        <w:rPr>
          <w:rFonts w:cs="Times New Roman"/>
          <w:color w:val="000000"/>
        </w:rPr>
        <w:t>Attachment E</w:t>
      </w:r>
      <w:r w:rsidR="0027683C">
        <w:rPr>
          <w:rFonts w:cs="Times New Roman"/>
          <w:color w:val="000000"/>
        </w:rPr>
        <w:t xml:space="preserve"> – Antidegradation Review Sheet</w:t>
      </w:r>
    </w:p>
    <w:p w:rsidR="0027683C" w:rsidRDefault="0027683C" w:rsidP="00D50DEE">
      <w:pPr>
        <w:spacing w:line="276" w:lineRule="auto"/>
        <w:ind w:left="720"/>
        <w:rPr>
          <w:rFonts w:cs="Times New Roman"/>
          <w:color w:val="000000"/>
        </w:rPr>
      </w:pPr>
      <w:r>
        <w:rPr>
          <w:rFonts w:cs="Times New Roman"/>
          <w:color w:val="000000"/>
        </w:rPr>
        <w:t xml:space="preserve">Attachment </w:t>
      </w:r>
      <w:r w:rsidR="00F0558B">
        <w:rPr>
          <w:rFonts w:cs="Times New Roman"/>
          <w:color w:val="000000"/>
        </w:rPr>
        <w:t>F</w:t>
      </w:r>
      <w:r>
        <w:rPr>
          <w:rFonts w:cs="Times New Roman"/>
          <w:color w:val="000000"/>
        </w:rPr>
        <w:t xml:space="preserve"> – </w:t>
      </w:r>
      <w:r w:rsidR="00AA4843">
        <w:rPr>
          <w:rFonts w:cs="Times New Roman"/>
          <w:color w:val="000000"/>
        </w:rPr>
        <w:t>Mixing Zone Checklist</w:t>
      </w:r>
    </w:p>
    <w:p w:rsidR="0027683C" w:rsidRDefault="0027683C">
      <w:pPr>
        <w:ind w:left="720"/>
        <w:rPr>
          <w:rFonts w:cs="Times New Roman"/>
          <w:color w:val="000000"/>
        </w:rPr>
      </w:pPr>
    </w:p>
    <w:p w:rsidR="00964597" w:rsidRDefault="00964597">
      <w:pPr>
        <w:jc w:val="left"/>
        <w:rPr>
          <w:rFonts w:cs="Times New Roman"/>
          <w:color w:val="000000"/>
        </w:rPr>
      </w:pPr>
      <w:r>
        <w:rPr>
          <w:rFonts w:cs="Times New Roman"/>
          <w:color w:val="000000"/>
        </w:rPr>
        <w:br w:type="page"/>
      </w:r>
    </w:p>
    <w:p w:rsidR="0027683C" w:rsidRDefault="0027683C">
      <w:pPr>
        <w:pStyle w:val="Heading1sLeft"/>
      </w:pPr>
      <w:r>
        <w:lastRenderedPageBreak/>
        <w:t>1.0 Introduction</w:t>
      </w:r>
      <w:bookmarkEnd w:id="24"/>
    </w:p>
    <w:p w:rsidR="0027683C" w:rsidRDefault="00AA4843">
      <w:pPr>
        <w:pStyle w:val="BodyText2"/>
        <w:spacing w:line="240" w:lineRule="auto"/>
        <w:jc w:val="left"/>
        <w:rPr>
          <w:sz w:val="22"/>
          <w:szCs w:val="22"/>
        </w:rPr>
      </w:pPr>
      <w:r>
        <w:rPr>
          <w:sz w:val="22"/>
          <w:szCs w:val="22"/>
        </w:rPr>
        <w:t>O</w:t>
      </w:r>
      <w:r w:rsidRPr="00AA4843">
        <w:rPr>
          <w:sz w:val="22"/>
          <w:szCs w:val="22"/>
        </w:rPr>
        <w:t>n January 28, 2011</w:t>
      </w:r>
      <w:r>
        <w:rPr>
          <w:sz w:val="22"/>
          <w:szCs w:val="22"/>
        </w:rPr>
        <w:t>, t</w:t>
      </w:r>
      <w:r w:rsidR="0027683C">
        <w:rPr>
          <w:sz w:val="22"/>
          <w:szCs w:val="22"/>
        </w:rPr>
        <w:t>he Department</w:t>
      </w:r>
      <w:r>
        <w:rPr>
          <w:sz w:val="22"/>
          <w:szCs w:val="22"/>
        </w:rPr>
        <w:t xml:space="preserve"> of Environmental Quality (Department)</w:t>
      </w:r>
      <w:r w:rsidR="0027683C">
        <w:rPr>
          <w:sz w:val="22"/>
          <w:szCs w:val="22"/>
        </w:rPr>
        <w:t xml:space="preserve"> received a</w:t>
      </w:r>
      <w:r w:rsidR="0005263F">
        <w:rPr>
          <w:sz w:val="22"/>
          <w:szCs w:val="22"/>
        </w:rPr>
        <w:t xml:space="preserve"> National Pollutant Discharge Elimination System (</w:t>
      </w:r>
      <w:r w:rsidR="0027683C" w:rsidRPr="00AA4843">
        <w:rPr>
          <w:sz w:val="22"/>
          <w:szCs w:val="22"/>
        </w:rPr>
        <w:t>NPDES</w:t>
      </w:r>
      <w:r w:rsidR="0005263F">
        <w:rPr>
          <w:sz w:val="22"/>
          <w:szCs w:val="22"/>
        </w:rPr>
        <w:t>)</w:t>
      </w:r>
      <w:r w:rsidR="0027683C" w:rsidRPr="00AA4843">
        <w:rPr>
          <w:sz w:val="22"/>
          <w:szCs w:val="22"/>
        </w:rPr>
        <w:t xml:space="preserve"> permit application from N</w:t>
      </w:r>
      <w:r w:rsidR="00D460BB">
        <w:rPr>
          <w:sz w:val="22"/>
          <w:szCs w:val="22"/>
        </w:rPr>
        <w:t>W</w:t>
      </w:r>
      <w:r w:rsidR="0027683C" w:rsidRPr="00AA4843">
        <w:rPr>
          <w:sz w:val="22"/>
          <w:szCs w:val="22"/>
        </w:rPr>
        <w:t xml:space="preserve"> Natural. Supplemental information was received on </w:t>
      </w:r>
      <w:r w:rsidR="009B286F">
        <w:rPr>
          <w:sz w:val="22"/>
          <w:szCs w:val="22"/>
        </w:rPr>
        <w:t xml:space="preserve">5/10/2011, </w:t>
      </w:r>
      <w:r w:rsidRPr="00AA4843">
        <w:rPr>
          <w:sz w:val="22"/>
          <w:szCs w:val="22"/>
        </w:rPr>
        <w:t>1/31/2012</w:t>
      </w:r>
      <w:r w:rsidR="0027683C" w:rsidRPr="00AA4843">
        <w:rPr>
          <w:sz w:val="22"/>
          <w:szCs w:val="22"/>
        </w:rPr>
        <w:t xml:space="preserve"> and </w:t>
      </w:r>
      <w:r w:rsidRPr="00AA4843">
        <w:rPr>
          <w:sz w:val="22"/>
          <w:szCs w:val="22"/>
        </w:rPr>
        <w:t>10/31/2012</w:t>
      </w:r>
      <w:r w:rsidR="0027683C" w:rsidRPr="00AA4843">
        <w:rPr>
          <w:sz w:val="22"/>
          <w:szCs w:val="22"/>
        </w:rPr>
        <w:t>.  The application is for a new NPDES permit to discharge treated groundwater and stormwater from</w:t>
      </w:r>
      <w:r w:rsidR="0027683C">
        <w:rPr>
          <w:sz w:val="22"/>
          <w:szCs w:val="22"/>
        </w:rPr>
        <w:t xml:space="preserve"> an existing natural gas storage site to the Willamette River. </w:t>
      </w:r>
    </w:p>
    <w:p w:rsidR="0027683C" w:rsidRDefault="0027683C">
      <w:pPr>
        <w:rPr>
          <w:rFonts w:cs="Times New Roman"/>
          <w:sz w:val="22"/>
          <w:szCs w:val="22"/>
        </w:rPr>
      </w:pPr>
      <w:r>
        <w:rPr>
          <w:rFonts w:cs="Times New Roman"/>
          <w:sz w:val="22"/>
          <w:szCs w:val="22"/>
        </w:rPr>
        <w:t>This permit evaluation report describes the basis and methodology used in developing the permit.  The permit is divided into several sections:</w:t>
      </w:r>
    </w:p>
    <w:p w:rsidR="0027683C" w:rsidRDefault="0027683C">
      <w:pPr>
        <w:rPr>
          <w:rFonts w:cs="Times New Roman"/>
          <w:sz w:val="22"/>
          <w:szCs w:val="22"/>
        </w:rPr>
      </w:pPr>
    </w:p>
    <w:p w:rsidR="0027683C" w:rsidRDefault="0027683C">
      <w:pPr>
        <w:rPr>
          <w:rFonts w:cs="Times New Roman"/>
          <w:sz w:val="22"/>
          <w:szCs w:val="22"/>
        </w:rPr>
      </w:pPr>
      <w:r>
        <w:rPr>
          <w:rFonts w:cs="Times New Roman"/>
          <w:sz w:val="22"/>
          <w:szCs w:val="22"/>
        </w:rPr>
        <w:t>Schedule A – Waste discharge limitations</w:t>
      </w:r>
    </w:p>
    <w:p w:rsidR="0027683C" w:rsidRDefault="0027683C">
      <w:pPr>
        <w:rPr>
          <w:rFonts w:cs="Times New Roman"/>
          <w:sz w:val="22"/>
          <w:szCs w:val="22"/>
        </w:rPr>
      </w:pPr>
      <w:r>
        <w:rPr>
          <w:rFonts w:cs="Times New Roman"/>
          <w:sz w:val="22"/>
          <w:szCs w:val="22"/>
        </w:rPr>
        <w:t>Schedule B – Minimum monitoring and report requirements</w:t>
      </w:r>
    </w:p>
    <w:p w:rsidR="0027683C" w:rsidRDefault="0005263F">
      <w:pPr>
        <w:rPr>
          <w:rFonts w:cs="Times New Roman"/>
          <w:sz w:val="22"/>
          <w:szCs w:val="22"/>
        </w:rPr>
      </w:pPr>
      <w:r>
        <w:rPr>
          <w:rFonts w:cs="Times New Roman"/>
          <w:sz w:val="22"/>
          <w:szCs w:val="22"/>
        </w:rPr>
        <w:t>Schedule D –</w:t>
      </w:r>
      <w:r w:rsidR="0027683C">
        <w:rPr>
          <w:rFonts w:cs="Times New Roman"/>
          <w:sz w:val="22"/>
          <w:szCs w:val="22"/>
        </w:rPr>
        <w:t xml:space="preserve"> Special Conditions</w:t>
      </w:r>
    </w:p>
    <w:p w:rsidR="0027683C" w:rsidRDefault="0027683C">
      <w:pPr>
        <w:rPr>
          <w:rFonts w:cs="Times New Roman"/>
          <w:sz w:val="22"/>
          <w:szCs w:val="22"/>
        </w:rPr>
      </w:pPr>
      <w:r>
        <w:rPr>
          <w:rFonts w:cs="Times New Roman"/>
          <w:sz w:val="22"/>
          <w:szCs w:val="22"/>
        </w:rPr>
        <w:t>Schedule F – General conditions</w:t>
      </w:r>
    </w:p>
    <w:p w:rsidR="0027683C" w:rsidRDefault="0027683C">
      <w:pPr>
        <w:rPr>
          <w:rFonts w:cs="Times New Roman"/>
          <w:sz w:val="22"/>
          <w:szCs w:val="22"/>
        </w:rPr>
      </w:pPr>
      <w:r>
        <w:rPr>
          <w:rFonts w:cs="Times New Roman"/>
          <w:sz w:val="22"/>
          <w:szCs w:val="22"/>
        </w:rPr>
        <w:t>(Schedules C</w:t>
      </w:r>
      <w:r>
        <w:rPr>
          <w:rFonts w:cs="Times New Roman"/>
          <w:color w:val="FF0000"/>
          <w:sz w:val="22"/>
          <w:szCs w:val="22"/>
        </w:rPr>
        <w:t xml:space="preserve"> </w:t>
      </w:r>
      <w:r>
        <w:rPr>
          <w:rFonts w:cs="Times New Roman"/>
          <w:sz w:val="22"/>
          <w:szCs w:val="22"/>
        </w:rPr>
        <w:t>and E are not applicable to this permit.)</w:t>
      </w:r>
    </w:p>
    <w:p w:rsidR="0027683C" w:rsidRDefault="0027683C">
      <w:pPr>
        <w:jc w:val="left"/>
        <w:rPr>
          <w:rFonts w:cs="Times New Roman"/>
          <w:sz w:val="22"/>
          <w:szCs w:val="22"/>
        </w:rPr>
      </w:pPr>
    </w:p>
    <w:p w:rsidR="0027683C" w:rsidRDefault="0027683C">
      <w:pPr>
        <w:rPr>
          <w:rFonts w:cs="Times New Roman"/>
          <w:sz w:val="22"/>
          <w:szCs w:val="22"/>
        </w:rPr>
      </w:pPr>
      <w:r>
        <w:rPr>
          <w:rFonts w:cs="Times New Roman"/>
          <w:sz w:val="22"/>
          <w:szCs w:val="22"/>
        </w:rPr>
        <w:t>The Federal Water Pollution Control Act of 1972 and subsequent amendments require a</w:t>
      </w:r>
      <w:r w:rsidR="00AA4843">
        <w:rPr>
          <w:rFonts w:cs="Times New Roman"/>
          <w:sz w:val="22"/>
          <w:szCs w:val="22"/>
        </w:rPr>
        <w:t>n</w:t>
      </w:r>
      <w:r>
        <w:rPr>
          <w:rFonts w:cs="Times New Roman"/>
          <w:sz w:val="22"/>
          <w:szCs w:val="22"/>
        </w:rPr>
        <w:t xml:space="preserve"> NPDES permit for the discharge of wastewater to surface waters.  Furthermore, Oregon Revised Statutes (ORS 468B.050) also require a discharger be granted a permit for the discharge of wastewater to surface waters.  This proposed permit action by the Department complies with both federal and state requirements.</w:t>
      </w:r>
    </w:p>
    <w:p w:rsidR="0027683C" w:rsidRDefault="0027683C">
      <w:pPr>
        <w:pStyle w:val="Heading1sLeft"/>
      </w:pPr>
      <w:bookmarkStart w:id="25" w:name="_Toc197758190"/>
      <w:r>
        <w:t>2.0 Facility description</w:t>
      </w:r>
      <w:bookmarkEnd w:id="25"/>
    </w:p>
    <w:p w:rsidR="0027683C" w:rsidRDefault="0027683C">
      <w:pPr>
        <w:pStyle w:val="Asteve13B"/>
      </w:pPr>
      <w:bookmarkStart w:id="26" w:name="_Toc197758191"/>
      <w:r>
        <w:t>2.1 General</w:t>
      </w:r>
      <w:bookmarkEnd w:id="26"/>
      <w:r>
        <w:t xml:space="preserve"> Des</w:t>
      </w:r>
      <w:r w:rsidR="004A3ADB">
        <w:t>c</w:t>
      </w:r>
      <w:r>
        <w:t>ription</w:t>
      </w:r>
    </w:p>
    <w:p w:rsidR="0027683C" w:rsidRPr="00DB55C5" w:rsidRDefault="0027683C" w:rsidP="004A3ADB">
      <w:pPr>
        <w:jc w:val="left"/>
        <w:rPr>
          <w:rFonts w:cs="Times New Roman"/>
          <w:spacing w:val="-3"/>
          <w:sz w:val="22"/>
          <w:szCs w:val="22"/>
        </w:rPr>
      </w:pPr>
      <w:r w:rsidRPr="00DB55C5">
        <w:rPr>
          <w:rFonts w:cs="Times New Roman"/>
          <w:sz w:val="22"/>
          <w:szCs w:val="22"/>
        </w:rPr>
        <w:t>The N</w:t>
      </w:r>
      <w:r w:rsidR="00D460BB" w:rsidRPr="00DB55C5">
        <w:rPr>
          <w:rFonts w:cs="Times New Roman"/>
          <w:sz w:val="22"/>
          <w:szCs w:val="22"/>
        </w:rPr>
        <w:t xml:space="preserve">W Natural </w:t>
      </w:r>
      <w:r w:rsidRPr="00DB55C5">
        <w:rPr>
          <w:rFonts w:cs="Times New Roman"/>
          <w:sz w:val="22"/>
          <w:szCs w:val="22"/>
        </w:rPr>
        <w:t xml:space="preserve">facility at </w:t>
      </w:r>
      <w:r w:rsidRPr="00DB55C5">
        <w:rPr>
          <w:rFonts w:cs="Times New Roman"/>
          <w:spacing w:val="-3"/>
          <w:sz w:val="22"/>
          <w:szCs w:val="22"/>
        </w:rPr>
        <w:t xml:space="preserve">7900 NW St. Helens Road in Portland, also known as the </w:t>
      </w:r>
      <w:r w:rsidR="00D460BB" w:rsidRPr="00DB55C5">
        <w:rPr>
          <w:rFonts w:cs="Times New Roman"/>
          <w:spacing w:val="-3"/>
          <w:sz w:val="22"/>
          <w:szCs w:val="22"/>
        </w:rPr>
        <w:t>“</w:t>
      </w:r>
      <w:r w:rsidRPr="00DB55C5">
        <w:rPr>
          <w:rFonts w:cs="Times New Roman"/>
          <w:spacing w:val="-3"/>
          <w:sz w:val="22"/>
          <w:szCs w:val="22"/>
        </w:rPr>
        <w:t xml:space="preserve">Gasco </w:t>
      </w:r>
      <w:r w:rsidR="00BC533A" w:rsidRPr="00DB55C5">
        <w:rPr>
          <w:rFonts w:cs="Times New Roman"/>
          <w:spacing w:val="-3"/>
          <w:sz w:val="22"/>
          <w:szCs w:val="22"/>
        </w:rPr>
        <w:t>S</w:t>
      </w:r>
      <w:r w:rsidRPr="00DB55C5">
        <w:rPr>
          <w:rFonts w:cs="Times New Roman"/>
          <w:spacing w:val="-3"/>
          <w:sz w:val="22"/>
          <w:szCs w:val="22"/>
        </w:rPr>
        <w:t>ite,</w:t>
      </w:r>
      <w:r w:rsidR="00BC533A" w:rsidRPr="00DB55C5">
        <w:rPr>
          <w:rFonts w:cs="Times New Roman"/>
          <w:spacing w:val="-3"/>
          <w:sz w:val="22"/>
          <w:szCs w:val="22"/>
        </w:rPr>
        <w:t>”</w:t>
      </w:r>
      <w:r w:rsidRPr="00DB55C5">
        <w:rPr>
          <w:rFonts w:cs="Times New Roman"/>
          <w:spacing w:val="-3"/>
          <w:sz w:val="22"/>
          <w:szCs w:val="22"/>
        </w:rPr>
        <w:t xml:space="preserve"> is located on approximately 45 acres of land on the </w:t>
      </w:r>
      <w:r w:rsidR="00D460BB" w:rsidRPr="00DB55C5">
        <w:rPr>
          <w:rFonts w:cs="Times New Roman"/>
          <w:spacing w:val="-3"/>
          <w:sz w:val="22"/>
          <w:szCs w:val="22"/>
        </w:rPr>
        <w:t xml:space="preserve">westside of the </w:t>
      </w:r>
      <w:r w:rsidR="00A84E24">
        <w:rPr>
          <w:rFonts w:cs="Times New Roman"/>
          <w:spacing w:val="-3"/>
          <w:sz w:val="22"/>
          <w:szCs w:val="22"/>
        </w:rPr>
        <w:t xml:space="preserve">Willamette </w:t>
      </w:r>
      <w:r w:rsidR="00F07C6A">
        <w:rPr>
          <w:rFonts w:cs="Times New Roman"/>
          <w:spacing w:val="-3"/>
          <w:sz w:val="22"/>
          <w:szCs w:val="22"/>
        </w:rPr>
        <w:t>R</w:t>
      </w:r>
      <w:r w:rsidRPr="00DB55C5">
        <w:rPr>
          <w:rFonts w:cs="Times New Roman"/>
          <w:spacing w:val="-3"/>
          <w:sz w:val="22"/>
          <w:szCs w:val="22"/>
        </w:rPr>
        <w:t>iver at approximate</w:t>
      </w:r>
      <w:r w:rsidR="00A84E24">
        <w:rPr>
          <w:rFonts w:cs="Times New Roman"/>
          <w:spacing w:val="-3"/>
          <w:sz w:val="22"/>
          <w:szCs w:val="22"/>
        </w:rPr>
        <w:t>ly</w:t>
      </w:r>
      <w:r w:rsidR="00B54A19">
        <w:rPr>
          <w:rFonts w:cs="Times New Roman"/>
          <w:spacing w:val="-3"/>
          <w:sz w:val="22"/>
          <w:szCs w:val="22"/>
        </w:rPr>
        <w:t xml:space="preserve"> river mile (RM) 6.4</w:t>
      </w:r>
      <w:r w:rsidRPr="00DB55C5">
        <w:rPr>
          <w:rFonts w:cs="Times New Roman"/>
          <w:spacing w:val="-3"/>
          <w:sz w:val="22"/>
          <w:szCs w:val="22"/>
        </w:rPr>
        <w:t xml:space="preserve"> (Figure 1).  The site is currently used by N</w:t>
      </w:r>
      <w:r w:rsidR="00D460BB" w:rsidRPr="00DB55C5">
        <w:rPr>
          <w:rFonts w:cs="Times New Roman"/>
          <w:spacing w:val="-3"/>
          <w:sz w:val="22"/>
          <w:szCs w:val="22"/>
        </w:rPr>
        <w:t>W</w:t>
      </w:r>
      <w:r w:rsidRPr="00DB55C5">
        <w:rPr>
          <w:rFonts w:cs="Times New Roman"/>
          <w:spacing w:val="-3"/>
          <w:sz w:val="22"/>
          <w:szCs w:val="22"/>
        </w:rPr>
        <w:t xml:space="preserve"> Natural for the processing and storage of liquefied natural gas (LNG).  Portions of the site are leased for the storage of bulk petroleum and the bulk transfer of creosote oil and coal tar pitch</w:t>
      </w:r>
      <w:r>
        <w:rPr>
          <w:rFonts w:cs="Times New Roman"/>
          <w:spacing w:val="-3"/>
          <w:sz w:val="22"/>
          <w:szCs w:val="22"/>
        </w:rPr>
        <w:t>.</w:t>
      </w:r>
      <w:r>
        <w:rPr>
          <w:rStyle w:val="FootnoteReference"/>
          <w:spacing w:val="-3"/>
          <w:sz w:val="22"/>
          <w:szCs w:val="22"/>
        </w:rPr>
        <w:footnoteReference w:id="1"/>
      </w:r>
      <w:r w:rsidR="00CF08F0">
        <w:rPr>
          <w:rFonts w:cs="Times New Roman"/>
          <w:spacing w:val="-3"/>
          <w:sz w:val="22"/>
          <w:szCs w:val="22"/>
        </w:rPr>
        <w:t xml:space="preserve">  </w:t>
      </w:r>
    </w:p>
    <w:p w:rsidR="0027683C" w:rsidRPr="00DB55C5" w:rsidRDefault="0027683C" w:rsidP="004A3ADB">
      <w:pPr>
        <w:jc w:val="left"/>
        <w:rPr>
          <w:rFonts w:cs="Times New Roman"/>
          <w:spacing w:val="-3"/>
          <w:sz w:val="22"/>
          <w:szCs w:val="22"/>
        </w:rPr>
      </w:pPr>
    </w:p>
    <w:p w:rsidR="00A03B12" w:rsidRDefault="005B4B8D" w:rsidP="004A3ADB">
      <w:pPr>
        <w:autoSpaceDE w:val="0"/>
        <w:autoSpaceDN w:val="0"/>
        <w:adjustRightInd w:val="0"/>
        <w:jc w:val="left"/>
        <w:rPr>
          <w:rFonts w:cs="Times New Roman"/>
          <w:spacing w:val="-3"/>
          <w:sz w:val="22"/>
          <w:szCs w:val="22"/>
        </w:rPr>
      </w:pPr>
      <w:r w:rsidRPr="005B4B8D">
        <w:rPr>
          <w:sz w:val="22"/>
        </w:rPr>
        <w:t xml:space="preserve">Historically, </w:t>
      </w:r>
      <w:r w:rsidR="00EB40FD" w:rsidRPr="00DB55C5">
        <w:rPr>
          <w:rFonts w:cs="Times New Roman"/>
          <w:sz w:val="22"/>
          <w:szCs w:val="22"/>
        </w:rPr>
        <w:t>NW Natural (then known as Portland Gas &amp; Coke [PG&amp;C]) operated an o</w:t>
      </w:r>
      <w:r w:rsidR="00BC533A" w:rsidRPr="00DB55C5">
        <w:rPr>
          <w:rFonts w:cs="Times New Roman"/>
          <w:sz w:val="22"/>
          <w:szCs w:val="22"/>
        </w:rPr>
        <w:t xml:space="preserve">il </w:t>
      </w:r>
      <w:r w:rsidRPr="005B4B8D">
        <w:rPr>
          <w:sz w:val="22"/>
        </w:rPr>
        <w:t xml:space="preserve">manufactured gas plant </w:t>
      </w:r>
      <w:r w:rsidR="00BC533A" w:rsidRPr="00DB55C5">
        <w:rPr>
          <w:rFonts w:cs="Times New Roman"/>
          <w:sz w:val="22"/>
          <w:szCs w:val="22"/>
        </w:rPr>
        <w:t>(MGP)</w:t>
      </w:r>
      <w:r w:rsidR="00EB40FD" w:rsidRPr="00DB55C5">
        <w:rPr>
          <w:rFonts w:cs="Times New Roman"/>
          <w:sz w:val="22"/>
          <w:szCs w:val="22"/>
        </w:rPr>
        <w:t xml:space="preserve"> </w:t>
      </w:r>
      <w:r w:rsidR="00BC533A" w:rsidRPr="00DB55C5">
        <w:rPr>
          <w:rFonts w:cs="Times New Roman"/>
          <w:spacing w:val="-3"/>
          <w:sz w:val="22"/>
          <w:szCs w:val="22"/>
        </w:rPr>
        <w:t xml:space="preserve">and by-products refinery, </w:t>
      </w:r>
      <w:r w:rsidR="00EB40FD" w:rsidRPr="00DB55C5">
        <w:rPr>
          <w:rFonts w:cs="Times New Roman"/>
          <w:sz w:val="22"/>
          <w:szCs w:val="22"/>
        </w:rPr>
        <w:t xml:space="preserve">known as the “Gasco Facility,” on the NW Natural </w:t>
      </w:r>
      <w:r w:rsidR="00253D43" w:rsidRPr="00DB55C5">
        <w:rPr>
          <w:rFonts w:cs="Times New Roman"/>
          <w:sz w:val="22"/>
          <w:szCs w:val="22"/>
        </w:rPr>
        <w:t>p</w:t>
      </w:r>
      <w:r w:rsidR="00EB40FD" w:rsidRPr="00DB55C5">
        <w:rPr>
          <w:rFonts w:cs="Times New Roman"/>
          <w:sz w:val="22"/>
          <w:szCs w:val="22"/>
        </w:rPr>
        <w:t>roperty</w:t>
      </w:r>
      <w:r w:rsidR="00EB40FD" w:rsidRPr="00DB55C5">
        <w:rPr>
          <w:rFonts w:cs="Times New Roman"/>
          <w:spacing w:val="-3"/>
          <w:sz w:val="22"/>
          <w:szCs w:val="22"/>
        </w:rPr>
        <w:t xml:space="preserve"> </w:t>
      </w:r>
      <w:r w:rsidR="00A03B12">
        <w:rPr>
          <w:rFonts w:cs="Times New Roman"/>
          <w:spacing w:val="-3"/>
          <w:sz w:val="22"/>
          <w:szCs w:val="22"/>
        </w:rPr>
        <w:t>between</w:t>
      </w:r>
      <w:r w:rsidR="00EB40FD" w:rsidRPr="00DB55C5">
        <w:rPr>
          <w:rFonts w:cs="Times New Roman"/>
          <w:spacing w:val="-3"/>
          <w:sz w:val="22"/>
          <w:szCs w:val="22"/>
        </w:rPr>
        <w:t xml:space="preserve"> 191</w:t>
      </w:r>
      <w:r w:rsidR="00BC533A" w:rsidRPr="00DB55C5">
        <w:rPr>
          <w:rFonts w:cs="Times New Roman"/>
          <w:spacing w:val="-3"/>
          <w:sz w:val="22"/>
          <w:szCs w:val="22"/>
        </w:rPr>
        <w:t>2</w:t>
      </w:r>
      <w:r w:rsidR="00EB40FD" w:rsidRPr="00DB55C5">
        <w:rPr>
          <w:rFonts w:cs="Times New Roman"/>
          <w:spacing w:val="-3"/>
          <w:sz w:val="22"/>
          <w:szCs w:val="22"/>
        </w:rPr>
        <w:t xml:space="preserve"> </w:t>
      </w:r>
      <w:r w:rsidR="00A03B12">
        <w:rPr>
          <w:rFonts w:cs="Times New Roman"/>
          <w:spacing w:val="-3"/>
          <w:sz w:val="22"/>
          <w:szCs w:val="22"/>
        </w:rPr>
        <w:t>and</w:t>
      </w:r>
      <w:r w:rsidR="00EB40FD" w:rsidRPr="00DB55C5">
        <w:rPr>
          <w:rFonts w:cs="Times New Roman"/>
          <w:spacing w:val="-3"/>
          <w:sz w:val="22"/>
          <w:szCs w:val="22"/>
        </w:rPr>
        <w:t xml:space="preserve"> 1956</w:t>
      </w:r>
      <w:r w:rsidRPr="005B4B8D">
        <w:rPr>
          <w:sz w:val="22"/>
        </w:rPr>
        <w:t xml:space="preserve">. </w:t>
      </w:r>
      <w:r w:rsidR="0027683C" w:rsidRPr="00DB55C5">
        <w:rPr>
          <w:rFonts w:cs="Times New Roman"/>
          <w:spacing w:val="-3"/>
          <w:sz w:val="22"/>
          <w:szCs w:val="22"/>
        </w:rPr>
        <w:t xml:space="preserve"> </w:t>
      </w:r>
      <w:r w:rsidR="00BC533A" w:rsidRPr="00DB55C5">
        <w:rPr>
          <w:rFonts w:cs="Times New Roman"/>
          <w:color w:val="000000"/>
          <w:sz w:val="22"/>
          <w:szCs w:val="22"/>
        </w:rPr>
        <w:t xml:space="preserve">PG&amp;C also owned a portion of the property located immediately south of the existing site (i.e., </w:t>
      </w:r>
      <w:r w:rsidR="005A75FC">
        <w:rPr>
          <w:rFonts w:cs="Times New Roman"/>
          <w:color w:val="000000"/>
          <w:sz w:val="22"/>
          <w:szCs w:val="22"/>
        </w:rPr>
        <w:t xml:space="preserve">part of </w:t>
      </w:r>
      <w:r w:rsidR="00BC533A" w:rsidRPr="00DB55C5">
        <w:rPr>
          <w:rFonts w:cs="Times New Roman"/>
          <w:color w:val="000000"/>
          <w:sz w:val="22"/>
          <w:szCs w:val="22"/>
        </w:rPr>
        <w:t>the current Siltronic Corporation property) from 1939 until 1962.</w:t>
      </w:r>
      <w:r w:rsidR="0027683C" w:rsidRPr="00DB55C5">
        <w:rPr>
          <w:rFonts w:cs="Times New Roman"/>
          <w:spacing w:val="-3"/>
          <w:sz w:val="22"/>
          <w:szCs w:val="22"/>
        </w:rPr>
        <w:t xml:space="preserve">  </w:t>
      </w:r>
      <w:r w:rsidR="005560A3" w:rsidRPr="00DB55C5">
        <w:rPr>
          <w:rFonts w:cs="Times New Roman"/>
          <w:spacing w:val="-3"/>
          <w:sz w:val="22"/>
          <w:szCs w:val="22"/>
        </w:rPr>
        <w:t>PG&amp;C sold a</w:t>
      </w:r>
      <w:r w:rsidR="0027683C" w:rsidRPr="00DB55C5">
        <w:rPr>
          <w:rFonts w:cs="Times New Roman"/>
          <w:spacing w:val="-3"/>
          <w:sz w:val="22"/>
          <w:szCs w:val="22"/>
        </w:rPr>
        <w:t xml:space="preserve">pproximately 40 acres of the southern portion of the original property </w:t>
      </w:r>
      <w:r w:rsidR="005560A3" w:rsidRPr="00DB55C5">
        <w:rPr>
          <w:rFonts w:cs="Times New Roman"/>
          <w:spacing w:val="-3"/>
          <w:sz w:val="22"/>
          <w:szCs w:val="22"/>
        </w:rPr>
        <w:t>in 1962</w:t>
      </w:r>
      <w:r w:rsidR="00A84E24">
        <w:rPr>
          <w:rFonts w:cs="Times New Roman"/>
          <w:spacing w:val="-3"/>
          <w:sz w:val="22"/>
          <w:szCs w:val="22"/>
        </w:rPr>
        <w:t>.  S</w:t>
      </w:r>
      <w:r w:rsidR="0027683C" w:rsidRPr="00DB55C5">
        <w:rPr>
          <w:rFonts w:cs="Times New Roman"/>
          <w:spacing w:val="-3"/>
          <w:sz w:val="22"/>
          <w:szCs w:val="22"/>
        </w:rPr>
        <w:t xml:space="preserve">iltronic Corporation </w:t>
      </w:r>
      <w:r w:rsidR="00A84E24">
        <w:rPr>
          <w:rFonts w:cs="Times New Roman"/>
          <w:spacing w:val="-3"/>
          <w:sz w:val="22"/>
          <w:szCs w:val="22"/>
        </w:rPr>
        <w:t xml:space="preserve">purchased these 40 acres </w:t>
      </w:r>
      <w:r w:rsidR="0027683C" w:rsidRPr="00DB55C5">
        <w:rPr>
          <w:rFonts w:cs="Times New Roman"/>
          <w:spacing w:val="-3"/>
          <w:sz w:val="22"/>
          <w:szCs w:val="22"/>
        </w:rPr>
        <w:t xml:space="preserve">in 1978.  </w:t>
      </w:r>
    </w:p>
    <w:p w:rsidR="00A03B12" w:rsidRDefault="00A03B12" w:rsidP="004A3ADB">
      <w:pPr>
        <w:autoSpaceDE w:val="0"/>
        <w:autoSpaceDN w:val="0"/>
        <w:adjustRightInd w:val="0"/>
        <w:jc w:val="left"/>
        <w:rPr>
          <w:rFonts w:cs="Times New Roman"/>
          <w:spacing w:val="-3"/>
          <w:sz w:val="22"/>
          <w:szCs w:val="22"/>
        </w:rPr>
      </w:pPr>
    </w:p>
    <w:p w:rsidR="00DB55C5" w:rsidRPr="00DB55C5" w:rsidRDefault="00344090" w:rsidP="004A3ADB">
      <w:pPr>
        <w:autoSpaceDE w:val="0"/>
        <w:autoSpaceDN w:val="0"/>
        <w:adjustRightInd w:val="0"/>
        <w:jc w:val="left"/>
        <w:rPr>
          <w:rFonts w:cs="Times New Roman"/>
          <w:spacing w:val="-3"/>
          <w:sz w:val="22"/>
          <w:szCs w:val="22"/>
        </w:rPr>
      </w:pPr>
      <w:r w:rsidRPr="00DB55C5">
        <w:rPr>
          <w:rFonts w:cs="Times New Roman"/>
          <w:spacing w:val="-3"/>
          <w:sz w:val="22"/>
          <w:szCs w:val="22"/>
        </w:rPr>
        <w:t>Management of MGP wastes</w:t>
      </w:r>
      <w:r w:rsidR="005560A3" w:rsidRPr="00DB55C5">
        <w:rPr>
          <w:rFonts w:cs="Times New Roman"/>
          <w:color w:val="000000"/>
          <w:sz w:val="22"/>
          <w:szCs w:val="22"/>
        </w:rPr>
        <w:t xml:space="preserve"> occurred on the</w:t>
      </w:r>
      <w:r w:rsidRPr="00DB55C5">
        <w:rPr>
          <w:rFonts w:cs="Times New Roman"/>
          <w:color w:val="000000"/>
          <w:sz w:val="22"/>
          <w:szCs w:val="22"/>
        </w:rPr>
        <w:t xml:space="preserve"> NW Natural property </w:t>
      </w:r>
      <w:r w:rsidR="005560A3" w:rsidRPr="00DB55C5">
        <w:rPr>
          <w:rFonts w:cs="Times New Roman"/>
          <w:color w:val="000000"/>
          <w:sz w:val="22"/>
          <w:szCs w:val="22"/>
        </w:rPr>
        <w:t xml:space="preserve">throughout the </w:t>
      </w:r>
      <w:r w:rsidRPr="00DB55C5">
        <w:rPr>
          <w:rFonts w:cs="Times New Roman"/>
          <w:color w:val="000000"/>
          <w:sz w:val="22"/>
          <w:szCs w:val="22"/>
        </w:rPr>
        <w:t xml:space="preserve">life of the Gasco Facility (1913 through 1956).  </w:t>
      </w:r>
      <w:r w:rsidR="00253D43" w:rsidRPr="00DB55C5">
        <w:rPr>
          <w:rFonts w:cs="Times New Roman"/>
          <w:sz w:val="22"/>
          <w:szCs w:val="22"/>
        </w:rPr>
        <w:t xml:space="preserve">The Gasco Facility produced MGP waste that was placed in piles (lampblack, spent oxide, and gas purifier piles) and discharged to ponds (effluent discharge, settling, storage, and overflow ponds) located in non-production areas of the Gasco Facility.  </w:t>
      </w:r>
      <w:r w:rsidR="00DB55C5" w:rsidRPr="00DB55C5">
        <w:rPr>
          <w:rFonts w:cs="Times New Roman"/>
          <w:spacing w:val="-3"/>
          <w:sz w:val="22"/>
          <w:szCs w:val="22"/>
        </w:rPr>
        <w:t xml:space="preserve">From 1913 to 1941 wastewater and tar waste from the onsite processes were discharged to low lying areas of </w:t>
      </w:r>
      <w:r w:rsidR="00A03B12">
        <w:rPr>
          <w:rFonts w:cs="Times New Roman"/>
          <w:spacing w:val="-3"/>
          <w:sz w:val="22"/>
          <w:szCs w:val="22"/>
        </w:rPr>
        <w:t xml:space="preserve">the </w:t>
      </w:r>
      <w:r w:rsidR="00DB55C5" w:rsidRPr="00DB55C5">
        <w:rPr>
          <w:rFonts w:cs="Times New Roman"/>
          <w:spacing w:val="-3"/>
          <w:sz w:val="22"/>
          <w:szCs w:val="22"/>
        </w:rPr>
        <w:t xml:space="preserve">site </w:t>
      </w:r>
      <w:r w:rsidR="005B4B8D" w:rsidRPr="005B4B8D">
        <w:rPr>
          <w:color w:val="000000"/>
          <w:sz w:val="22"/>
        </w:rPr>
        <w:t xml:space="preserve">with </w:t>
      </w:r>
      <w:r w:rsidR="00DB55C5" w:rsidRPr="00DB55C5">
        <w:rPr>
          <w:rFonts w:cs="Times New Roman"/>
          <w:color w:val="000000"/>
          <w:sz w:val="22"/>
          <w:szCs w:val="22"/>
        </w:rPr>
        <w:t xml:space="preserve">drainage features leading from </w:t>
      </w:r>
      <w:r w:rsidR="005B4B8D" w:rsidRPr="005B4B8D">
        <w:rPr>
          <w:color w:val="000000"/>
          <w:sz w:val="22"/>
        </w:rPr>
        <w:t xml:space="preserve">the </w:t>
      </w:r>
      <w:r w:rsidR="00DB55C5" w:rsidRPr="00DB55C5">
        <w:rPr>
          <w:rFonts w:cs="Times New Roman"/>
          <w:color w:val="000000"/>
          <w:sz w:val="22"/>
          <w:szCs w:val="22"/>
        </w:rPr>
        <w:t>Gasco Facility pro</w:t>
      </w:r>
      <w:r w:rsidR="00DB55C5">
        <w:rPr>
          <w:rFonts w:cs="Times New Roman"/>
          <w:color w:val="000000"/>
          <w:sz w:val="22"/>
          <w:szCs w:val="22"/>
        </w:rPr>
        <w:t xml:space="preserve">duction area to the Willamette </w:t>
      </w:r>
      <w:r w:rsidR="00A01461">
        <w:rPr>
          <w:rFonts w:cs="Times New Roman"/>
          <w:color w:val="000000"/>
          <w:sz w:val="22"/>
          <w:szCs w:val="22"/>
        </w:rPr>
        <w:t>R</w:t>
      </w:r>
      <w:r w:rsidR="00DB55C5" w:rsidRPr="00DB55C5">
        <w:rPr>
          <w:rFonts w:cs="Times New Roman"/>
          <w:color w:val="000000"/>
          <w:sz w:val="22"/>
          <w:szCs w:val="22"/>
        </w:rPr>
        <w:t xml:space="preserve">iver.  </w:t>
      </w:r>
      <w:r w:rsidRPr="00DB55C5">
        <w:rPr>
          <w:rFonts w:cs="Times New Roman"/>
          <w:color w:val="000000"/>
          <w:sz w:val="22"/>
          <w:szCs w:val="22"/>
        </w:rPr>
        <w:t>On the adjoining Siltron</w:t>
      </w:r>
      <w:r w:rsidR="006F155B" w:rsidRPr="00DB55C5">
        <w:rPr>
          <w:rFonts w:cs="Times New Roman"/>
          <w:color w:val="000000"/>
          <w:sz w:val="22"/>
          <w:szCs w:val="22"/>
        </w:rPr>
        <w:t>ic</w:t>
      </w:r>
      <w:r w:rsidRPr="00DB55C5">
        <w:rPr>
          <w:rFonts w:cs="Times New Roman"/>
          <w:color w:val="000000"/>
          <w:sz w:val="22"/>
          <w:szCs w:val="22"/>
        </w:rPr>
        <w:t xml:space="preserve"> property </w:t>
      </w:r>
      <w:r w:rsidR="005560A3" w:rsidRPr="00DB55C5">
        <w:rPr>
          <w:rFonts w:cs="Times New Roman"/>
          <w:color w:val="000000"/>
          <w:sz w:val="22"/>
          <w:szCs w:val="22"/>
        </w:rPr>
        <w:t>MGP waste management activities occurred between approximately 1941 and 1956</w:t>
      </w:r>
      <w:r w:rsidR="00A84E24">
        <w:rPr>
          <w:rFonts w:cs="Times New Roman"/>
          <w:color w:val="000000"/>
          <w:sz w:val="22"/>
          <w:szCs w:val="22"/>
        </w:rPr>
        <w:t xml:space="preserve"> and involved </w:t>
      </w:r>
      <w:r w:rsidR="005A75FC">
        <w:rPr>
          <w:rFonts w:cs="Times New Roman"/>
          <w:color w:val="000000"/>
          <w:sz w:val="22"/>
          <w:szCs w:val="22"/>
        </w:rPr>
        <w:t xml:space="preserve">MGP waste </w:t>
      </w:r>
      <w:r w:rsidR="00A84E24">
        <w:rPr>
          <w:rFonts w:cs="Times New Roman"/>
          <w:color w:val="000000"/>
          <w:sz w:val="22"/>
          <w:szCs w:val="22"/>
        </w:rPr>
        <w:t xml:space="preserve">stockpiling </w:t>
      </w:r>
      <w:r w:rsidR="00610EBF">
        <w:rPr>
          <w:rFonts w:cs="Times New Roman"/>
          <w:color w:val="000000"/>
          <w:sz w:val="22"/>
          <w:szCs w:val="22"/>
        </w:rPr>
        <w:t xml:space="preserve">(e.g., spent oxide) </w:t>
      </w:r>
      <w:r w:rsidR="00A84E24">
        <w:rPr>
          <w:rFonts w:cs="Times New Roman"/>
          <w:color w:val="000000"/>
          <w:sz w:val="22"/>
          <w:szCs w:val="22"/>
        </w:rPr>
        <w:t xml:space="preserve">and discharging effluent to </w:t>
      </w:r>
      <w:r w:rsidR="00610EBF">
        <w:rPr>
          <w:rFonts w:cs="Times New Roman"/>
          <w:color w:val="000000"/>
          <w:sz w:val="22"/>
          <w:szCs w:val="22"/>
        </w:rPr>
        <w:t>ponds</w:t>
      </w:r>
      <w:r w:rsidR="005560A3" w:rsidRPr="00DB55C5">
        <w:rPr>
          <w:rFonts w:cs="Times New Roman"/>
          <w:color w:val="000000"/>
          <w:sz w:val="22"/>
          <w:szCs w:val="22"/>
        </w:rPr>
        <w:t xml:space="preserve">. </w:t>
      </w:r>
      <w:r w:rsidRPr="00DB55C5">
        <w:rPr>
          <w:rFonts w:cs="Times New Roman"/>
          <w:color w:val="000000"/>
          <w:sz w:val="22"/>
          <w:szCs w:val="22"/>
        </w:rPr>
        <w:t xml:space="preserve"> </w:t>
      </w:r>
      <w:r w:rsidR="005A75FC">
        <w:rPr>
          <w:rFonts w:cs="Times New Roman"/>
          <w:color w:val="000000"/>
          <w:sz w:val="22"/>
          <w:szCs w:val="22"/>
        </w:rPr>
        <w:t>The e</w:t>
      </w:r>
      <w:r w:rsidR="005A75FC">
        <w:rPr>
          <w:rFonts w:cs="Times New Roman"/>
          <w:spacing w:val="-3"/>
          <w:sz w:val="22"/>
          <w:szCs w:val="22"/>
        </w:rPr>
        <w:t>ffluent</w:t>
      </w:r>
      <w:r w:rsidR="0027683C" w:rsidRPr="00DB55C5">
        <w:rPr>
          <w:rFonts w:cs="Times New Roman"/>
          <w:spacing w:val="-3"/>
          <w:sz w:val="22"/>
          <w:szCs w:val="22"/>
        </w:rPr>
        <w:t xml:space="preserve"> ponds were located </w:t>
      </w:r>
      <w:r w:rsidR="005A75FC">
        <w:rPr>
          <w:rFonts w:cs="Times New Roman"/>
          <w:spacing w:val="-3"/>
          <w:sz w:val="22"/>
          <w:szCs w:val="22"/>
        </w:rPr>
        <w:t>in the northern portion of the Siltronic site</w:t>
      </w:r>
      <w:r w:rsidR="0027683C" w:rsidRPr="00DB55C5">
        <w:rPr>
          <w:rFonts w:cs="Times New Roman"/>
          <w:spacing w:val="-3"/>
          <w:sz w:val="22"/>
          <w:szCs w:val="22"/>
        </w:rPr>
        <w:t xml:space="preserve">.  </w:t>
      </w:r>
      <w:r w:rsidR="00DB55C5" w:rsidRPr="00DB55C5">
        <w:rPr>
          <w:rFonts w:cs="Times New Roman"/>
          <w:spacing w:val="-3"/>
          <w:sz w:val="22"/>
          <w:szCs w:val="22"/>
        </w:rPr>
        <w:t>In addition to the sources</w:t>
      </w:r>
      <w:r w:rsidR="00A03B12">
        <w:rPr>
          <w:rFonts w:cs="Times New Roman"/>
          <w:spacing w:val="-3"/>
          <w:sz w:val="22"/>
          <w:szCs w:val="22"/>
        </w:rPr>
        <w:t xml:space="preserve"> associated with the historic operations of the Gasco Facility</w:t>
      </w:r>
      <w:r w:rsidR="00DB55C5" w:rsidRPr="00DB55C5">
        <w:rPr>
          <w:rFonts w:cs="Times New Roman"/>
          <w:spacing w:val="-3"/>
          <w:sz w:val="22"/>
          <w:szCs w:val="22"/>
        </w:rPr>
        <w:t xml:space="preserve">, </w:t>
      </w:r>
      <w:r w:rsidR="00A03B12">
        <w:rPr>
          <w:rFonts w:cs="Times New Roman"/>
          <w:spacing w:val="-3"/>
          <w:sz w:val="22"/>
          <w:szCs w:val="22"/>
        </w:rPr>
        <w:t xml:space="preserve">releases from a </w:t>
      </w:r>
      <w:r w:rsidR="00824C94">
        <w:rPr>
          <w:rFonts w:cs="Times New Roman"/>
          <w:spacing w:val="-3"/>
          <w:sz w:val="22"/>
          <w:szCs w:val="22"/>
        </w:rPr>
        <w:t xml:space="preserve">former </w:t>
      </w:r>
      <w:r w:rsidR="00A03B12">
        <w:rPr>
          <w:rFonts w:cs="Times New Roman"/>
          <w:spacing w:val="-3"/>
          <w:sz w:val="22"/>
          <w:szCs w:val="22"/>
        </w:rPr>
        <w:t xml:space="preserve">solvent underground storage tank system </w:t>
      </w:r>
      <w:r w:rsidR="00824C94">
        <w:rPr>
          <w:rFonts w:cs="Times New Roman"/>
          <w:spacing w:val="-3"/>
          <w:sz w:val="22"/>
          <w:szCs w:val="22"/>
        </w:rPr>
        <w:t xml:space="preserve">(Former UST System) </w:t>
      </w:r>
      <w:r w:rsidR="00DB55C5" w:rsidRPr="00DB55C5">
        <w:rPr>
          <w:rFonts w:cs="Times New Roman"/>
          <w:spacing w:val="-3"/>
          <w:sz w:val="22"/>
          <w:szCs w:val="22"/>
        </w:rPr>
        <w:t xml:space="preserve">at the Siltronic site </w:t>
      </w:r>
      <w:r w:rsidR="005A75FC">
        <w:rPr>
          <w:rFonts w:cs="Times New Roman"/>
          <w:spacing w:val="-3"/>
          <w:sz w:val="22"/>
          <w:szCs w:val="22"/>
        </w:rPr>
        <w:t xml:space="preserve">resulted in </w:t>
      </w:r>
      <w:r w:rsidR="00DB55C5" w:rsidRPr="00DB55C5">
        <w:rPr>
          <w:rFonts w:cs="Times New Roman"/>
          <w:spacing w:val="-3"/>
          <w:sz w:val="22"/>
          <w:szCs w:val="22"/>
        </w:rPr>
        <w:t xml:space="preserve">groundwater </w:t>
      </w:r>
      <w:r w:rsidR="00665551">
        <w:rPr>
          <w:rFonts w:cs="Times New Roman"/>
          <w:spacing w:val="-3"/>
          <w:sz w:val="22"/>
          <w:szCs w:val="22"/>
        </w:rPr>
        <w:t xml:space="preserve">in the northern portion of the property </w:t>
      </w:r>
      <w:r w:rsidR="005A75FC">
        <w:rPr>
          <w:rFonts w:cs="Times New Roman"/>
          <w:spacing w:val="-3"/>
          <w:sz w:val="22"/>
          <w:szCs w:val="22"/>
        </w:rPr>
        <w:t xml:space="preserve">being contaminated by </w:t>
      </w:r>
      <w:r w:rsidR="00610EBF">
        <w:rPr>
          <w:rFonts w:cs="Times New Roman"/>
          <w:spacing w:val="-3"/>
          <w:sz w:val="22"/>
          <w:szCs w:val="22"/>
        </w:rPr>
        <w:t>chlorinated volatile organic compounds</w:t>
      </w:r>
      <w:r w:rsidR="005A75FC">
        <w:rPr>
          <w:rFonts w:cs="Times New Roman"/>
          <w:spacing w:val="-3"/>
          <w:sz w:val="22"/>
          <w:szCs w:val="22"/>
        </w:rPr>
        <w:t xml:space="preserve"> (</w:t>
      </w:r>
      <w:proofErr w:type="spellStart"/>
      <w:r w:rsidR="005A75FC">
        <w:rPr>
          <w:rFonts w:cs="Times New Roman"/>
          <w:spacing w:val="-3"/>
          <w:sz w:val="22"/>
          <w:szCs w:val="22"/>
        </w:rPr>
        <w:t>cVOCs</w:t>
      </w:r>
      <w:proofErr w:type="spellEnd"/>
      <w:r w:rsidR="005A75FC">
        <w:rPr>
          <w:rFonts w:cs="Times New Roman"/>
          <w:spacing w:val="-3"/>
          <w:sz w:val="22"/>
          <w:szCs w:val="22"/>
        </w:rPr>
        <w:t>)</w:t>
      </w:r>
      <w:r w:rsidR="00610EBF">
        <w:rPr>
          <w:rFonts w:cs="Times New Roman"/>
          <w:spacing w:val="-3"/>
          <w:sz w:val="22"/>
          <w:szCs w:val="22"/>
        </w:rPr>
        <w:t xml:space="preserve">, including </w:t>
      </w:r>
      <w:proofErr w:type="spellStart"/>
      <w:r w:rsidR="00DB55C5" w:rsidRPr="00F07C6A">
        <w:rPr>
          <w:rFonts w:cs="Times New Roman"/>
          <w:spacing w:val="-3"/>
          <w:sz w:val="22"/>
          <w:szCs w:val="22"/>
        </w:rPr>
        <w:t>trichloroeth</w:t>
      </w:r>
      <w:r w:rsidR="005A75FC" w:rsidRPr="00F07C6A">
        <w:rPr>
          <w:rFonts w:cs="Times New Roman"/>
          <w:spacing w:val="-3"/>
          <w:sz w:val="22"/>
          <w:szCs w:val="22"/>
        </w:rPr>
        <w:t>ene</w:t>
      </w:r>
      <w:proofErr w:type="spellEnd"/>
      <w:r w:rsidR="00DB55C5" w:rsidRPr="00DB55C5">
        <w:rPr>
          <w:rFonts w:cs="Times New Roman"/>
          <w:spacing w:val="-3"/>
          <w:sz w:val="22"/>
          <w:szCs w:val="22"/>
        </w:rPr>
        <w:t xml:space="preserve"> (TCE) and </w:t>
      </w:r>
      <w:r w:rsidR="00610EBF">
        <w:rPr>
          <w:rFonts w:cs="Times New Roman"/>
          <w:spacing w:val="-3"/>
          <w:sz w:val="22"/>
          <w:szCs w:val="22"/>
        </w:rPr>
        <w:t xml:space="preserve">its </w:t>
      </w:r>
      <w:r w:rsidR="00665551">
        <w:rPr>
          <w:rFonts w:cs="Times New Roman"/>
          <w:spacing w:val="-3"/>
          <w:sz w:val="22"/>
          <w:szCs w:val="22"/>
        </w:rPr>
        <w:t>associated degradation products including cis-1,2-dichloroethene, trans-1,2-dichloroethene, 1,1-dichloroethene, and vinyl chloride</w:t>
      </w:r>
      <w:r w:rsidR="00DB55C5" w:rsidRPr="00DB55C5">
        <w:rPr>
          <w:rFonts w:cs="Times New Roman"/>
          <w:spacing w:val="-3"/>
          <w:sz w:val="22"/>
          <w:szCs w:val="22"/>
        </w:rPr>
        <w:t xml:space="preserve">.  </w:t>
      </w:r>
    </w:p>
    <w:p w:rsidR="00DB55C5" w:rsidRPr="00DB55C5" w:rsidRDefault="00DB55C5" w:rsidP="005709F1">
      <w:pPr>
        <w:autoSpaceDE w:val="0"/>
        <w:autoSpaceDN w:val="0"/>
        <w:adjustRightInd w:val="0"/>
        <w:rPr>
          <w:rFonts w:cs="Times New Roman"/>
          <w:spacing w:val="-3"/>
          <w:sz w:val="22"/>
          <w:szCs w:val="22"/>
        </w:rPr>
      </w:pPr>
    </w:p>
    <w:p w:rsidR="00F07C6A" w:rsidRDefault="00DB55C5" w:rsidP="004A3ADB">
      <w:pPr>
        <w:autoSpaceDE w:val="0"/>
        <w:autoSpaceDN w:val="0"/>
        <w:adjustRightInd w:val="0"/>
        <w:jc w:val="left"/>
        <w:rPr>
          <w:rFonts w:cs="Times New Roman"/>
          <w:color w:val="000000"/>
          <w:sz w:val="22"/>
          <w:szCs w:val="22"/>
        </w:rPr>
      </w:pPr>
      <w:r w:rsidRPr="00DB55C5">
        <w:rPr>
          <w:sz w:val="22"/>
          <w:szCs w:val="22"/>
        </w:rPr>
        <w:t>Site investigations conducted to date in the uplands and offshore areas of the Gasco Site and the northern portion of the</w:t>
      </w:r>
      <w:r w:rsidR="00A84E24">
        <w:rPr>
          <w:sz w:val="22"/>
          <w:szCs w:val="22"/>
        </w:rPr>
        <w:t xml:space="preserve"> Siltronic Property</w:t>
      </w:r>
      <w:r w:rsidRPr="00DB55C5">
        <w:rPr>
          <w:sz w:val="22"/>
          <w:szCs w:val="22"/>
        </w:rPr>
        <w:t xml:space="preserve"> have determined that</w:t>
      </w:r>
      <w:r w:rsidRPr="00DB55C5">
        <w:rPr>
          <w:rFonts w:cs="Times New Roman"/>
          <w:spacing w:val="-3"/>
          <w:sz w:val="22"/>
          <w:szCs w:val="22"/>
        </w:rPr>
        <w:t xml:space="preserve"> </w:t>
      </w:r>
      <w:r w:rsidR="00C00E4E" w:rsidRPr="00DB55C5">
        <w:rPr>
          <w:sz w:val="22"/>
          <w:szCs w:val="22"/>
        </w:rPr>
        <w:t xml:space="preserve">MGP waste and </w:t>
      </w:r>
      <w:r w:rsidR="00824C94">
        <w:rPr>
          <w:sz w:val="22"/>
          <w:szCs w:val="22"/>
        </w:rPr>
        <w:t xml:space="preserve">releases from the Former UST System have </w:t>
      </w:r>
      <w:r w:rsidR="00C00E4E" w:rsidRPr="00DB55C5">
        <w:rPr>
          <w:sz w:val="22"/>
          <w:szCs w:val="22"/>
        </w:rPr>
        <w:t xml:space="preserve">impacted groundwater occurring in the fill </w:t>
      </w:r>
      <w:r w:rsidRPr="00DB55C5">
        <w:rPr>
          <w:sz w:val="22"/>
          <w:szCs w:val="22"/>
        </w:rPr>
        <w:t>and underlying alluvium.</w:t>
      </w:r>
      <w:r w:rsidR="005B4B8D" w:rsidRPr="005B4B8D">
        <w:rPr>
          <w:sz w:val="22"/>
        </w:rPr>
        <w:t xml:space="preserve">  </w:t>
      </w:r>
      <w:r w:rsidR="00AA4843" w:rsidRPr="00DB55C5">
        <w:rPr>
          <w:rFonts w:cs="Times New Roman"/>
          <w:spacing w:val="-3"/>
          <w:sz w:val="22"/>
          <w:szCs w:val="22"/>
        </w:rPr>
        <w:t xml:space="preserve">In general, </w:t>
      </w:r>
      <w:r w:rsidR="0027683C" w:rsidRPr="00DB55C5">
        <w:rPr>
          <w:rFonts w:cs="Times New Roman"/>
          <w:spacing w:val="-3"/>
          <w:sz w:val="22"/>
          <w:szCs w:val="22"/>
        </w:rPr>
        <w:t xml:space="preserve">contaminated groundwater </w:t>
      </w:r>
      <w:r w:rsidR="00665551">
        <w:rPr>
          <w:rFonts w:cs="Times New Roman"/>
          <w:spacing w:val="-3"/>
          <w:sz w:val="22"/>
          <w:szCs w:val="22"/>
        </w:rPr>
        <w:t xml:space="preserve">in the fill and alluvium </w:t>
      </w:r>
      <w:r w:rsidR="0027683C" w:rsidRPr="00DB55C5">
        <w:rPr>
          <w:rFonts w:cs="Times New Roman"/>
          <w:spacing w:val="-3"/>
          <w:sz w:val="22"/>
          <w:szCs w:val="22"/>
        </w:rPr>
        <w:t xml:space="preserve">has been migrating to the portion of the Willamette </w:t>
      </w:r>
      <w:r w:rsidR="00014C7B">
        <w:rPr>
          <w:rFonts w:cs="Times New Roman"/>
          <w:spacing w:val="-3"/>
          <w:sz w:val="22"/>
          <w:szCs w:val="22"/>
        </w:rPr>
        <w:t>R</w:t>
      </w:r>
      <w:r w:rsidR="0027683C" w:rsidRPr="00DB55C5">
        <w:rPr>
          <w:rFonts w:cs="Times New Roman"/>
          <w:spacing w:val="-3"/>
          <w:sz w:val="22"/>
          <w:szCs w:val="22"/>
        </w:rPr>
        <w:t xml:space="preserve">iver that </w:t>
      </w:r>
      <w:r w:rsidR="0027683C" w:rsidRPr="00DB55C5">
        <w:rPr>
          <w:rFonts w:cs="Times New Roman"/>
          <w:color w:val="000000"/>
          <w:sz w:val="22"/>
          <w:szCs w:val="22"/>
        </w:rPr>
        <w:t>was listed on the National Priorities List (“Superfund”</w:t>
      </w:r>
      <w:r w:rsidR="00AA4843" w:rsidRPr="00DB55C5">
        <w:rPr>
          <w:rFonts w:cs="Times New Roman"/>
          <w:color w:val="000000"/>
          <w:sz w:val="22"/>
          <w:szCs w:val="22"/>
        </w:rPr>
        <w:t xml:space="preserve"> list</w:t>
      </w:r>
      <w:r w:rsidR="0027683C" w:rsidRPr="00DB55C5">
        <w:rPr>
          <w:rFonts w:cs="Times New Roman"/>
          <w:color w:val="000000"/>
          <w:sz w:val="22"/>
          <w:szCs w:val="22"/>
        </w:rPr>
        <w:t>) in December 2000 for contaminated sediments.</w:t>
      </w:r>
      <w:r w:rsidR="00665551">
        <w:rPr>
          <w:rFonts w:cs="Times New Roman"/>
          <w:color w:val="000000"/>
          <w:sz w:val="22"/>
          <w:szCs w:val="22"/>
        </w:rPr>
        <w:t xml:space="preserve">  </w:t>
      </w:r>
    </w:p>
    <w:p w:rsidR="00964597" w:rsidRDefault="00964597">
      <w:pPr>
        <w:autoSpaceDE w:val="0"/>
        <w:autoSpaceDN w:val="0"/>
        <w:adjustRightInd w:val="0"/>
        <w:rPr>
          <w:rFonts w:cs="Times New Roman"/>
          <w:color w:val="000000"/>
          <w:sz w:val="22"/>
          <w:szCs w:val="22"/>
        </w:rPr>
      </w:pPr>
    </w:p>
    <w:p w:rsidR="0027683C" w:rsidRDefault="00885C66" w:rsidP="00885C66">
      <w:pPr>
        <w:pStyle w:val="BalloonText"/>
        <w:jc w:val="center"/>
        <w:rPr>
          <w:rFonts w:ascii="Times New Roman" w:hAnsi="Times New Roman" w:cs="Times New Roman"/>
          <w:spacing w:val="-3"/>
        </w:rPr>
      </w:pPr>
      <w:r>
        <w:rPr>
          <w:rFonts w:ascii="Times New Roman" w:hAnsi="Times New Roman" w:cs="Times New Roman"/>
          <w:noProof/>
          <w:spacing w:val="-3"/>
        </w:rPr>
        <w:drawing>
          <wp:inline distT="0" distB="0" distL="0" distR="0">
            <wp:extent cx="5319180" cy="4286708"/>
            <wp:effectExtent l="19050" t="0" r="0" b="0"/>
            <wp:docPr id="6" name="Picture 5" descr="Gasco Loc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co Location.bmp"/>
                    <pic:cNvPicPr/>
                  </pic:nvPicPr>
                  <pic:blipFill>
                    <a:blip r:embed="rId10"/>
                    <a:srcRect l="7200" r="8115" b="9267"/>
                    <a:stretch>
                      <a:fillRect/>
                    </a:stretch>
                  </pic:blipFill>
                  <pic:spPr>
                    <a:xfrm>
                      <a:off x="0" y="0"/>
                      <a:ext cx="5324106" cy="4290678"/>
                    </a:xfrm>
                    <a:prstGeom prst="rect">
                      <a:avLst/>
                    </a:prstGeom>
                  </pic:spPr>
                </pic:pic>
              </a:graphicData>
            </a:graphic>
          </wp:inline>
        </w:drawing>
      </w:r>
    </w:p>
    <w:p w:rsidR="0027683C" w:rsidRPr="00664BFB" w:rsidRDefault="0027683C">
      <w:pPr>
        <w:tabs>
          <w:tab w:val="left" w:pos="-1440"/>
          <w:tab w:val="left" w:pos="-720"/>
          <w:tab w:val="left" w:pos="4320"/>
        </w:tabs>
        <w:suppressAutoHyphens/>
        <w:jc w:val="center"/>
        <w:rPr>
          <w:rFonts w:cs="Times New Roman"/>
          <w:sz w:val="8"/>
          <w:szCs w:val="8"/>
        </w:rPr>
      </w:pPr>
    </w:p>
    <w:p w:rsidR="0027683C" w:rsidRPr="00664BFB" w:rsidRDefault="0027683C" w:rsidP="00B54A19">
      <w:pPr>
        <w:pStyle w:val="BodyText2"/>
        <w:spacing w:after="0" w:line="240" w:lineRule="auto"/>
        <w:ind w:left="-360"/>
        <w:jc w:val="center"/>
        <w:rPr>
          <w:color w:val="000000" w:themeColor="text1"/>
          <w:sz w:val="22"/>
          <w:szCs w:val="22"/>
        </w:rPr>
      </w:pPr>
      <w:r w:rsidRPr="00664BFB">
        <w:rPr>
          <w:color w:val="000000" w:themeColor="text1"/>
          <w:sz w:val="22"/>
          <w:szCs w:val="22"/>
        </w:rPr>
        <w:t xml:space="preserve">Figure </w:t>
      </w:r>
      <w:r w:rsidR="00D62243" w:rsidRPr="00664BFB">
        <w:rPr>
          <w:color w:val="000000" w:themeColor="text1"/>
          <w:sz w:val="22"/>
          <w:szCs w:val="22"/>
        </w:rPr>
        <w:fldChar w:fldCharType="begin"/>
      </w:r>
      <w:r w:rsidRPr="00664BFB">
        <w:rPr>
          <w:color w:val="000000" w:themeColor="text1"/>
          <w:sz w:val="22"/>
          <w:szCs w:val="22"/>
        </w:rPr>
        <w:instrText xml:space="preserve"> SEQ Figure \* ARABIC </w:instrText>
      </w:r>
      <w:r w:rsidR="00D62243" w:rsidRPr="00664BFB">
        <w:rPr>
          <w:color w:val="000000" w:themeColor="text1"/>
          <w:sz w:val="22"/>
          <w:szCs w:val="22"/>
        </w:rPr>
        <w:fldChar w:fldCharType="separate"/>
      </w:r>
      <w:r w:rsidR="00D63347" w:rsidRPr="00664BFB">
        <w:rPr>
          <w:noProof/>
          <w:color w:val="000000" w:themeColor="text1"/>
          <w:sz w:val="22"/>
          <w:szCs w:val="22"/>
        </w:rPr>
        <w:t>1</w:t>
      </w:r>
      <w:r w:rsidR="00D62243" w:rsidRPr="00664BFB">
        <w:rPr>
          <w:color w:val="000000" w:themeColor="text1"/>
          <w:sz w:val="22"/>
          <w:szCs w:val="22"/>
        </w:rPr>
        <w:fldChar w:fldCharType="end"/>
      </w:r>
      <w:r w:rsidRPr="00664BFB">
        <w:rPr>
          <w:color w:val="000000" w:themeColor="text1"/>
          <w:sz w:val="22"/>
          <w:szCs w:val="22"/>
        </w:rPr>
        <w:t>:  Facility Location</w:t>
      </w:r>
    </w:p>
    <w:p w:rsidR="0027683C" w:rsidRDefault="0027683C" w:rsidP="003A4331">
      <w:pPr>
        <w:pStyle w:val="Asteve13B"/>
        <w:spacing w:before="120"/>
      </w:pPr>
      <w:bookmarkStart w:id="27" w:name="_Toc197758192"/>
      <w:r>
        <w:t>2.2 Wastewater Characteristics, Treatment</w:t>
      </w:r>
      <w:bookmarkEnd w:id="27"/>
      <w:r>
        <w:t xml:space="preserve"> and Discharge</w:t>
      </w:r>
    </w:p>
    <w:p w:rsidR="0027683C" w:rsidRDefault="00665551" w:rsidP="004A3ADB">
      <w:pPr>
        <w:jc w:val="left"/>
        <w:rPr>
          <w:rFonts w:cs="Times New Roman"/>
          <w:sz w:val="22"/>
          <w:szCs w:val="22"/>
        </w:rPr>
      </w:pPr>
      <w:r>
        <w:rPr>
          <w:rFonts w:cs="Times New Roman"/>
          <w:sz w:val="22"/>
          <w:szCs w:val="22"/>
        </w:rPr>
        <w:t>DEQ determined that the fill</w:t>
      </w:r>
      <w:r w:rsidR="005B4B8D" w:rsidRPr="005B4B8D">
        <w:rPr>
          <w:sz w:val="22"/>
        </w:rPr>
        <w:t xml:space="preserve"> and </w:t>
      </w:r>
      <w:r w:rsidR="0073323E">
        <w:rPr>
          <w:rFonts w:cs="Times New Roman"/>
          <w:sz w:val="22"/>
          <w:szCs w:val="22"/>
        </w:rPr>
        <w:t xml:space="preserve">alluvium are </w:t>
      </w:r>
      <w:r>
        <w:rPr>
          <w:rFonts w:cs="Times New Roman"/>
          <w:sz w:val="22"/>
          <w:szCs w:val="22"/>
        </w:rPr>
        <w:t>high priorit</w:t>
      </w:r>
      <w:r w:rsidR="00A824A8">
        <w:rPr>
          <w:rFonts w:cs="Times New Roman"/>
          <w:sz w:val="22"/>
          <w:szCs w:val="22"/>
        </w:rPr>
        <w:t>y</w:t>
      </w:r>
      <w:r>
        <w:rPr>
          <w:rFonts w:cs="Times New Roman"/>
          <w:sz w:val="22"/>
          <w:szCs w:val="22"/>
        </w:rPr>
        <w:t xml:space="preserve"> </w:t>
      </w:r>
      <w:r w:rsidR="0073323E">
        <w:rPr>
          <w:rFonts w:cs="Times New Roman"/>
          <w:sz w:val="22"/>
          <w:szCs w:val="22"/>
        </w:rPr>
        <w:t xml:space="preserve">groundwater </w:t>
      </w:r>
      <w:r>
        <w:rPr>
          <w:rFonts w:cs="Times New Roman"/>
          <w:sz w:val="22"/>
          <w:szCs w:val="22"/>
        </w:rPr>
        <w:t xml:space="preserve">contaminant transport pathways to the Willamette </w:t>
      </w:r>
      <w:r w:rsidR="00AE58F4">
        <w:rPr>
          <w:rFonts w:cs="Times New Roman"/>
          <w:sz w:val="22"/>
          <w:szCs w:val="22"/>
        </w:rPr>
        <w:t>R</w:t>
      </w:r>
      <w:r>
        <w:rPr>
          <w:rFonts w:cs="Times New Roman"/>
          <w:sz w:val="22"/>
          <w:szCs w:val="22"/>
        </w:rPr>
        <w:t xml:space="preserve">iver that warrant source control.  NW Natural is constructing </w:t>
      </w:r>
      <w:r w:rsidR="00A824A8">
        <w:rPr>
          <w:rFonts w:cs="Times New Roman"/>
          <w:sz w:val="22"/>
          <w:szCs w:val="22"/>
        </w:rPr>
        <w:t xml:space="preserve">a source control measure for the alluvium that consists of </w:t>
      </w:r>
      <w:r w:rsidR="0027683C">
        <w:rPr>
          <w:rFonts w:cs="Times New Roman"/>
          <w:sz w:val="22"/>
          <w:szCs w:val="22"/>
        </w:rPr>
        <w:t>a series of groundwater extr</w:t>
      </w:r>
      <w:r w:rsidR="00824C94">
        <w:rPr>
          <w:rFonts w:cs="Times New Roman"/>
          <w:sz w:val="22"/>
          <w:szCs w:val="22"/>
        </w:rPr>
        <w:t>action wells along the shoreline of the Gasco S</w:t>
      </w:r>
      <w:r w:rsidR="0027683C">
        <w:rPr>
          <w:rFonts w:cs="Times New Roman"/>
          <w:sz w:val="22"/>
          <w:szCs w:val="22"/>
        </w:rPr>
        <w:t xml:space="preserve">ite and the </w:t>
      </w:r>
      <w:r w:rsidR="00824C94">
        <w:rPr>
          <w:rFonts w:cs="Times New Roman"/>
          <w:sz w:val="22"/>
          <w:szCs w:val="22"/>
        </w:rPr>
        <w:t xml:space="preserve">northern portion of the </w:t>
      </w:r>
      <w:r w:rsidR="0027683C">
        <w:rPr>
          <w:rFonts w:cs="Times New Roman"/>
          <w:sz w:val="22"/>
          <w:szCs w:val="22"/>
        </w:rPr>
        <w:t xml:space="preserve">Siltronic site.  The </w:t>
      </w:r>
      <w:r w:rsidR="00824C94">
        <w:rPr>
          <w:rFonts w:cs="Times New Roman"/>
          <w:sz w:val="22"/>
          <w:szCs w:val="22"/>
        </w:rPr>
        <w:t xml:space="preserve">design objective </w:t>
      </w:r>
      <w:r w:rsidR="0027683C">
        <w:rPr>
          <w:rFonts w:cs="Times New Roman"/>
          <w:sz w:val="22"/>
          <w:szCs w:val="22"/>
        </w:rPr>
        <w:t>of this extraction system is to reverse the groundwater hydraulic gradient</w:t>
      </w:r>
      <w:r w:rsidR="00824C94">
        <w:rPr>
          <w:rFonts w:cs="Times New Roman"/>
          <w:sz w:val="22"/>
          <w:szCs w:val="22"/>
        </w:rPr>
        <w:t xml:space="preserve"> from the river </w:t>
      </w:r>
      <w:r w:rsidR="00A824A8">
        <w:rPr>
          <w:rFonts w:cs="Times New Roman"/>
          <w:sz w:val="22"/>
          <w:szCs w:val="22"/>
        </w:rPr>
        <w:t xml:space="preserve">back </w:t>
      </w:r>
      <w:r w:rsidR="00824C94">
        <w:rPr>
          <w:rFonts w:cs="Times New Roman"/>
          <w:sz w:val="22"/>
          <w:szCs w:val="22"/>
        </w:rPr>
        <w:t xml:space="preserve">towards the uplands.  Groundwater conditions </w:t>
      </w:r>
      <w:r w:rsidR="0027683C">
        <w:rPr>
          <w:rFonts w:cs="Times New Roman"/>
          <w:sz w:val="22"/>
          <w:szCs w:val="22"/>
        </w:rPr>
        <w:t>currently result in the discharge of contaminated groundwater into th</w:t>
      </w:r>
      <w:r w:rsidR="00A824A8">
        <w:rPr>
          <w:rFonts w:cs="Times New Roman"/>
          <w:sz w:val="22"/>
          <w:szCs w:val="22"/>
        </w:rPr>
        <w:t xml:space="preserve">e Willamette River untreated.  </w:t>
      </w:r>
      <w:r w:rsidR="0027683C">
        <w:rPr>
          <w:rFonts w:cs="Times New Roman"/>
          <w:sz w:val="22"/>
          <w:szCs w:val="22"/>
        </w:rPr>
        <w:t xml:space="preserve">The treated effluent proposed for discharge under the NPDES permit is effluent from a wastewater treatment system.  </w:t>
      </w:r>
      <w:r w:rsidR="00212C9C">
        <w:rPr>
          <w:rFonts w:cs="Times New Roman"/>
          <w:sz w:val="22"/>
          <w:szCs w:val="22"/>
        </w:rPr>
        <w:t>Initially t</w:t>
      </w:r>
      <w:r w:rsidR="00824C94">
        <w:rPr>
          <w:rFonts w:cs="Times New Roman"/>
          <w:sz w:val="22"/>
          <w:szCs w:val="22"/>
        </w:rPr>
        <w:t>his system will be treating the</w:t>
      </w:r>
      <w:r w:rsidR="0027683C">
        <w:rPr>
          <w:rFonts w:cs="Times New Roman"/>
          <w:sz w:val="22"/>
          <w:szCs w:val="22"/>
        </w:rPr>
        <w:t xml:space="preserve"> groundwater</w:t>
      </w:r>
      <w:r w:rsidR="00824C94">
        <w:rPr>
          <w:rFonts w:cs="Times New Roman"/>
          <w:sz w:val="22"/>
          <w:szCs w:val="22"/>
        </w:rPr>
        <w:t xml:space="preserve"> removed by extraction wells</w:t>
      </w:r>
      <w:r w:rsidR="0027683C">
        <w:rPr>
          <w:rFonts w:cs="Times New Roman"/>
          <w:sz w:val="22"/>
          <w:szCs w:val="22"/>
        </w:rPr>
        <w:t xml:space="preserve">, as well as a much smaller volume of stormwater and intercepted groundwater from the site’s operational LNG tank basin.  </w:t>
      </w:r>
      <w:r w:rsidR="00212C9C">
        <w:rPr>
          <w:rFonts w:cs="Times New Roman"/>
          <w:sz w:val="22"/>
          <w:szCs w:val="22"/>
        </w:rPr>
        <w:t>A future source of water to the treatment system will be a trench designed to intercept groundwater in the fill</w:t>
      </w:r>
      <w:r w:rsidR="00212C9C" w:rsidRPr="00614D7A">
        <w:rPr>
          <w:rFonts w:cs="Times New Roman"/>
          <w:sz w:val="22"/>
          <w:szCs w:val="22"/>
        </w:rPr>
        <w:t xml:space="preserve">.  </w:t>
      </w:r>
      <w:r w:rsidR="00614D7A" w:rsidRPr="00614D7A">
        <w:rPr>
          <w:rFonts w:cs="Times New Roman"/>
          <w:sz w:val="22"/>
          <w:szCs w:val="22"/>
        </w:rPr>
        <w:t xml:space="preserve">A </w:t>
      </w:r>
      <w:r w:rsidR="00614D7A" w:rsidRPr="00614D7A">
        <w:rPr>
          <w:sz w:val="22"/>
          <w:szCs w:val="22"/>
        </w:rPr>
        <w:t>work plan for investigation of potential interceptor trench routes is scheduled to be submitted to DEQ in June, 2013.</w:t>
      </w:r>
    </w:p>
    <w:p w:rsidR="00B54A19" w:rsidRDefault="00B54A19">
      <w:pPr>
        <w:jc w:val="left"/>
        <w:rPr>
          <w:rFonts w:cs="Times New Roman"/>
          <w:sz w:val="22"/>
          <w:szCs w:val="22"/>
        </w:rPr>
      </w:pPr>
      <w:r>
        <w:rPr>
          <w:rFonts w:cs="Times New Roman"/>
          <w:sz w:val="22"/>
          <w:szCs w:val="22"/>
        </w:rPr>
        <w:br w:type="page"/>
      </w:r>
    </w:p>
    <w:p w:rsidR="0027683C" w:rsidRDefault="0027683C" w:rsidP="00B54A19">
      <w:pPr>
        <w:spacing w:before="120"/>
        <w:rPr>
          <w:rFonts w:ascii="Arial" w:hAnsi="Arial" w:cs="Arial"/>
          <w:b/>
          <w:bCs/>
        </w:rPr>
      </w:pPr>
      <w:r>
        <w:rPr>
          <w:rFonts w:ascii="Arial" w:hAnsi="Arial" w:cs="Arial"/>
          <w:b/>
          <w:bCs/>
        </w:rPr>
        <w:lastRenderedPageBreak/>
        <w:t xml:space="preserve">2.2.1 Wastewater Treatment System </w:t>
      </w:r>
    </w:p>
    <w:p w:rsidR="0027683C" w:rsidRDefault="0027683C" w:rsidP="00A43072">
      <w:pPr>
        <w:jc w:val="left"/>
        <w:rPr>
          <w:rFonts w:cs="Times New Roman"/>
          <w:sz w:val="22"/>
          <w:szCs w:val="22"/>
        </w:rPr>
      </w:pPr>
      <w:r>
        <w:rPr>
          <w:rFonts w:cs="Times New Roman"/>
          <w:sz w:val="22"/>
          <w:szCs w:val="22"/>
        </w:rPr>
        <w:t>The treatment system to be constructed on the site will be an advanced system, designed with the objective of being able to meet pertinent ambient water quality standards at the point of discharge (i.e., without a</w:t>
      </w:r>
      <w:r w:rsidR="003A4331">
        <w:rPr>
          <w:rFonts w:cs="Times New Roman"/>
          <w:sz w:val="22"/>
          <w:szCs w:val="22"/>
        </w:rPr>
        <w:t>n allocated</w:t>
      </w:r>
      <w:r>
        <w:rPr>
          <w:rFonts w:cs="Times New Roman"/>
          <w:sz w:val="22"/>
          <w:szCs w:val="22"/>
        </w:rPr>
        <w:t xml:space="preserve"> mixing zone</w:t>
      </w:r>
      <w:r w:rsidR="003A4331">
        <w:rPr>
          <w:rFonts w:cs="Times New Roman"/>
          <w:sz w:val="22"/>
          <w:szCs w:val="22"/>
        </w:rPr>
        <w:t xml:space="preserve"> within the river</w:t>
      </w:r>
      <w:r>
        <w:rPr>
          <w:rFonts w:cs="Times New Roman"/>
          <w:sz w:val="22"/>
          <w:szCs w:val="22"/>
        </w:rPr>
        <w:t xml:space="preserve">).  This design objective required by the Department is more stringent than that applied to typical discharges due to </w:t>
      </w:r>
      <w:r w:rsidR="005D178C">
        <w:rPr>
          <w:rFonts w:cs="Times New Roman"/>
          <w:sz w:val="22"/>
          <w:szCs w:val="22"/>
        </w:rPr>
        <w:t xml:space="preserve">the </w:t>
      </w:r>
      <w:r>
        <w:rPr>
          <w:rFonts w:cs="Times New Roman"/>
          <w:sz w:val="22"/>
          <w:szCs w:val="22"/>
        </w:rPr>
        <w:t xml:space="preserve">relationship between the sites’ groundwater and the listing of the lower Willamette River on the </w:t>
      </w:r>
      <w:r>
        <w:rPr>
          <w:rFonts w:cs="Times New Roman"/>
          <w:color w:val="000000"/>
          <w:sz w:val="22"/>
          <w:szCs w:val="22"/>
        </w:rPr>
        <w:t>National Priorities List (“Superfund”</w:t>
      </w:r>
      <w:r w:rsidR="00837923">
        <w:rPr>
          <w:rFonts w:cs="Times New Roman"/>
          <w:color w:val="000000"/>
          <w:sz w:val="22"/>
          <w:szCs w:val="22"/>
        </w:rPr>
        <w:t xml:space="preserve"> list</w:t>
      </w:r>
      <w:r>
        <w:rPr>
          <w:rFonts w:cs="Times New Roman"/>
          <w:color w:val="000000"/>
          <w:sz w:val="22"/>
          <w:szCs w:val="22"/>
        </w:rPr>
        <w:t>).</w:t>
      </w:r>
      <w:r>
        <w:rPr>
          <w:rFonts w:cs="Times New Roman"/>
          <w:sz w:val="22"/>
          <w:szCs w:val="22"/>
        </w:rPr>
        <w:t xml:space="preserve">    </w:t>
      </w:r>
    </w:p>
    <w:p w:rsidR="0027683C" w:rsidRDefault="0027683C" w:rsidP="00A43072">
      <w:pPr>
        <w:jc w:val="left"/>
        <w:rPr>
          <w:rFonts w:cs="Times New Roman"/>
          <w:sz w:val="22"/>
          <w:szCs w:val="22"/>
        </w:rPr>
      </w:pPr>
    </w:p>
    <w:p w:rsidR="0027683C" w:rsidRDefault="0027683C" w:rsidP="00A43072">
      <w:pPr>
        <w:jc w:val="left"/>
        <w:rPr>
          <w:rFonts w:cs="Times New Roman"/>
          <w:sz w:val="22"/>
          <w:szCs w:val="22"/>
        </w:rPr>
      </w:pPr>
      <w:r>
        <w:rPr>
          <w:rFonts w:cs="Times New Roman"/>
          <w:sz w:val="22"/>
          <w:szCs w:val="22"/>
        </w:rPr>
        <w:t>NW Natural’s treatment plant consultants initially conducted a bench-scale treatment study in an off-site laboratory.  The results of this study were then used to assist in the de</w:t>
      </w:r>
      <w:r w:rsidR="00BA32E7">
        <w:rPr>
          <w:rFonts w:cs="Times New Roman"/>
          <w:sz w:val="22"/>
          <w:szCs w:val="22"/>
        </w:rPr>
        <w:t xml:space="preserve">sign of a pilot treatment plant, which </w:t>
      </w:r>
      <w:r>
        <w:rPr>
          <w:rFonts w:cs="Times New Roman"/>
          <w:sz w:val="22"/>
          <w:szCs w:val="22"/>
        </w:rPr>
        <w:t>was operated for approximately</w:t>
      </w:r>
      <w:r w:rsidR="00BA32E7">
        <w:rPr>
          <w:rFonts w:cs="Times New Roman"/>
          <w:sz w:val="22"/>
          <w:szCs w:val="22"/>
        </w:rPr>
        <w:t xml:space="preserve"> 5 weeks in the summer of 2009</w:t>
      </w:r>
      <w:r>
        <w:rPr>
          <w:rFonts w:cs="Times New Roman"/>
          <w:sz w:val="22"/>
          <w:szCs w:val="22"/>
        </w:rPr>
        <w:t>.  A report on the pilot treatment system (</w:t>
      </w:r>
      <w:r>
        <w:rPr>
          <w:rFonts w:cs="Times New Roman"/>
          <w:i/>
          <w:iCs/>
          <w:sz w:val="22"/>
          <w:szCs w:val="22"/>
        </w:rPr>
        <w:t>NW Natural and Siltronic Groundwater Treatment Pilot Plant Report</w:t>
      </w:r>
      <w:r>
        <w:rPr>
          <w:rFonts w:cs="Times New Roman"/>
          <w:sz w:val="22"/>
          <w:szCs w:val="22"/>
        </w:rPr>
        <w:t>, Sevensen Environmental Services, Inc., 12/2009) indicated that the selected processes were adequate to control each of the pollutants of concern with the exception of total cyanide.  As discussed in detail in Section 3.4 below, removal of total cyanide in the groundwater has proven to be difficult.  As such, it was decided that the final treatment plant would incorporate a cyanide destruction process capable of using either of the two processes with the most potential to meet the total cyanide criteria</w:t>
      </w:r>
      <w:r w:rsidR="00BA32E7">
        <w:rPr>
          <w:rFonts w:cs="Times New Roman"/>
          <w:sz w:val="22"/>
          <w:szCs w:val="22"/>
        </w:rPr>
        <w:t>.</w:t>
      </w:r>
      <w:r>
        <w:rPr>
          <w:rFonts w:cs="Times New Roman"/>
          <w:sz w:val="22"/>
          <w:szCs w:val="22"/>
        </w:rPr>
        <w:t xml:space="preserve"> </w:t>
      </w:r>
      <w:r w:rsidR="00664BFB">
        <w:rPr>
          <w:rFonts w:cs="Times New Roman"/>
          <w:sz w:val="22"/>
          <w:szCs w:val="22"/>
        </w:rPr>
        <w:t xml:space="preserve"> </w:t>
      </w:r>
      <w:r w:rsidR="00BA32E7">
        <w:rPr>
          <w:rFonts w:cs="Times New Roman"/>
          <w:sz w:val="22"/>
          <w:szCs w:val="22"/>
        </w:rPr>
        <w:t xml:space="preserve">These </w:t>
      </w:r>
      <w:r>
        <w:rPr>
          <w:rFonts w:cs="Times New Roman"/>
          <w:sz w:val="22"/>
          <w:szCs w:val="22"/>
        </w:rPr>
        <w:t>processes us</w:t>
      </w:r>
      <w:r w:rsidR="00BA32E7">
        <w:rPr>
          <w:rFonts w:cs="Times New Roman"/>
          <w:sz w:val="22"/>
          <w:szCs w:val="22"/>
        </w:rPr>
        <w:t>e</w:t>
      </w:r>
      <w:r>
        <w:rPr>
          <w:rFonts w:cs="Times New Roman"/>
          <w:sz w:val="22"/>
          <w:szCs w:val="22"/>
        </w:rPr>
        <w:t xml:space="preserve"> either sodium hypochlorite or hydrogen peroxide</w:t>
      </w:r>
      <w:r w:rsidR="00664BFB">
        <w:rPr>
          <w:rFonts w:cs="Times New Roman"/>
          <w:sz w:val="22"/>
          <w:szCs w:val="22"/>
        </w:rPr>
        <w:t>.</w:t>
      </w:r>
    </w:p>
    <w:p w:rsidR="0027683C" w:rsidRDefault="0027683C" w:rsidP="00A43072">
      <w:pPr>
        <w:jc w:val="left"/>
        <w:rPr>
          <w:rFonts w:cs="Times New Roman"/>
          <w:sz w:val="22"/>
          <w:szCs w:val="22"/>
        </w:rPr>
      </w:pPr>
    </w:p>
    <w:p w:rsidR="0027683C" w:rsidRDefault="003725F4" w:rsidP="00A43072">
      <w:pPr>
        <w:jc w:val="left"/>
        <w:rPr>
          <w:rFonts w:cs="Times New Roman"/>
          <w:sz w:val="22"/>
          <w:szCs w:val="22"/>
        </w:rPr>
      </w:pPr>
      <w:r>
        <w:rPr>
          <w:rFonts w:cs="Times New Roman"/>
          <w:sz w:val="22"/>
          <w:szCs w:val="22"/>
        </w:rPr>
        <w:t xml:space="preserve">The wastewater treatment system consists of the three principal components:  1) the building containing the main treatment system; 2) two pretreatment facilities, and 3) conveyance piping from the groundwater extraction wells to the pre-treatment facilities and from the pre-treatment facilities to the main treatment building.  </w:t>
      </w:r>
      <w:r w:rsidR="0027683C">
        <w:rPr>
          <w:rFonts w:cs="Times New Roman"/>
          <w:sz w:val="22"/>
          <w:szCs w:val="22"/>
        </w:rPr>
        <w:t xml:space="preserve">When the final treatment plant is operational, groundwater </w:t>
      </w:r>
      <w:r>
        <w:rPr>
          <w:rFonts w:cs="Times New Roman"/>
          <w:sz w:val="22"/>
          <w:szCs w:val="22"/>
        </w:rPr>
        <w:t xml:space="preserve">contaminated by MGP constituents and </w:t>
      </w:r>
      <w:proofErr w:type="spellStart"/>
      <w:r>
        <w:rPr>
          <w:rFonts w:cs="Times New Roman"/>
          <w:sz w:val="22"/>
          <w:szCs w:val="22"/>
        </w:rPr>
        <w:t>cVOCs</w:t>
      </w:r>
      <w:proofErr w:type="spellEnd"/>
      <w:r>
        <w:rPr>
          <w:rFonts w:cs="Times New Roman"/>
          <w:sz w:val="22"/>
          <w:szCs w:val="22"/>
        </w:rPr>
        <w:t>, and by MGP constituents only, w</w:t>
      </w:r>
      <w:r w:rsidR="0027683C">
        <w:rPr>
          <w:rFonts w:cs="Times New Roman"/>
          <w:sz w:val="22"/>
          <w:szCs w:val="22"/>
        </w:rPr>
        <w:t xml:space="preserve">ill receive initial treatment in </w:t>
      </w:r>
      <w:r>
        <w:rPr>
          <w:rFonts w:cs="Times New Roman"/>
          <w:sz w:val="22"/>
          <w:szCs w:val="22"/>
        </w:rPr>
        <w:t xml:space="preserve">two </w:t>
      </w:r>
      <w:r w:rsidR="0027683C">
        <w:rPr>
          <w:rFonts w:cs="Times New Roman"/>
          <w:sz w:val="22"/>
          <w:szCs w:val="22"/>
        </w:rPr>
        <w:t xml:space="preserve">separate, parallel treatment trains.  The </w:t>
      </w:r>
      <w:r>
        <w:rPr>
          <w:rFonts w:cs="Times New Roman"/>
          <w:sz w:val="22"/>
          <w:szCs w:val="22"/>
        </w:rPr>
        <w:t>g</w:t>
      </w:r>
      <w:r w:rsidR="00BA32E7">
        <w:rPr>
          <w:rFonts w:cs="Times New Roman"/>
          <w:sz w:val="22"/>
          <w:szCs w:val="22"/>
        </w:rPr>
        <w:t>roundwater</w:t>
      </w:r>
      <w:r w:rsidR="0027683C">
        <w:rPr>
          <w:rFonts w:cs="Times New Roman"/>
          <w:sz w:val="22"/>
          <w:szCs w:val="22"/>
        </w:rPr>
        <w:t xml:space="preserve"> </w:t>
      </w:r>
      <w:r>
        <w:rPr>
          <w:rFonts w:cs="Times New Roman"/>
          <w:sz w:val="22"/>
          <w:szCs w:val="22"/>
        </w:rPr>
        <w:t xml:space="preserve">contaminated by MGP constituents and cVOCs </w:t>
      </w:r>
      <w:r w:rsidR="0027683C">
        <w:rPr>
          <w:rFonts w:cs="Times New Roman"/>
          <w:sz w:val="22"/>
          <w:szCs w:val="22"/>
        </w:rPr>
        <w:t xml:space="preserve">will be </w:t>
      </w:r>
      <w:r>
        <w:rPr>
          <w:rFonts w:cs="Times New Roman"/>
          <w:sz w:val="22"/>
          <w:szCs w:val="22"/>
        </w:rPr>
        <w:t xml:space="preserve">routed to one pretreatment facility where it will be </w:t>
      </w:r>
      <w:r w:rsidR="0027683C">
        <w:rPr>
          <w:rFonts w:cs="Times New Roman"/>
          <w:sz w:val="22"/>
          <w:szCs w:val="22"/>
        </w:rPr>
        <w:t>dosed with sodium hydroxide (for pH adjus</w:t>
      </w:r>
      <w:r w:rsidR="00BA32E7">
        <w:rPr>
          <w:rFonts w:cs="Times New Roman"/>
          <w:sz w:val="22"/>
          <w:szCs w:val="22"/>
        </w:rPr>
        <w:t>tment), sent to an air stripper</w:t>
      </w:r>
      <w:r w:rsidR="0027683C">
        <w:rPr>
          <w:rFonts w:cs="Times New Roman"/>
          <w:sz w:val="22"/>
          <w:szCs w:val="22"/>
        </w:rPr>
        <w:t xml:space="preserve"> and then to an equalization tank. </w:t>
      </w:r>
      <w:r w:rsidR="00114C95">
        <w:rPr>
          <w:rFonts w:cs="Times New Roman"/>
          <w:sz w:val="22"/>
          <w:szCs w:val="22"/>
        </w:rPr>
        <w:t xml:space="preserve"> Groundwater impacted </w:t>
      </w:r>
      <w:r w:rsidR="00282B3A">
        <w:rPr>
          <w:rFonts w:cs="Times New Roman"/>
          <w:sz w:val="22"/>
          <w:szCs w:val="22"/>
        </w:rPr>
        <w:t xml:space="preserve">only </w:t>
      </w:r>
      <w:r w:rsidR="00114C95">
        <w:rPr>
          <w:rFonts w:cs="Times New Roman"/>
          <w:sz w:val="22"/>
          <w:szCs w:val="22"/>
        </w:rPr>
        <w:t>by MGP constituent</w:t>
      </w:r>
      <w:r w:rsidR="00282B3A">
        <w:rPr>
          <w:rFonts w:cs="Times New Roman"/>
          <w:sz w:val="22"/>
          <w:szCs w:val="22"/>
        </w:rPr>
        <w:t>s</w:t>
      </w:r>
      <w:r w:rsidR="00114C95">
        <w:rPr>
          <w:rFonts w:cs="Times New Roman"/>
          <w:sz w:val="22"/>
          <w:szCs w:val="22"/>
        </w:rPr>
        <w:t xml:space="preserve"> wil</w:t>
      </w:r>
      <w:r w:rsidR="0027683C">
        <w:rPr>
          <w:rFonts w:cs="Times New Roman"/>
          <w:sz w:val="22"/>
          <w:szCs w:val="22"/>
        </w:rPr>
        <w:t>l receive initial treatment in a similar manner</w:t>
      </w:r>
      <w:r w:rsidR="00114C95">
        <w:rPr>
          <w:rFonts w:cs="Times New Roman"/>
          <w:sz w:val="22"/>
          <w:szCs w:val="22"/>
        </w:rPr>
        <w:t xml:space="preserve"> at the second pretreatment facility</w:t>
      </w:r>
      <w:r w:rsidR="0027683C">
        <w:rPr>
          <w:rFonts w:cs="Times New Roman"/>
          <w:sz w:val="22"/>
          <w:szCs w:val="22"/>
        </w:rPr>
        <w:t xml:space="preserve"> but </w:t>
      </w:r>
      <w:r w:rsidR="00BA32E7">
        <w:rPr>
          <w:rFonts w:cs="Times New Roman"/>
          <w:sz w:val="22"/>
          <w:szCs w:val="22"/>
        </w:rPr>
        <w:t xml:space="preserve">without the </w:t>
      </w:r>
      <w:r w:rsidR="0027683C">
        <w:rPr>
          <w:rFonts w:cs="Times New Roman"/>
          <w:sz w:val="22"/>
          <w:szCs w:val="22"/>
        </w:rPr>
        <w:t xml:space="preserve">pH adjustment </w:t>
      </w:r>
      <w:r w:rsidR="00BA32E7">
        <w:rPr>
          <w:rFonts w:cs="Times New Roman"/>
          <w:sz w:val="22"/>
          <w:szCs w:val="22"/>
        </w:rPr>
        <w:t>(which w</w:t>
      </w:r>
      <w:r w:rsidR="0027683C">
        <w:rPr>
          <w:rFonts w:cs="Times New Roman"/>
          <w:sz w:val="22"/>
          <w:szCs w:val="22"/>
        </w:rPr>
        <w:t>as determined to be unnecessary</w:t>
      </w:r>
      <w:r w:rsidR="00BA32E7">
        <w:rPr>
          <w:rFonts w:cs="Times New Roman"/>
          <w:sz w:val="22"/>
          <w:szCs w:val="22"/>
        </w:rPr>
        <w:t>)</w:t>
      </w:r>
      <w:r w:rsidR="0027683C">
        <w:rPr>
          <w:rFonts w:cs="Times New Roman"/>
          <w:sz w:val="22"/>
          <w:szCs w:val="22"/>
        </w:rPr>
        <w:t>.  Following the initial treatment, the two waste streams will be mixed</w:t>
      </w:r>
      <w:r w:rsidR="00114C95">
        <w:rPr>
          <w:rFonts w:cs="Times New Roman"/>
          <w:sz w:val="22"/>
          <w:szCs w:val="22"/>
        </w:rPr>
        <w:t xml:space="preserve"> and conveyed to the main treatment system building for treatment prior to discharge.  The main treatment process involves dosing the wastewater</w:t>
      </w:r>
      <w:r w:rsidR="0027683C">
        <w:rPr>
          <w:rFonts w:cs="Times New Roman"/>
          <w:sz w:val="22"/>
          <w:szCs w:val="22"/>
        </w:rPr>
        <w:t xml:space="preserve"> with a polymer</w:t>
      </w:r>
      <w:r w:rsidR="00114C95">
        <w:rPr>
          <w:rFonts w:cs="Times New Roman"/>
          <w:sz w:val="22"/>
          <w:szCs w:val="22"/>
        </w:rPr>
        <w:t xml:space="preserve"> before routing it to </w:t>
      </w:r>
      <w:r w:rsidR="0027683C">
        <w:rPr>
          <w:rFonts w:cs="Times New Roman"/>
          <w:sz w:val="22"/>
          <w:szCs w:val="22"/>
        </w:rPr>
        <w:t xml:space="preserve">a flocculation/settling basin.  From here the waste stream will enter a cyanide destruct chamber, </w:t>
      </w:r>
      <w:r w:rsidR="005B4B8D" w:rsidRPr="00014C7B">
        <w:rPr>
          <w:sz w:val="22"/>
        </w:rPr>
        <w:t>a series of primary bag filters</w:t>
      </w:r>
      <w:r w:rsidR="0027683C" w:rsidRPr="00014C7B">
        <w:rPr>
          <w:rFonts w:cs="Times New Roman"/>
          <w:sz w:val="22"/>
          <w:szCs w:val="22"/>
        </w:rPr>
        <w:t>, a</w:t>
      </w:r>
      <w:r w:rsidR="0027683C">
        <w:rPr>
          <w:rFonts w:cs="Times New Roman"/>
          <w:sz w:val="22"/>
          <w:szCs w:val="22"/>
        </w:rPr>
        <w:t xml:space="preserve"> granular activated carbon system, a series of secondary bag filters and then an effluent storage tank from where it will b</w:t>
      </w:r>
      <w:r w:rsidR="00114C95">
        <w:rPr>
          <w:rFonts w:cs="Times New Roman"/>
          <w:sz w:val="22"/>
          <w:szCs w:val="22"/>
        </w:rPr>
        <w:t xml:space="preserve">e discharged to the Willamette </w:t>
      </w:r>
      <w:r w:rsidR="0027683C">
        <w:rPr>
          <w:rFonts w:cs="Times New Roman"/>
          <w:sz w:val="22"/>
          <w:szCs w:val="22"/>
        </w:rPr>
        <w:t>River via the outfall described in Section 2.4 below.</w:t>
      </w:r>
    </w:p>
    <w:p w:rsidR="0027683C" w:rsidRDefault="0027683C" w:rsidP="00A43072">
      <w:pPr>
        <w:jc w:val="left"/>
        <w:rPr>
          <w:rFonts w:cs="Times New Roman"/>
          <w:sz w:val="22"/>
          <w:szCs w:val="22"/>
        </w:rPr>
      </w:pPr>
    </w:p>
    <w:p w:rsidR="0027683C" w:rsidRDefault="0027683C" w:rsidP="00A43072">
      <w:pPr>
        <w:jc w:val="left"/>
        <w:rPr>
          <w:rFonts w:ascii="Arial" w:hAnsi="Arial" w:cs="Arial"/>
          <w:b/>
          <w:bCs/>
        </w:rPr>
      </w:pPr>
      <w:r>
        <w:rPr>
          <w:rFonts w:ascii="Arial" w:hAnsi="Arial" w:cs="Arial"/>
          <w:b/>
          <w:bCs/>
        </w:rPr>
        <w:t>2.2.2 Wastewater Characteristics</w:t>
      </w:r>
    </w:p>
    <w:p w:rsidR="0027683C" w:rsidRDefault="0027683C" w:rsidP="00A43072">
      <w:pPr>
        <w:jc w:val="left"/>
        <w:rPr>
          <w:rFonts w:cs="Times New Roman"/>
          <w:color w:val="FF0000"/>
          <w:sz w:val="22"/>
          <w:szCs w:val="22"/>
        </w:rPr>
      </w:pPr>
      <w:r>
        <w:rPr>
          <w:rFonts w:cs="Times New Roman"/>
          <w:sz w:val="22"/>
          <w:szCs w:val="22"/>
        </w:rPr>
        <w:t>Laboratory and field analyses of the groundwater, along with an examination of the prior operational history of the two sites, have resulted in a list of contaminants of concern</w:t>
      </w:r>
      <w:r w:rsidR="005D178C">
        <w:rPr>
          <w:rFonts w:cs="Times New Roman"/>
          <w:sz w:val="22"/>
          <w:szCs w:val="22"/>
        </w:rPr>
        <w:t xml:space="preserve"> </w:t>
      </w:r>
      <w:r>
        <w:rPr>
          <w:rFonts w:cs="Times New Roman"/>
          <w:sz w:val="22"/>
          <w:szCs w:val="22"/>
        </w:rPr>
        <w:t xml:space="preserve">in the groundwater (see Section 4.3.1, below).  As mentioned above, a large-scale pilot wastewater treatment system was installed and operated at the site in 2009 (effluent </w:t>
      </w:r>
      <w:r w:rsidR="00DD3DBC">
        <w:rPr>
          <w:rFonts w:cs="Times New Roman"/>
          <w:sz w:val="22"/>
          <w:szCs w:val="22"/>
        </w:rPr>
        <w:t xml:space="preserve">from this system </w:t>
      </w:r>
      <w:r>
        <w:rPr>
          <w:rFonts w:cs="Times New Roman"/>
          <w:sz w:val="22"/>
          <w:szCs w:val="22"/>
        </w:rPr>
        <w:t>was directed to the city’s sanitary sewer system).  The effluent was monitored and the collected data, presented in the permit application, have been used to provide an estimated characterization of the final effluent quality.  As explained in Section</w:t>
      </w:r>
      <w:r w:rsidR="00837923">
        <w:rPr>
          <w:rFonts w:cs="Times New Roman"/>
          <w:sz w:val="22"/>
          <w:szCs w:val="22"/>
        </w:rPr>
        <w:t>s</w:t>
      </w:r>
      <w:r>
        <w:rPr>
          <w:rFonts w:cs="Times New Roman"/>
          <w:sz w:val="22"/>
          <w:szCs w:val="22"/>
        </w:rPr>
        <w:t xml:space="preserve"> </w:t>
      </w:r>
      <w:r>
        <w:rPr>
          <w:rFonts w:cs="Times New Roman"/>
          <w:color w:val="000000"/>
          <w:sz w:val="22"/>
          <w:szCs w:val="22"/>
        </w:rPr>
        <w:t>4.3.1</w:t>
      </w:r>
      <w:r w:rsidR="00837923">
        <w:rPr>
          <w:rFonts w:cs="Times New Roman"/>
          <w:color w:val="000000"/>
          <w:sz w:val="22"/>
          <w:szCs w:val="22"/>
        </w:rPr>
        <w:t xml:space="preserve"> and 4.3.2</w:t>
      </w:r>
      <w:r>
        <w:rPr>
          <w:rFonts w:cs="Times New Roman"/>
          <w:color w:val="000000"/>
          <w:sz w:val="22"/>
          <w:szCs w:val="22"/>
        </w:rPr>
        <w:t xml:space="preserve">, below, these data have been used to assist in </w:t>
      </w:r>
      <w:r w:rsidR="00837923">
        <w:rPr>
          <w:rFonts w:cs="Times New Roman"/>
          <w:color w:val="000000"/>
          <w:sz w:val="22"/>
          <w:szCs w:val="22"/>
        </w:rPr>
        <w:t xml:space="preserve">the development of </w:t>
      </w:r>
      <w:r>
        <w:rPr>
          <w:rFonts w:cs="Times New Roman"/>
          <w:color w:val="000000"/>
          <w:sz w:val="22"/>
          <w:szCs w:val="22"/>
        </w:rPr>
        <w:t>permit effluent limit</w:t>
      </w:r>
      <w:r w:rsidR="00837923">
        <w:rPr>
          <w:rFonts w:cs="Times New Roman"/>
          <w:color w:val="000000"/>
          <w:sz w:val="22"/>
          <w:szCs w:val="22"/>
        </w:rPr>
        <w:t>s</w:t>
      </w:r>
      <w:r>
        <w:rPr>
          <w:rFonts w:cs="Times New Roman"/>
          <w:color w:val="000000"/>
          <w:sz w:val="22"/>
          <w:szCs w:val="22"/>
        </w:rPr>
        <w:t>.  The expected effluent flow rates from the system (including water from both the Siltronic and NW Natural sites) are 0.67 million gallons (MGD) as an average daily flow and 0.96 MGD as a maximum day flow.   (These flow rates, which include the potential stormwater from the LNG tank basin, equate to</w:t>
      </w:r>
      <w:r w:rsidR="00F64029">
        <w:rPr>
          <w:rFonts w:cs="Times New Roman"/>
          <w:color w:val="000000"/>
          <w:sz w:val="22"/>
          <w:szCs w:val="22"/>
        </w:rPr>
        <w:t xml:space="preserve"> approximately</w:t>
      </w:r>
      <w:r>
        <w:rPr>
          <w:rFonts w:cs="Times New Roman"/>
          <w:color w:val="000000"/>
          <w:sz w:val="22"/>
          <w:szCs w:val="22"/>
        </w:rPr>
        <w:t xml:space="preserve"> 4</w:t>
      </w:r>
      <w:r w:rsidR="00F64029">
        <w:rPr>
          <w:rFonts w:cs="Times New Roman"/>
          <w:color w:val="000000"/>
          <w:sz w:val="22"/>
          <w:szCs w:val="22"/>
        </w:rPr>
        <w:t>70</w:t>
      </w:r>
      <w:r>
        <w:rPr>
          <w:rFonts w:cs="Times New Roman"/>
          <w:color w:val="000000"/>
          <w:sz w:val="22"/>
          <w:szCs w:val="22"/>
        </w:rPr>
        <w:t xml:space="preserve"> gallons per minute [GPM] and 6</w:t>
      </w:r>
      <w:r w:rsidR="00F64029">
        <w:rPr>
          <w:rFonts w:cs="Times New Roman"/>
          <w:color w:val="000000"/>
          <w:sz w:val="22"/>
          <w:szCs w:val="22"/>
        </w:rPr>
        <w:t>70</w:t>
      </w:r>
      <w:r>
        <w:rPr>
          <w:rFonts w:cs="Times New Roman"/>
          <w:color w:val="000000"/>
          <w:sz w:val="22"/>
          <w:szCs w:val="22"/>
        </w:rPr>
        <w:t xml:space="preserve"> GPM, respectively.)</w:t>
      </w:r>
    </w:p>
    <w:p w:rsidR="0027683C" w:rsidRDefault="0027683C" w:rsidP="00A43072">
      <w:pPr>
        <w:pStyle w:val="Asteve13B"/>
        <w:jc w:val="left"/>
      </w:pPr>
      <w:bookmarkStart w:id="28" w:name="_Toc197758193"/>
      <w:r>
        <w:rPr>
          <w:color w:val="000000"/>
        </w:rPr>
        <w:t xml:space="preserve">2.3 </w:t>
      </w:r>
      <w:bookmarkStart w:id="29" w:name="_Toc197758195"/>
      <w:bookmarkEnd w:id="28"/>
      <w:r>
        <w:t xml:space="preserve">Stormwater </w:t>
      </w:r>
      <w:bookmarkEnd w:id="29"/>
    </w:p>
    <w:p w:rsidR="0027683C" w:rsidRDefault="0027683C" w:rsidP="00A43072">
      <w:pPr>
        <w:pStyle w:val="Asteve13B"/>
        <w:spacing w:before="0" w:after="0"/>
        <w:jc w:val="left"/>
        <w:rPr>
          <w:rFonts w:ascii="Times New Roman" w:hAnsi="Times New Roman" w:cs="Times New Roman"/>
          <w:b w:val="0"/>
          <w:bCs w:val="0"/>
          <w:noProof w:val="0"/>
          <w:sz w:val="22"/>
          <w:szCs w:val="22"/>
        </w:rPr>
      </w:pPr>
      <w:r>
        <w:rPr>
          <w:rFonts w:ascii="Times New Roman" w:hAnsi="Times New Roman" w:cs="Times New Roman"/>
          <w:b w:val="0"/>
          <w:bCs w:val="0"/>
          <w:noProof w:val="0"/>
          <w:sz w:val="22"/>
          <w:szCs w:val="22"/>
        </w:rPr>
        <w:t xml:space="preserve">There are five general stormwater collection areas on the former Gasco site: </w:t>
      </w:r>
      <w:r w:rsidR="003E2278">
        <w:rPr>
          <w:rFonts w:ascii="Times New Roman" w:hAnsi="Times New Roman" w:cs="Times New Roman"/>
          <w:b w:val="0"/>
          <w:bCs w:val="0"/>
          <w:noProof w:val="0"/>
          <w:sz w:val="22"/>
          <w:szCs w:val="22"/>
        </w:rPr>
        <w:t xml:space="preserve"> </w:t>
      </w:r>
      <w:r>
        <w:rPr>
          <w:rFonts w:ascii="Times New Roman" w:hAnsi="Times New Roman" w:cs="Times New Roman"/>
          <w:b w:val="0"/>
          <w:bCs w:val="0"/>
          <w:noProof w:val="0"/>
          <w:sz w:val="22"/>
          <w:szCs w:val="22"/>
        </w:rPr>
        <w:t>the NW Natural LNG tank basin, the NW Natural LNG operations area</w:t>
      </w:r>
      <w:r w:rsidR="00837923">
        <w:rPr>
          <w:rFonts w:ascii="Times New Roman" w:hAnsi="Times New Roman" w:cs="Times New Roman"/>
          <w:b w:val="0"/>
          <w:bCs w:val="0"/>
          <w:noProof w:val="0"/>
          <w:sz w:val="22"/>
          <w:szCs w:val="22"/>
        </w:rPr>
        <w:t>, and portions of the properties occupied by Siltronic, Pacific Terminal Services, and Koppers</w:t>
      </w:r>
      <w:r>
        <w:rPr>
          <w:rFonts w:ascii="Times New Roman" w:hAnsi="Times New Roman" w:cs="Times New Roman"/>
          <w:b w:val="0"/>
          <w:bCs w:val="0"/>
          <w:noProof w:val="0"/>
          <w:sz w:val="22"/>
          <w:szCs w:val="22"/>
        </w:rPr>
        <w:t xml:space="preserve">.  The </w:t>
      </w:r>
      <w:r w:rsidR="00837923">
        <w:rPr>
          <w:rFonts w:ascii="Times New Roman" w:hAnsi="Times New Roman" w:cs="Times New Roman"/>
          <w:b w:val="0"/>
          <w:bCs w:val="0"/>
          <w:noProof w:val="0"/>
          <w:sz w:val="22"/>
          <w:szCs w:val="22"/>
        </w:rPr>
        <w:t>last</w:t>
      </w:r>
      <w:r>
        <w:rPr>
          <w:rFonts w:ascii="Times New Roman" w:hAnsi="Times New Roman" w:cs="Times New Roman"/>
          <w:b w:val="0"/>
          <w:bCs w:val="0"/>
          <w:noProof w:val="0"/>
          <w:sz w:val="22"/>
          <w:szCs w:val="22"/>
        </w:rPr>
        <w:t xml:space="preserve"> three areas</w:t>
      </w:r>
      <w:r w:rsidR="00837923">
        <w:rPr>
          <w:rFonts w:ascii="Times New Roman" w:hAnsi="Times New Roman" w:cs="Times New Roman"/>
          <w:b w:val="0"/>
          <w:bCs w:val="0"/>
          <w:noProof w:val="0"/>
          <w:sz w:val="22"/>
          <w:szCs w:val="22"/>
        </w:rPr>
        <w:t xml:space="preserve"> listed</w:t>
      </w:r>
      <w:r>
        <w:rPr>
          <w:rFonts w:ascii="Times New Roman" w:hAnsi="Times New Roman" w:cs="Times New Roman"/>
          <w:b w:val="0"/>
          <w:bCs w:val="0"/>
          <w:noProof w:val="0"/>
          <w:sz w:val="22"/>
          <w:szCs w:val="22"/>
        </w:rPr>
        <w:t xml:space="preserve"> each have separate NPDES permits regulating stormwater.  Stormwater from the LNG tank basin is currently treated and discharged to the city sanitary sewer, but </w:t>
      </w:r>
      <w:r w:rsidR="00DD3DBC">
        <w:rPr>
          <w:rFonts w:ascii="Times New Roman" w:hAnsi="Times New Roman" w:cs="Times New Roman"/>
          <w:b w:val="0"/>
          <w:bCs w:val="0"/>
          <w:noProof w:val="0"/>
          <w:sz w:val="22"/>
          <w:szCs w:val="22"/>
        </w:rPr>
        <w:t xml:space="preserve">in the future </w:t>
      </w:r>
      <w:r>
        <w:rPr>
          <w:rFonts w:ascii="Times New Roman" w:hAnsi="Times New Roman" w:cs="Times New Roman"/>
          <w:b w:val="0"/>
          <w:bCs w:val="0"/>
          <w:noProof w:val="0"/>
          <w:sz w:val="22"/>
          <w:szCs w:val="22"/>
        </w:rPr>
        <w:t xml:space="preserve">will be treated and discharged under this permit.  The stormwater originating in the LNG operations area (outside of the </w:t>
      </w:r>
      <w:r>
        <w:rPr>
          <w:rFonts w:ascii="Times New Roman" w:hAnsi="Times New Roman" w:cs="Times New Roman"/>
          <w:b w:val="0"/>
          <w:bCs w:val="0"/>
          <w:noProof w:val="0"/>
          <w:sz w:val="22"/>
          <w:szCs w:val="22"/>
        </w:rPr>
        <w:lastRenderedPageBreak/>
        <w:t xml:space="preserve">LNG tank basin) has previously been characterized and it has been determined that it is not contaminated with pollutants associated with the former gasification operations.  </w:t>
      </w:r>
    </w:p>
    <w:p w:rsidR="0027683C" w:rsidRDefault="0027683C" w:rsidP="00A43072">
      <w:pPr>
        <w:pStyle w:val="Asteve13B"/>
        <w:jc w:val="left"/>
        <w:rPr>
          <w:color w:val="000000"/>
        </w:rPr>
      </w:pPr>
      <w:bookmarkStart w:id="30" w:name="_Toc197758196"/>
      <w:r>
        <w:rPr>
          <w:color w:val="000000"/>
        </w:rPr>
        <w:t>2.4 Outfall</w:t>
      </w:r>
      <w:bookmarkEnd w:id="30"/>
    </w:p>
    <w:p w:rsidR="0027683C" w:rsidRDefault="0027683C" w:rsidP="00A43072">
      <w:pPr>
        <w:jc w:val="left"/>
        <w:rPr>
          <w:rFonts w:cs="Times New Roman"/>
          <w:color w:val="000000"/>
          <w:sz w:val="22"/>
          <w:szCs w:val="22"/>
        </w:rPr>
      </w:pPr>
      <w:r>
        <w:rPr>
          <w:rFonts w:cs="Times New Roman"/>
          <w:color w:val="000000"/>
          <w:sz w:val="22"/>
          <w:szCs w:val="22"/>
        </w:rPr>
        <w:t>The proposed effluent outfall (Outfall 001) is expected to consist of a</w:t>
      </w:r>
      <w:r w:rsidR="00614D7A">
        <w:rPr>
          <w:rFonts w:cs="Times New Roman"/>
          <w:color w:val="000000"/>
          <w:sz w:val="22"/>
          <w:szCs w:val="22"/>
        </w:rPr>
        <w:t>n</w:t>
      </w:r>
      <w:r>
        <w:rPr>
          <w:rFonts w:cs="Times New Roman"/>
          <w:color w:val="000000"/>
          <w:sz w:val="22"/>
          <w:szCs w:val="22"/>
        </w:rPr>
        <w:t xml:space="preserve"> </w:t>
      </w:r>
      <w:r w:rsidR="00614D7A">
        <w:rPr>
          <w:rFonts w:cs="Times New Roman"/>
          <w:color w:val="000000"/>
          <w:sz w:val="22"/>
          <w:szCs w:val="22"/>
        </w:rPr>
        <w:t>8</w:t>
      </w:r>
      <w:r>
        <w:rPr>
          <w:rFonts w:cs="Times New Roman"/>
          <w:color w:val="000000"/>
          <w:sz w:val="22"/>
          <w:szCs w:val="22"/>
        </w:rPr>
        <w:t xml:space="preserve">-inch diameter </w:t>
      </w:r>
      <w:r w:rsidR="00614D7A">
        <w:rPr>
          <w:rFonts w:cs="Times New Roman"/>
          <w:color w:val="000000"/>
          <w:sz w:val="22"/>
          <w:szCs w:val="22"/>
        </w:rPr>
        <w:t>pipe extending from</w:t>
      </w:r>
      <w:r>
        <w:rPr>
          <w:rFonts w:cs="Times New Roman"/>
          <w:color w:val="000000"/>
          <w:sz w:val="22"/>
          <w:szCs w:val="22"/>
        </w:rPr>
        <w:t xml:space="preserve"> </w:t>
      </w:r>
      <w:r w:rsidR="00614D7A">
        <w:rPr>
          <w:rFonts w:cs="Times New Roman"/>
          <w:color w:val="000000"/>
          <w:sz w:val="22"/>
          <w:szCs w:val="22"/>
        </w:rPr>
        <w:t>the treatment building to</w:t>
      </w:r>
      <w:r w:rsidR="00DD3DBC">
        <w:rPr>
          <w:rFonts w:cs="Times New Roman"/>
          <w:color w:val="000000"/>
          <w:sz w:val="22"/>
          <w:szCs w:val="22"/>
        </w:rPr>
        <w:t xml:space="preserve"> </w:t>
      </w:r>
      <w:r>
        <w:rPr>
          <w:rFonts w:cs="Times New Roman"/>
          <w:color w:val="000000"/>
          <w:sz w:val="22"/>
          <w:szCs w:val="22"/>
        </w:rPr>
        <w:t>an existing wood</w:t>
      </w:r>
      <w:r w:rsidR="00837923">
        <w:rPr>
          <w:rFonts w:cs="Times New Roman"/>
          <w:color w:val="000000"/>
          <w:sz w:val="22"/>
          <w:szCs w:val="22"/>
        </w:rPr>
        <w:t>en</w:t>
      </w:r>
      <w:r>
        <w:rPr>
          <w:rFonts w:cs="Times New Roman"/>
          <w:color w:val="000000"/>
          <w:sz w:val="22"/>
          <w:szCs w:val="22"/>
        </w:rPr>
        <w:t xml:space="preserve"> dock (see figure 2).  The outfall will then be routed down below the water surface and will termi</w:t>
      </w:r>
      <w:r w:rsidR="00837923">
        <w:rPr>
          <w:rFonts w:cs="Times New Roman"/>
          <w:color w:val="000000"/>
          <w:sz w:val="22"/>
          <w:szCs w:val="22"/>
        </w:rPr>
        <w:t>nate with a 12-</w:t>
      </w:r>
      <w:r>
        <w:rPr>
          <w:rFonts w:cs="Times New Roman"/>
          <w:color w:val="000000"/>
          <w:sz w:val="22"/>
          <w:szCs w:val="22"/>
        </w:rPr>
        <w:t>f</w:t>
      </w:r>
      <w:r w:rsidR="00837923">
        <w:rPr>
          <w:rFonts w:cs="Times New Roman"/>
          <w:color w:val="000000"/>
          <w:sz w:val="22"/>
          <w:szCs w:val="22"/>
        </w:rPr>
        <w:t>oo</w:t>
      </w:r>
      <w:r>
        <w:rPr>
          <w:rFonts w:cs="Times New Roman"/>
          <w:color w:val="000000"/>
          <w:sz w:val="22"/>
          <w:szCs w:val="22"/>
        </w:rPr>
        <w:t>t long horizontal diffuser strapped to the dock at a depth of approximately 12 f</w:t>
      </w:r>
      <w:r w:rsidR="00837923">
        <w:rPr>
          <w:rFonts w:cs="Times New Roman"/>
          <w:color w:val="000000"/>
          <w:sz w:val="22"/>
          <w:szCs w:val="22"/>
        </w:rPr>
        <w:t>ee</w:t>
      </w:r>
      <w:r w:rsidR="008954A3">
        <w:rPr>
          <w:rFonts w:cs="Times New Roman"/>
          <w:color w:val="000000"/>
          <w:sz w:val="22"/>
          <w:szCs w:val="22"/>
        </w:rPr>
        <w:t>t</w:t>
      </w:r>
      <w:r>
        <w:rPr>
          <w:rFonts w:cs="Times New Roman"/>
          <w:color w:val="000000"/>
          <w:sz w:val="22"/>
          <w:szCs w:val="22"/>
        </w:rPr>
        <w:t xml:space="preserve"> (at low water) and oriented perpendicular to the river flow. </w:t>
      </w:r>
      <w:r w:rsidR="00614D7A">
        <w:rPr>
          <w:rFonts w:cs="Times New Roman"/>
          <w:color w:val="000000"/>
          <w:sz w:val="22"/>
          <w:szCs w:val="22"/>
        </w:rPr>
        <w:t xml:space="preserve"> The outfall pipe will be high-density polyethylene (HDPE) pipe in the buried sections and steel in the above-ground and underwater sections.</w:t>
      </w:r>
      <w:r>
        <w:rPr>
          <w:rFonts w:cs="Times New Roman"/>
          <w:color w:val="000000"/>
          <w:sz w:val="22"/>
          <w:szCs w:val="22"/>
        </w:rPr>
        <w:t xml:space="preserve"> The diffuser will consist of</w:t>
      </w:r>
      <w:r w:rsidR="00837923">
        <w:rPr>
          <w:rFonts w:cs="Times New Roman"/>
          <w:color w:val="000000"/>
          <w:sz w:val="22"/>
          <w:szCs w:val="22"/>
        </w:rPr>
        <w:t xml:space="preserve"> four 2-inch ports located on 2-</w:t>
      </w:r>
      <w:r>
        <w:rPr>
          <w:rFonts w:cs="Times New Roman"/>
          <w:color w:val="000000"/>
          <w:sz w:val="22"/>
          <w:szCs w:val="22"/>
        </w:rPr>
        <w:t>f</w:t>
      </w:r>
      <w:r w:rsidR="00837923">
        <w:rPr>
          <w:rFonts w:cs="Times New Roman"/>
          <w:color w:val="000000"/>
          <w:sz w:val="22"/>
          <w:szCs w:val="22"/>
        </w:rPr>
        <w:t>oo</w:t>
      </w:r>
      <w:r>
        <w:rPr>
          <w:rFonts w:cs="Times New Roman"/>
          <w:color w:val="000000"/>
          <w:sz w:val="22"/>
          <w:szCs w:val="22"/>
        </w:rPr>
        <w:t>t risers and having a spacing of 4 feet between ports.  These ports will be oriented downstream.</w:t>
      </w:r>
    </w:p>
    <w:p w:rsidR="0027683C" w:rsidRDefault="0027683C">
      <w:pPr>
        <w:rPr>
          <w:rFonts w:cs="Times New Roman"/>
          <w:color w:val="000000"/>
          <w:sz w:val="16"/>
          <w:szCs w:val="16"/>
        </w:rPr>
      </w:pPr>
    </w:p>
    <w:p w:rsidR="0027683C" w:rsidRDefault="007F56DA">
      <w:pPr>
        <w:jc w:val="center"/>
        <w:rPr>
          <w:rFonts w:cs="Times New Roman"/>
          <w:color w:val="000000"/>
          <w:sz w:val="22"/>
          <w:szCs w:val="22"/>
        </w:rPr>
      </w:pPr>
      <w:r>
        <w:rPr>
          <w:rFonts w:cs="Times New Roman"/>
          <w:noProof/>
          <w:color w:val="000000"/>
          <w:sz w:val="22"/>
          <w:szCs w:val="22"/>
        </w:rPr>
        <w:drawing>
          <wp:inline distT="0" distB="0" distL="0" distR="0">
            <wp:extent cx="6560820" cy="5605145"/>
            <wp:effectExtent l="19050" t="0" r="0" b="0"/>
            <wp:docPr id="8" name="Picture 7" descr="Outfall Loc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fall Location.bmp"/>
                    <pic:cNvPicPr/>
                  </pic:nvPicPr>
                  <pic:blipFill>
                    <a:blip r:embed="rId11"/>
                    <a:stretch>
                      <a:fillRect/>
                    </a:stretch>
                  </pic:blipFill>
                  <pic:spPr>
                    <a:xfrm>
                      <a:off x="0" y="0"/>
                      <a:ext cx="6560820" cy="5605145"/>
                    </a:xfrm>
                    <a:prstGeom prst="rect">
                      <a:avLst/>
                    </a:prstGeom>
                  </pic:spPr>
                </pic:pic>
              </a:graphicData>
            </a:graphic>
          </wp:inline>
        </w:drawing>
      </w:r>
    </w:p>
    <w:p w:rsidR="0027683C" w:rsidRDefault="0027683C">
      <w:pPr>
        <w:rPr>
          <w:rFonts w:cs="Times New Roman"/>
          <w:sz w:val="16"/>
          <w:szCs w:val="16"/>
        </w:rPr>
      </w:pPr>
    </w:p>
    <w:p w:rsidR="0027683C" w:rsidRDefault="0027683C">
      <w:pPr>
        <w:pStyle w:val="BodyText2"/>
        <w:spacing w:after="0"/>
        <w:ind w:left="-360"/>
        <w:jc w:val="center"/>
        <w:rPr>
          <w:sz w:val="22"/>
          <w:szCs w:val="22"/>
        </w:rPr>
      </w:pPr>
      <w:r>
        <w:rPr>
          <w:sz w:val="22"/>
          <w:szCs w:val="22"/>
        </w:rPr>
        <w:t>Figure 2:  Proposed Outfall Location</w:t>
      </w:r>
    </w:p>
    <w:p w:rsidR="00964597" w:rsidRDefault="00964597">
      <w:pPr>
        <w:jc w:val="left"/>
        <w:rPr>
          <w:rFonts w:cs="Times New Roman"/>
          <w:b/>
          <w:bCs/>
          <w:caps/>
          <w:kern w:val="28"/>
          <w:sz w:val="28"/>
          <w:szCs w:val="28"/>
        </w:rPr>
      </w:pPr>
      <w:bookmarkStart w:id="31" w:name="_Toc197758203"/>
      <w:r>
        <w:br w:type="page"/>
      </w:r>
    </w:p>
    <w:p w:rsidR="0027683C" w:rsidRDefault="0027683C">
      <w:pPr>
        <w:pStyle w:val="Heading1sLeft"/>
        <w:keepNext w:val="0"/>
        <w:spacing w:before="120"/>
      </w:pPr>
      <w:r>
        <w:lastRenderedPageBreak/>
        <w:t>3.0 Receiving Water</w:t>
      </w:r>
      <w:bookmarkEnd w:id="31"/>
    </w:p>
    <w:p w:rsidR="0027683C" w:rsidRDefault="0027683C" w:rsidP="00A43072">
      <w:pPr>
        <w:tabs>
          <w:tab w:val="left" w:pos="-1440"/>
          <w:tab w:val="left" w:pos="-720"/>
        </w:tabs>
        <w:suppressAutoHyphens/>
        <w:jc w:val="left"/>
        <w:rPr>
          <w:rFonts w:cs="Times New Roman"/>
          <w:sz w:val="22"/>
          <w:szCs w:val="22"/>
        </w:rPr>
      </w:pPr>
      <w:r>
        <w:rPr>
          <w:rFonts w:cs="Times New Roman"/>
          <w:sz w:val="22"/>
          <w:szCs w:val="22"/>
        </w:rPr>
        <w:t xml:space="preserve">The receiving water for the discharged effluent will be the lower Willamette River.  As shown in Figure 1, the discharge will occur just upstream of the St. John’s Bridge, in the </w:t>
      </w:r>
      <w:r w:rsidR="00837923">
        <w:rPr>
          <w:rFonts w:cs="Times New Roman"/>
          <w:sz w:val="22"/>
          <w:szCs w:val="22"/>
        </w:rPr>
        <w:t xml:space="preserve">portion of the river known as the </w:t>
      </w:r>
      <w:r>
        <w:rPr>
          <w:rFonts w:cs="Times New Roman"/>
          <w:sz w:val="22"/>
          <w:szCs w:val="22"/>
        </w:rPr>
        <w:t xml:space="preserve">Portland Harbor.  As mentioned above, this portion of the river </w:t>
      </w:r>
      <w:r>
        <w:rPr>
          <w:rFonts w:cs="Times New Roman"/>
          <w:color w:val="000000"/>
          <w:sz w:val="22"/>
          <w:szCs w:val="22"/>
        </w:rPr>
        <w:t>was listed on the National Priorities List (“Superfund” list) in December 2000 for contaminated sediments.</w:t>
      </w:r>
    </w:p>
    <w:p w:rsidR="0027683C" w:rsidRDefault="0027683C" w:rsidP="00A43072">
      <w:pPr>
        <w:pStyle w:val="Asteve13B"/>
        <w:jc w:val="left"/>
      </w:pPr>
      <w:r>
        <w:t>3.1 Water Quality Standards</w:t>
      </w:r>
    </w:p>
    <w:p w:rsidR="0027683C" w:rsidRDefault="0027683C" w:rsidP="00A43072">
      <w:pPr>
        <w:pStyle w:val="BlockText"/>
        <w:jc w:val="left"/>
        <w:rPr>
          <w:sz w:val="22"/>
          <w:szCs w:val="22"/>
        </w:rPr>
      </w:pPr>
      <w:r>
        <w:rPr>
          <w:sz w:val="22"/>
          <w:szCs w:val="22"/>
        </w:rPr>
        <w:t>The applicable water quality standards for the Willamette River are found in Oregon Administrative Rule (OAR) 340-041 (Willamette River Basin).  These standards are intended to be protective of the beneficial uses for the basin.  These beneficial uses, listed in OAR 340-041 Table 340A, are as follows:</w:t>
      </w:r>
    </w:p>
    <w:p w:rsidR="0027683C" w:rsidRDefault="0027683C">
      <w:pPr>
        <w:pStyle w:val="BlockText"/>
        <w:rPr>
          <w:sz w:val="16"/>
          <w:szCs w:val="16"/>
        </w:rPr>
      </w:pPr>
    </w:p>
    <w:p w:rsidR="0027683C" w:rsidRDefault="0027683C">
      <w:pPr>
        <w:numPr>
          <w:ilvl w:val="0"/>
          <w:numId w:val="1"/>
        </w:numPr>
        <w:tabs>
          <w:tab w:val="clear" w:pos="360"/>
          <w:tab w:val="left" w:pos="-1440"/>
          <w:tab w:val="left" w:pos="-720"/>
          <w:tab w:val="num" w:pos="1080"/>
        </w:tabs>
        <w:suppressAutoHyphens/>
        <w:ind w:left="1080"/>
        <w:rPr>
          <w:rFonts w:cs="Times New Roman"/>
          <w:spacing w:val="-3"/>
          <w:sz w:val="22"/>
          <w:szCs w:val="22"/>
        </w:rPr>
      </w:pPr>
      <w:r>
        <w:rPr>
          <w:rFonts w:cs="Times New Roman"/>
          <w:spacing w:val="-3"/>
          <w:sz w:val="22"/>
          <w:szCs w:val="22"/>
        </w:rPr>
        <w:t xml:space="preserve">Public and Private Domestic Water Supply, </w:t>
      </w:r>
    </w:p>
    <w:p w:rsidR="0027683C" w:rsidRDefault="0027683C">
      <w:pPr>
        <w:numPr>
          <w:ilvl w:val="0"/>
          <w:numId w:val="1"/>
        </w:numPr>
        <w:tabs>
          <w:tab w:val="clear" w:pos="360"/>
          <w:tab w:val="left" w:pos="-1440"/>
          <w:tab w:val="left" w:pos="-720"/>
          <w:tab w:val="num" w:pos="1080"/>
        </w:tabs>
        <w:suppressAutoHyphens/>
        <w:ind w:left="1080"/>
        <w:rPr>
          <w:rFonts w:cs="Times New Roman"/>
          <w:spacing w:val="-3"/>
          <w:sz w:val="22"/>
          <w:szCs w:val="22"/>
        </w:rPr>
      </w:pPr>
      <w:r>
        <w:rPr>
          <w:rFonts w:cs="Times New Roman"/>
          <w:spacing w:val="-3"/>
          <w:sz w:val="22"/>
          <w:szCs w:val="22"/>
        </w:rPr>
        <w:t xml:space="preserve">Industrial Water Supply, </w:t>
      </w:r>
    </w:p>
    <w:p w:rsidR="0027683C" w:rsidRDefault="0027683C">
      <w:pPr>
        <w:numPr>
          <w:ilvl w:val="0"/>
          <w:numId w:val="1"/>
        </w:numPr>
        <w:tabs>
          <w:tab w:val="clear" w:pos="360"/>
          <w:tab w:val="left" w:pos="-1440"/>
          <w:tab w:val="left" w:pos="-720"/>
          <w:tab w:val="num" w:pos="1080"/>
        </w:tabs>
        <w:suppressAutoHyphens/>
        <w:ind w:left="1080"/>
        <w:rPr>
          <w:rFonts w:cs="Times New Roman"/>
          <w:spacing w:val="-3"/>
          <w:sz w:val="22"/>
          <w:szCs w:val="22"/>
        </w:rPr>
      </w:pPr>
      <w:r>
        <w:rPr>
          <w:rFonts w:cs="Times New Roman"/>
          <w:spacing w:val="-3"/>
          <w:sz w:val="22"/>
          <w:szCs w:val="22"/>
        </w:rPr>
        <w:t xml:space="preserve">Irrigation, </w:t>
      </w:r>
    </w:p>
    <w:p w:rsidR="0027683C" w:rsidRDefault="0027683C">
      <w:pPr>
        <w:numPr>
          <w:ilvl w:val="0"/>
          <w:numId w:val="1"/>
        </w:numPr>
        <w:tabs>
          <w:tab w:val="clear" w:pos="360"/>
          <w:tab w:val="left" w:pos="-1440"/>
          <w:tab w:val="left" w:pos="-720"/>
          <w:tab w:val="num" w:pos="1080"/>
        </w:tabs>
        <w:suppressAutoHyphens/>
        <w:ind w:left="1080"/>
        <w:rPr>
          <w:rFonts w:cs="Times New Roman"/>
          <w:spacing w:val="-3"/>
          <w:sz w:val="22"/>
          <w:szCs w:val="22"/>
        </w:rPr>
      </w:pPr>
      <w:r>
        <w:rPr>
          <w:rFonts w:cs="Times New Roman"/>
          <w:spacing w:val="-3"/>
          <w:sz w:val="22"/>
          <w:szCs w:val="22"/>
        </w:rPr>
        <w:t xml:space="preserve">Livestock Watering, </w:t>
      </w:r>
    </w:p>
    <w:p w:rsidR="0027683C" w:rsidRDefault="0027683C">
      <w:pPr>
        <w:numPr>
          <w:ilvl w:val="0"/>
          <w:numId w:val="1"/>
        </w:numPr>
        <w:tabs>
          <w:tab w:val="clear" w:pos="360"/>
          <w:tab w:val="left" w:pos="-1440"/>
          <w:tab w:val="left" w:pos="-720"/>
          <w:tab w:val="num" w:pos="1080"/>
        </w:tabs>
        <w:suppressAutoHyphens/>
        <w:ind w:left="1080"/>
        <w:rPr>
          <w:rFonts w:cs="Times New Roman"/>
          <w:spacing w:val="-3"/>
          <w:sz w:val="22"/>
          <w:szCs w:val="22"/>
        </w:rPr>
      </w:pPr>
      <w:r>
        <w:rPr>
          <w:rFonts w:cs="Times New Roman"/>
          <w:spacing w:val="-3"/>
          <w:sz w:val="22"/>
          <w:szCs w:val="22"/>
        </w:rPr>
        <w:t>Fish and Aquatic Life,</w:t>
      </w:r>
    </w:p>
    <w:p w:rsidR="0027683C" w:rsidRDefault="0027683C">
      <w:pPr>
        <w:numPr>
          <w:ilvl w:val="0"/>
          <w:numId w:val="1"/>
        </w:numPr>
        <w:tabs>
          <w:tab w:val="clear" w:pos="360"/>
          <w:tab w:val="left" w:pos="-1440"/>
          <w:tab w:val="left" w:pos="-720"/>
          <w:tab w:val="num" w:pos="1080"/>
        </w:tabs>
        <w:suppressAutoHyphens/>
        <w:ind w:left="1080"/>
        <w:rPr>
          <w:rFonts w:cs="Times New Roman"/>
          <w:color w:val="000000"/>
          <w:spacing w:val="-3"/>
          <w:sz w:val="22"/>
          <w:szCs w:val="22"/>
        </w:rPr>
      </w:pPr>
      <w:r>
        <w:rPr>
          <w:rFonts w:cs="Times New Roman"/>
          <w:spacing w:val="-3"/>
          <w:sz w:val="22"/>
          <w:szCs w:val="22"/>
        </w:rPr>
        <w:t>W</w:t>
      </w:r>
      <w:r>
        <w:rPr>
          <w:rFonts w:cs="Times New Roman"/>
          <w:color w:val="000000"/>
          <w:spacing w:val="-3"/>
          <w:sz w:val="22"/>
          <w:szCs w:val="22"/>
        </w:rPr>
        <w:t xml:space="preserve">ildlife and Hunting, </w:t>
      </w:r>
    </w:p>
    <w:p w:rsidR="0027683C" w:rsidRDefault="0027683C">
      <w:pPr>
        <w:numPr>
          <w:ilvl w:val="0"/>
          <w:numId w:val="1"/>
        </w:numPr>
        <w:tabs>
          <w:tab w:val="clear" w:pos="360"/>
          <w:tab w:val="left" w:pos="-1440"/>
          <w:tab w:val="left" w:pos="-720"/>
          <w:tab w:val="num" w:pos="1080"/>
        </w:tabs>
        <w:suppressAutoHyphens/>
        <w:ind w:left="1080"/>
        <w:rPr>
          <w:rFonts w:cs="Times New Roman"/>
          <w:color w:val="000000"/>
          <w:spacing w:val="-3"/>
          <w:sz w:val="22"/>
          <w:szCs w:val="22"/>
        </w:rPr>
      </w:pPr>
      <w:r>
        <w:rPr>
          <w:rFonts w:cs="Times New Roman"/>
          <w:color w:val="000000"/>
          <w:spacing w:val="-3"/>
          <w:sz w:val="22"/>
          <w:szCs w:val="22"/>
        </w:rPr>
        <w:t xml:space="preserve">Fishing, </w:t>
      </w:r>
    </w:p>
    <w:p w:rsidR="0027683C" w:rsidRDefault="0027683C">
      <w:pPr>
        <w:numPr>
          <w:ilvl w:val="0"/>
          <w:numId w:val="1"/>
        </w:numPr>
        <w:tabs>
          <w:tab w:val="clear" w:pos="360"/>
          <w:tab w:val="left" w:pos="-1440"/>
          <w:tab w:val="left" w:pos="-720"/>
          <w:tab w:val="num" w:pos="1080"/>
        </w:tabs>
        <w:suppressAutoHyphens/>
        <w:ind w:left="1080"/>
        <w:rPr>
          <w:rFonts w:cs="Times New Roman"/>
          <w:color w:val="000000"/>
          <w:spacing w:val="-3"/>
          <w:sz w:val="22"/>
          <w:szCs w:val="22"/>
        </w:rPr>
      </w:pPr>
      <w:r>
        <w:rPr>
          <w:rFonts w:cs="Times New Roman"/>
          <w:color w:val="000000"/>
          <w:spacing w:val="-3"/>
          <w:sz w:val="22"/>
          <w:szCs w:val="22"/>
        </w:rPr>
        <w:t xml:space="preserve">Boating, </w:t>
      </w:r>
    </w:p>
    <w:p w:rsidR="0027683C" w:rsidRDefault="0027683C">
      <w:pPr>
        <w:numPr>
          <w:ilvl w:val="0"/>
          <w:numId w:val="1"/>
        </w:numPr>
        <w:tabs>
          <w:tab w:val="clear" w:pos="360"/>
          <w:tab w:val="left" w:pos="-1440"/>
          <w:tab w:val="left" w:pos="-720"/>
          <w:tab w:val="num" w:pos="1080"/>
        </w:tabs>
        <w:suppressAutoHyphens/>
        <w:ind w:left="1080"/>
        <w:rPr>
          <w:rFonts w:cs="Times New Roman"/>
          <w:color w:val="000000"/>
          <w:spacing w:val="-3"/>
          <w:sz w:val="22"/>
          <w:szCs w:val="22"/>
        </w:rPr>
      </w:pPr>
      <w:r>
        <w:rPr>
          <w:rFonts w:cs="Times New Roman"/>
          <w:color w:val="000000"/>
          <w:spacing w:val="-3"/>
          <w:sz w:val="22"/>
          <w:szCs w:val="22"/>
        </w:rPr>
        <w:t xml:space="preserve">Water Contact Recreation, </w:t>
      </w:r>
    </w:p>
    <w:p w:rsidR="0027683C" w:rsidRDefault="0027683C">
      <w:pPr>
        <w:numPr>
          <w:ilvl w:val="0"/>
          <w:numId w:val="1"/>
        </w:numPr>
        <w:tabs>
          <w:tab w:val="clear" w:pos="360"/>
          <w:tab w:val="left" w:pos="-1440"/>
          <w:tab w:val="left" w:pos="-720"/>
          <w:tab w:val="num" w:pos="1080"/>
        </w:tabs>
        <w:suppressAutoHyphens/>
        <w:ind w:left="1080"/>
        <w:rPr>
          <w:rFonts w:cs="Times New Roman"/>
          <w:color w:val="000000"/>
          <w:spacing w:val="-3"/>
          <w:sz w:val="22"/>
          <w:szCs w:val="22"/>
        </w:rPr>
      </w:pPr>
      <w:r>
        <w:rPr>
          <w:rFonts w:cs="Times New Roman"/>
          <w:color w:val="000000"/>
          <w:spacing w:val="-3"/>
          <w:sz w:val="22"/>
          <w:szCs w:val="22"/>
        </w:rPr>
        <w:t>Aesthetic Quality, and</w:t>
      </w:r>
    </w:p>
    <w:p w:rsidR="0027683C" w:rsidRDefault="0027683C">
      <w:pPr>
        <w:numPr>
          <w:ilvl w:val="0"/>
          <w:numId w:val="1"/>
        </w:numPr>
        <w:tabs>
          <w:tab w:val="clear" w:pos="360"/>
          <w:tab w:val="left" w:pos="-1440"/>
          <w:tab w:val="left" w:pos="-720"/>
          <w:tab w:val="num" w:pos="1080"/>
        </w:tabs>
        <w:suppressAutoHyphens/>
        <w:ind w:left="1080"/>
        <w:rPr>
          <w:rFonts w:cs="Times New Roman"/>
          <w:color w:val="000000"/>
          <w:spacing w:val="-3"/>
          <w:sz w:val="22"/>
          <w:szCs w:val="22"/>
        </w:rPr>
      </w:pPr>
      <w:r>
        <w:rPr>
          <w:rFonts w:cs="Times New Roman"/>
          <w:color w:val="000000"/>
          <w:spacing w:val="-3"/>
          <w:sz w:val="22"/>
          <w:szCs w:val="22"/>
        </w:rPr>
        <w:t>Hydro Power.</w:t>
      </w:r>
    </w:p>
    <w:p w:rsidR="00D27855" w:rsidRDefault="00D27855">
      <w:pPr>
        <w:rPr>
          <w:rFonts w:cs="Times New Roman"/>
          <w:sz w:val="22"/>
          <w:szCs w:val="22"/>
        </w:rPr>
      </w:pPr>
    </w:p>
    <w:p w:rsidR="0027683C" w:rsidRDefault="0027683C" w:rsidP="00A43072">
      <w:pPr>
        <w:jc w:val="left"/>
        <w:rPr>
          <w:rFonts w:cs="Times New Roman"/>
          <w:sz w:val="22"/>
          <w:szCs w:val="22"/>
        </w:rPr>
      </w:pPr>
      <w:r>
        <w:rPr>
          <w:rFonts w:cs="Times New Roman"/>
          <w:sz w:val="22"/>
          <w:szCs w:val="22"/>
        </w:rPr>
        <w:t xml:space="preserve">The applicable water quality criteria are also found in Oregon Administrative Rule (OAR) 340-041.  They are intended to be protective of the beneficial uses for the basin, as listed above.  Selected water quality criteria for the Willamette River are presented in Tables 1 through 3.  </w:t>
      </w:r>
    </w:p>
    <w:p w:rsidR="0027683C" w:rsidRDefault="0027683C">
      <w:pPr>
        <w:tabs>
          <w:tab w:val="left" w:pos="-1440"/>
          <w:tab w:val="left" w:pos="-720"/>
        </w:tabs>
        <w:suppressAutoHyphens/>
        <w:rPr>
          <w:rFonts w:cs="Times New Roman"/>
          <w:spacing w:val="-3"/>
          <w:sz w:val="22"/>
          <w:szCs w:val="22"/>
        </w:rPr>
      </w:pPr>
    </w:p>
    <w:p w:rsidR="0027683C" w:rsidRDefault="0027683C">
      <w:pPr>
        <w:tabs>
          <w:tab w:val="left" w:pos="-1440"/>
          <w:tab w:val="left" w:pos="-720"/>
        </w:tabs>
        <w:suppressAutoHyphens/>
        <w:rPr>
          <w:rFonts w:cs="Times New Roman"/>
          <w:spacing w:val="-3"/>
          <w:sz w:val="22"/>
          <w:szCs w:val="22"/>
        </w:rPr>
      </w:pPr>
    </w:p>
    <w:p w:rsidR="00D27855" w:rsidRDefault="00D27855">
      <w:pPr>
        <w:tabs>
          <w:tab w:val="left" w:pos="-1440"/>
          <w:tab w:val="left" w:pos="-720"/>
        </w:tabs>
        <w:suppressAutoHyphens/>
        <w:rPr>
          <w:rFonts w:cs="Times New Roman"/>
          <w:spacing w:val="-3"/>
          <w:sz w:val="22"/>
          <w:szCs w:val="22"/>
        </w:rPr>
      </w:pPr>
    </w:p>
    <w:tbl>
      <w:tblPr>
        <w:tblW w:w="8660" w:type="dxa"/>
        <w:jc w:val="center"/>
        <w:tblLayout w:type="fixed"/>
        <w:tblLook w:val="0000"/>
      </w:tblPr>
      <w:tblGrid>
        <w:gridCol w:w="2451"/>
        <w:gridCol w:w="6209"/>
      </w:tblGrid>
      <w:tr w:rsidR="0027683C">
        <w:trPr>
          <w:cantSplit/>
          <w:trHeight w:val="332"/>
          <w:tblHeader/>
          <w:jc w:val="center"/>
        </w:trPr>
        <w:tc>
          <w:tcPr>
            <w:tcW w:w="8660"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27683C" w:rsidRDefault="0027683C">
            <w:pPr>
              <w:pStyle w:val="Exhibit--Number"/>
              <w:spacing w:before="60" w:after="60"/>
              <w:jc w:val="center"/>
              <w:rPr>
                <w:rFonts w:ascii="Arial Bold" w:hAnsi="Arial Bold" w:cs="Arial Bold"/>
                <w:caps w:val="0"/>
                <w:sz w:val="22"/>
                <w:szCs w:val="22"/>
              </w:rPr>
            </w:pPr>
            <w:r>
              <w:rPr>
                <w:rFonts w:ascii="Arial Bold" w:hAnsi="Arial Bold" w:cs="Arial Bold"/>
                <w:caps w:val="0"/>
                <w:sz w:val="22"/>
                <w:szCs w:val="22"/>
              </w:rPr>
              <w:t>Table 1</w:t>
            </w:r>
            <w:r>
              <w:rPr>
                <w:rFonts w:ascii="Arial" w:hAnsi="Arial" w:cs="Arial"/>
                <w:sz w:val="22"/>
                <w:szCs w:val="22"/>
              </w:rPr>
              <w:t xml:space="preserve">: </w:t>
            </w:r>
            <w:r>
              <w:rPr>
                <w:rFonts w:ascii="Arial Bold" w:hAnsi="Arial Bold" w:cs="Arial Bold"/>
                <w:caps w:val="0"/>
                <w:sz w:val="22"/>
                <w:szCs w:val="22"/>
              </w:rPr>
              <w:t xml:space="preserve">Selected Applicable Conventional Water Quality Criteria </w:t>
            </w:r>
          </w:p>
          <w:p w:rsidR="0027683C" w:rsidRDefault="0027683C">
            <w:pPr>
              <w:pStyle w:val="Exhibit--Number"/>
              <w:spacing w:before="60" w:after="60"/>
              <w:jc w:val="center"/>
              <w:rPr>
                <w:rFonts w:ascii="Arial" w:hAnsi="Arial" w:cs="Arial"/>
                <w:i/>
                <w:iCs/>
                <w:sz w:val="22"/>
                <w:szCs w:val="22"/>
              </w:rPr>
            </w:pPr>
            <w:r>
              <w:rPr>
                <w:rFonts w:ascii="Arial Bold" w:hAnsi="Arial Bold" w:cs="Arial Bold"/>
                <w:caps w:val="0"/>
                <w:sz w:val="22"/>
                <w:szCs w:val="22"/>
              </w:rPr>
              <w:t>For Conventional Parameters (From OAR 340-041)</w:t>
            </w:r>
          </w:p>
        </w:tc>
      </w:tr>
      <w:tr w:rsidR="0027683C">
        <w:trPr>
          <w:cantSplit/>
          <w:tblHeader/>
          <w:jc w:val="center"/>
        </w:trPr>
        <w:tc>
          <w:tcPr>
            <w:tcW w:w="2451" w:type="dxa"/>
            <w:tcBorders>
              <w:top w:val="single" w:sz="4" w:space="0" w:color="auto"/>
              <w:left w:val="single" w:sz="4" w:space="0" w:color="auto"/>
              <w:bottom w:val="single" w:sz="4" w:space="0" w:color="auto"/>
              <w:right w:val="single" w:sz="4" w:space="0" w:color="auto"/>
            </w:tcBorders>
            <w:shd w:val="pct15" w:color="auto" w:fill="auto"/>
          </w:tcPr>
          <w:p w:rsidR="0027683C" w:rsidRDefault="0027683C">
            <w:pPr>
              <w:pStyle w:val="TableHead"/>
              <w:keepNext/>
              <w:spacing w:before="40" w:after="40"/>
              <w:rPr>
                <w:rFonts w:ascii="Times New Roman" w:hAnsi="Times New Roman" w:cs="Times New Roman"/>
                <w:sz w:val="20"/>
                <w:szCs w:val="20"/>
              </w:rPr>
            </w:pPr>
            <w:r>
              <w:rPr>
                <w:rFonts w:ascii="Times New Roman" w:hAnsi="Times New Roman" w:cs="Times New Roman"/>
                <w:sz w:val="20"/>
                <w:szCs w:val="20"/>
              </w:rPr>
              <w:t>Parameter</w:t>
            </w:r>
          </w:p>
        </w:tc>
        <w:tc>
          <w:tcPr>
            <w:tcW w:w="6209" w:type="dxa"/>
            <w:tcBorders>
              <w:top w:val="single" w:sz="4" w:space="0" w:color="auto"/>
              <w:left w:val="single" w:sz="4" w:space="0" w:color="auto"/>
              <w:bottom w:val="single" w:sz="4" w:space="0" w:color="auto"/>
              <w:right w:val="single" w:sz="4" w:space="0" w:color="auto"/>
            </w:tcBorders>
            <w:shd w:val="pct15" w:color="auto" w:fill="auto"/>
          </w:tcPr>
          <w:p w:rsidR="0027683C" w:rsidRDefault="0027683C">
            <w:pPr>
              <w:pStyle w:val="TableHead"/>
              <w:keepNext/>
              <w:spacing w:before="40" w:after="40"/>
              <w:ind w:right="563"/>
              <w:rPr>
                <w:rFonts w:ascii="Times New Roman" w:hAnsi="Times New Roman" w:cs="Times New Roman"/>
                <w:sz w:val="20"/>
                <w:szCs w:val="20"/>
              </w:rPr>
            </w:pPr>
            <w:r>
              <w:rPr>
                <w:rFonts w:ascii="Times New Roman" w:hAnsi="Times New Roman" w:cs="Times New Roman"/>
                <w:sz w:val="20"/>
                <w:szCs w:val="20"/>
              </w:rPr>
              <w:t>In-stream Water Quality Criteria</w:t>
            </w:r>
          </w:p>
        </w:tc>
      </w:tr>
      <w:tr w:rsidR="0027683C">
        <w:trPr>
          <w:cantSplit/>
          <w:jc w:val="center"/>
        </w:trPr>
        <w:tc>
          <w:tcPr>
            <w:tcW w:w="2451" w:type="dxa"/>
            <w:tcBorders>
              <w:top w:val="single" w:sz="4" w:space="0" w:color="auto"/>
              <w:left w:val="single" w:sz="4" w:space="0" w:color="auto"/>
              <w:bottom w:val="single" w:sz="4" w:space="0" w:color="auto"/>
              <w:right w:val="single" w:sz="4" w:space="0" w:color="auto"/>
            </w:tcBorders>
          </w:tcPr>
          <w:p w:rsidR="0027683C" w:rsidRDefault="0027683C">
            <w:pPr>
              <w:pStyle w:val="TableBody"/>
              <w:keepNext/>
              <w:spacing w:before="40" w:after="40"/>
            </w:pPr>
            <w:r>
              <w:t>Dissolved Oxygen</w:t>
            </w:r>
          </w:p>
          <w:p w:rsidR="0027683C" w:rsidRDefault="0027683C">
            <w:pPr>
              <w:pStyle w:val="TableBody"/>
              <w:keepNext/>
              <w:spacing w:before="40" w:after="40"/>
            </w:pPr>
          </w:p>
        </w:tc>
        <w:tc>
          <w:tcPr>
            <w:tcW w:w="6209" w:type="dxa"/>
            <w:tcBorders>
              <w:top w:val="single" w:sz="4" w:space="0" w:color="auto"/>
              <w:left w:val="single" w:sz="4" w:space="0" w:color="auto"/>
              <w:bottom w:val="single" w:sz="4" w:space="0" w:color="auto"/>
              <w:right w:val="single" w:sz="4" w:space="0" w:color="auto"/>
            </w:tcBorders>
            <w:vAlign w:val="center"/>
          </w:tcPr>
          <w:p w:rsidR="0027683C" w:rsidRDefault="0027683C">
            <w:pPr>
              <w:pStyle w:val="TableBody"/>
              <w:keepNext/>
              <w:spacing w:before="40" w:after="40"/>
              <w:ind w:right="563"/>
            </w:pPr>
            <w:r>
              <w:t>Cool Water Aquatic Life Criteria (applies in summer):</w:t>
            </w:r>
          </w:p>
          <w:p w:rsidR="0027683C" w:rsidRDefault="0027683C">
            <w:pPr>
              <w:pStyle w:val="TableBody"/>
              <w:keepNext/>
              <w:spacing w:before="40" w:after="40"/>
              <w:ind w:left="518" w:right="562" w:hanging="518"/>
            </w:pPr>
            <w:r>
              <w:rPr>
                <w:u w:val="single"/>
              </w:rPr>
              <w:t>&gt;</w:t>
            </w:r>
            <w:r>
              <w:t xml:space="preserve"> 6.5 mg/L (absolute minimum for surface samples)</w:t>
            </w:r>
          </w:p>
        </w:tc>
      </w:tr>
      <w:tr w:rsidR="0027683C">
        <w:trPr>
          <w:cantSplit/>
          <w:jc w:val="center"/>
        </w:trPr>
        <w:tc>
          <w:tcPr>
            <w:tcW w:w="2451" w:type="dxa"/>
            <w:tcBorders>
              <w:top w:val="single" w:sz="4" w:space="0" w:color="auto"/>
              <w:left w:val="single" w:sz="4" w:space="0" w:color="auto"/>
              <w:bottom w:val="single" w:sz="4" w:space="0" w:color="auto"/>
              <w:right w:val="single" w:sz="4" w:space="0" w:color="auto"/>
            </w:tcBorders>
          </w:tcPr>
          <w:p w:rsidR="0027683C" w:rsidRDefault="0027683C">
            <w:pPr>
              <w:pStyle w:val="TableBody"/>
              <w:keepNext/>
              <w:spacing w:before="40" w:after="40"/>
              <w:rPr>
                <w:color w:val="000000"/>
              </w:rPr>
            </w:pPr>
            <w:r>
              <w:rPr>
                <w:color w:val="000000"/>
              </w:rPr>
              <w:t xml:space="preserve">pH </w:t>
            </w:r>
          </w:p>
        </w:tc>
        <w:tc>
          <w:tcPr>
            <w:tcW w:w="6209" w:type="dxa"/>
            <w:tcBorders>
              <w:top w:val="single" w:sz="4" w:space="0" w:color="auto"/>
              <w:left w:val="single" w:sz="4" w:space="0" w:color="auto"/>
              <w:bottom w:val="single" w:sz="4" w:space="0" w:color="auto"/>
              <w:right w:val="single" w:sz="4" w:space="0" w:color="auto"/>
            </w:tcBorders>
            <w:vAlign w:val="center"/>
          </w:tcPr>
          <w:p w:rsidR="0027683C" w:rsidRDefault="0027683C">
            <w:pPr>
              <w:pStyle w:val="TableBody"/>
              <w:keepNext/>
              <w:spacing w:before="40" w:after="40"/>
              <w:rPr>
                <w:color w:val="000000"/>
              </w:rPr>
            </w:pPr>
            <w:r>
              <w:rPr>
                <w:color w:val="000000"/>
                <w:u w:val="single"/>
              </w:rPr>
              <w:t>&gt;</w:t>
            </w:r>
            <w:r>
              <w:rPr>
                <w:color w:val="000000"/>
              </w:rPr>
              <w:t xml:space="preserve"> 6.5 and </w:t>
            </w:r>
            <w:r>
              <w:rPr>
                <w:color w:val="000000"/>
                <w:u w:val="single"/>
              </w:rPr>
              <w:t>&lt;</w:t>
            </w:r>
            <w:r>
              <w:rPr>
                <w:color w:val="000000"/>
              </w:rPr>
              <w:t xml:space="preserve"> 8.5</w:t>
            </w:r>
          </w:p>
        </w:tc>
      </w:tr>
      <w:tr w:rsidR="0027683C">
        <w:trPr>
          <w:cantSplit/>
          <w:jc w:val="center"/>
        </w:trPr>
        <w:tc>
          <w:tcPr>
            <w:tcW w:w="2451" w:type="dxa"/>
            <w:tcBorders>
              <w:top w:val="single" w:sz="4" w:space="0" w:color="auto"/>
              <w:left w:val="single" w:sz="4" w:space="0" w:color="auto"/>
              <w:bottom w:val="single" w:sz="4" w:space="0" w:color="auto"/>
              <w:right w:val="single" w:sz="4" w:space="0" w:color="auto"/>
            </w:tcBorders>
          </w:tcPr>
          <w:p w:rsidR="0027683C" w:rsidRDefault="0027683C">
            <w:pPr>
              <w:pStyle w:val="TableBody"/>
              <w:keepNext/>
              <w:spacing w:before="40" w:after="40"/>
              <w:rPr>
                <w:color w:val="000000"/>
              </w:rPr>
            </w:pPr>
            <w:r>
              <w:rPr>
                <w:color w:val="000000"/>
              </w:rPr>
              <w:t>Temperature</w:t>
            </w:r>
          </w:p>
          <w:p w:rsidR="0027683C" w:rsidRDefault="0027683C">
            <w:pPr>
              <w:pStyle w:val="TableBody"/>
              <w:keepNext/>
              <w:spacing w:before="40" w:after="40"/>
              <w:rPr>
                <w:color w:val="000000"/>
              </w:rPr>
            </w:pPr>
            <w:r>
              <w:rPr>
                <w:color w:val="000000"/>
              </w:rPr>
              <w:t xml:space="preserve"> </w:t>
            </w:r>
          </w:p>
        </w:tc>
        <w:tc>
          <w:tcPr>
            <w:tcW w:w="6209" w:type="dxa"/>
            <w:tcBorders>
              <w:top w:val="single" w:sz="4" w:space="0" w:color="auto"/>
              <w:left w:val="single" w:sz="4" w:space="0" w:color="auto"/>
              <w:bottom w:val="single" w:sz="4" w:space="0" w:color="auto"/>
              <w:right w:val="single" w:sz="4" w:space="0" w:color="auto"/>
            </w:tcBorders>
            <w:vAlign w:val="center"/>
          </w:tcPr>
          <w:p w:rsidR="0027683C" w:rsidRDefault="0027683C">
            <w:pPr>
              <w:pStyle w:val="TableBody"/>
              <w:keepNext/>
              <w:spacing w:before="40" w:after="40"/>
              <w:ind w:right="563"/>
              <w:rPr>
                <w:color w:val="000000"/>
              </w:rPr>
            </w:pPr>
            <w:r>
              <w:rPr>
                <w:color w:val="000000"/>
              </w:rPr>
              <w:t>The 7-day average maximum temperature of a stream identified as a migration corridor may not exceed 20 ºC (68 ºF) – Insignificant anthropogenic inputs are allowed</w:t>
            </w:r>
          </w:p>
        </w:tc>
      </w:tr>
      <w:tr w:rsidR="0027683C">
        <w:trPr>
          <w:cantSplit/>
          <w:jc w:val="center"/>
        </w:trPr>
        <w:tc>
          <w:tcPr>
            <w:tcW w:w="2451" w:type="dxa"/>
            <w:tcBorders>
              <w:top w:val="single" w:sz="4" w:space="0" w:color="auto"/>
              <w:left w:val="single" w:sz="4" w:space="0" w:color="auto"/>
              <w:bottom w:val="single" w:sz="6" w:space="0" w:color="auto"/>
              <w:right w:val="single" w:sz="4" w:space="0" w:color="auto"/>
            </w:tcBorders>
          </w:tcPr>
          <w:p w:rsidR="0027683C" w:rsidRDefault="0027683C">
            <w:pPr>
              <w:pStyle w:val="TableBody"/>
              <w:keepNext/>
              <w:spacing w:before="40" w:after="40"/>
              <w:rPr>
                <w:color w:val="000000"/>
              </w:rPr>
            </w:pPr>
            <w:r>
              <w:rPr>
                <w:color w:val="000000"/>
              </w:rPr>
              <w:t>Turbidity</w:t>
            </w:r>
          </w:p>
          <w:p w:rsidR="0027683C" w:rsidRDefault="0027683C">
            <w:pPr>
              <w:pStyle w:val="TableBody"/>
              <w:keepNext/>
              <w:spacing w:before="40" w:after="40"/>
              <w:rPr>
                <w:color w:val="000000"/>
              </w:rPr>
            </w:pPr>
            <w:r>
              <w:rPr>
                <w:color w:val="000000"/>
              </w:rPr>
              <w:t>(OAR 340-041-0036)</w:t>
            </w:r>
          </w:p>
        </w:tc>
        <w:tc>
          <w:tcPr>
            <w:tcW w:w="6209" w:type="dxa"/>
            <w:tcBorders>
              <w:top w:val="single" w:sz="4" w:space="0" w:color="auto"/>
              <w:left w:val="single" w:sz="4" w:space="0" w:color="auto"/>
              <w:bottom w:val="single" w:sz="6" w:space="0" w:color="auto"/>
              <w:right w:val="single" w:sz="4" w:space="0" w:color="auto"/>
            </w:tcBorders>
            <w:vAlign w:val="center"/>
          </w:tcPr>
          <w:p w:rsidR="0027683C" w:rsidRDefault="0027683C">
            <w:pPr>
              <w:pStyle w:val="TableBody"/>
              <w:keepNext/>
              <w:spacing w:before="40" w:after="40"/>
              <w:ind w:right="653"/>
              <w:rPr>
                <w:color w:val="000000"/>
                <w:u w:val="single"/>
              </w:rPr>
            </w:pPr>
            <w:r>
              <w:rPr>
                <w:color w:val="000000"/>
              </w:rPr>
              <w:t>No more than a ten percent cumulative increase in natural stream turbidities shall be allowed, as measured relative to a control point immediately upstream of the turbidity causing activity.</w:t>
            </w:r>
          </w:p>
        </w:tc>
      </w:tr>
    </w:tbl>
    <w:p w:rsidR="0027683C" w:rsidRDefault="0027683C">
      <w:pPr>
        <w:jc w:val="left"/>
        <w:rPr>
          <w:rFonts w:cs="Times New Roman"/>
          <w:color w:val="000000"/>
          <w:spacing w:val="-3"/>
          <w:sz w:val="16"/>
          <w:szCs w:val="16"/>
        </w:rPr>
      </w:pPr>
    </w:p>
    <w:p w:rsidR="00D27855" w:rsidRDefault="00D27855">
      <w:pPr>
        <w:jc w:val="left"/>
        <w:rPr>
          <w:rFonts w:cs="Times New Roman"/>
          <w:color w:val="000000"/>
          <w:spacing w:val="-3"/>
          <w:sz w:val="16"/>
          <w:szCs w:val="16"/>
        </w:rPr>
      </w:pPr>
      <w:r>
        <w:rPr>
          <w:rFonts w:cs="Times New Roman"/>
          <w:color w:val="000000"/>
          <w:spacing w:val="-3"/>
          <w:sz w:val="16"/>
          <w:szCs w:val="16"/>
        </w:rPr>
        <w:br w:type="page"/>
      </w:r>
    </w:p>
    <w:p w:rsidR="00D27855" w:rsidRDefault="00D27855">
      <w:pPr>
        <w:jc w:val="left"/>
        <w:rPr>
          <w:rFonts w:cs="Times New Roman"/>
          <w:color w:val="000000"/>
          <w:spacing w:val="-3"/>
          <w:sz w:val="16"/>
          <w:szCs w:val="16"/>
        </w:rPr>
      </w:pPr>
    </w:p>
    <w:tbl>
      <w:tblPr>
        <w:tblpPr w:leftFromText="180" w:rightFromText="180" w:vertAnchor="text" w:tblpXSpec="center" w:tblpY="1"/>
        <w:tblOverlap w:val="never"/>
        <w:tblW w:w="0" w:type="auto"/>
        <w:tblLayout w:type="fixed"/>
        <w:tblLook w:val="0000"/>
      </w:tblPr>
      <w:tblGrid>
        <w:gridCol w:w="2574"/>
        <w:gridCol w:w="2520"/>
        <w:gridCol w:w="3564"/>
      </w:tblGrid>
      <w:tr w:rsidR="0027683C">
        <w:trPr>
          <w:cantSplit/>
          <w:tblHeader/>
        </w:trPr>
        <w:tc>
          <w:tcPr>
            <w:tcW w:w="8658" w:type="dxa"/>
            <w:gridSpan w:val="3"/>
            <w:tcBorders>
              <w:top w:val="single" w:sz="4" w:space="0" w:color="auto"/>
              <w:left w:val="single" w:sz="4" w:space="0" w:color="auto"/>
              <w:bottom w:val="single" w:sz="4" w:space="0" w:color="auto"/>
              <w:right w:val="single" w:sz="4" w:space="0" w:color="auto"/>
            </w:tcBorders>
            <w:shd w:val="clear" w:color="auto" w:fill="D9D9D9"/>
          </w:tcPr>
          <w:p w:rsidR="0027683C" w:rsidRDefault="0027683C">
            <w:pPr>
              <w:pStyle w:val="Exhibit--Number"/>
              <w:spacing w:before="40" w:after="40"/>
              <w:jc w:val="center"/>
              <w:rPr>
                <w:rFonts w:ascii="Arial Bold" w:hAnsi="Arial Bold" w:cs="Arial Bold"/>
                <w:caps w:val="0"/>
                <w:color w:val="000000"/>
                <w:sz w:val="22"/>
                <w:szCs w:val="22"/>
              </w:rPr>
            </w:pPr>
            <w:r>
              <w:rPr>
                <w:rFonts w:ascii="Arial" w:hAnsi="Arial" w:cs="Arial"/>
                <w:caps w:val="0"/>
                <w:sz w:val="22"/>
                <w:szCs w:val="22"/>
              </w:rPr>
              <w:t xml:space="preserve">Table </w:t>
            </w:r>
            <w:r>
              <w:rPr>
                <w:rFonts w:ascii="Arial" w:hAnsi="Arial" w:cs="Arial"/>
                <w:sz w:val="22"/>
                <w:szCs w:val="22"/>
              </w:rPr>
              <w:t xml:space="preserve">2: </w:t>
            </w:r>
            <w:r>
              <w:rPr>
                <w:rFonts w:ascii="Arial Bold" w:hAnsi="Arial Bold" w:cs="Arial Bold"/>
                <w:caps w:val="0"/>
                <w:color w:val="000000"/>
                <w:sz w:val="22"/>
                <w:szCs w:val="22"/>
              </w:rPr>
              <w:t xml:space="preserve"> Selected Applicable Toxic Water Quality Criteria</w:t>
            </w:r>
          </w:p>
          <w:p w:rsidR="0027683C" w:rsidRDefault="0027683C">
            <w:pPr>
              <w:pStyle w:val="Exhibit--Number"/>
              <w:spacing w:before="40" w:after="40"/>
              <w:jc w:val="center"/>
              <w:rPr>
                <w:rFonts w:ascii="Arial" w:hAnsi="Arial" w:cs="Arial"/>
                <w:sz w:val="22"/>
                <w:szCs w:val="22"/>
              </w:rPr>
            </w:pPr>
            <w:r>
              <w:rPr>
                <w:rFonts w:ascii="Arial Bold" w:hAnsi="Arial Bold" w:cs="Arial Bold"/>
                <w:caps w:val="0"/>
                <w:color w:val="000000"/>
                <w:sz w:val="22"/>
                <w:szCs w:val="22"/>
              </w:rPr>
              <w:t xml:space="preserve"> For the Protection of Aquatic Life</w:t>
            </w:r>
          </w:p>
        </w:tc>
      </w:tr>
      <w:tr w:rsidR="00837923" w:rsidTr="00837923">
        <w:trPr>
          <w:cantSplit/>
          <w:tblHeader/>
        </w:trPr>
        <w:tc>
          <w:tcPr>
            <w:tcW w:w="2574" w:type="dxa"/>
            <w:vMerge w:val="restart"/>
            <w:tcBorders>
              <w:top w:val="single" w:sz="4" w:space="0" w:color="auto"/>
              <w:left w:val="single" w:sz="4" w:space="0" w:color="auto"/>
              <w:bottom w:val="nil"/>
              <w:right w:val="single" w:sz="4" w:space="0" w:color="auto"/>
            </w:tcBorders>
            <w:shd w:val="clear" w:color="auto" w:fill="D9D9D9"/>
          </w:tcPr>
          <w:p w:rsidR="00837923" w:rsidRDefault="00837923">
            <w:pPr>
              <w:pStyle w:val="TableHead"/>
              <w:keepNext/>
              <w:spacing w:after="0"/>
            </w:pPr>
          </w:p>
          <w:p w:rsidR="00837923" w:rsidRDefault="00837923">
            <w:pPr>
              <w:pStyle w:val="TableHead"/>
              <w:keepNext/>
              <w:spacing w:after="0"/>
            </w:pPr>
            <w:r>
              <w:t>Parameter</w:t>
            </w:r>
          </w:p>
        </w:tc>
        <w:tc>
          <w:tcPr>
            <w:tcW w:w="6084" w:type="dxa"/>
            <w:gridSpan w:val="2"/>
            <w:tcBorders>
              <w:top w:val="single" w:sz="4" w:space="0" w:color="auto"/>
              <w:left w:val="single" w:sz="4" w:space="0" w:color="auto"/>
              <w:bottom w:val="single" w:sz="6" w:space="0" w:color="auto"/>
              <w:right w:val="single" w:sz="4" w:space="0" w:color="auto"/>
            </w:tcBorders>
            <w:shd w:val="clear" w:color="auto" w:fill="D9D9D9"/>
          </w:tcPr>
          <w:p w:rsidR="00837923" w:rsidRDefault="00837923">
            <w:pPr>
              <w:pStyle w:val="TableHead"/>
              <w:keepNext/>
            </w:pPr>
            <w:r>
              <w:t>Criteria for Protection of Freshwater Aquatic Life ( µg/L)</w:t>
            </w:r>
          </w:p>
        </w:tc>
      </w:tr>
      <w:tr w:rsidR="00837923" w:rsidTr="00837923">
        <w:trPr>
          <w:cantSplit/>
          <w:tblHeader/>
        </w:trPr>
        <w:tc>
          <w:tcPr>
            <w:tcW w:w="2574" w:type="dxa"/>
            <w:vMerge/>
            <w:tcBorders>
              <w:top w:val="nil"/>
              <w:left w:val="single" w:sz="4" w:space="0" w:color="auto"/>
              <w:bottom w:val="single" w:sz="4" w:space="0" w:color="auto"/>
              <w:right w:val="single" w:sz="4" w:space="0" w:color="auto"/>
            </w:tcBorders>
            <w:shd w:val="clear" w:color="auto" w:fill="D9D9D9"/>
          </w:tcPr>
          <w:p w:rsidR="00837923" w:rsidRDefault="00837923">
            <w:pPr>
              <w:pStyle w:val="TableHead"/>
              <w:keepNext/>
            </w:pPr>
          </w:p>
        </w:tc>
        <w:tc>
          <w:tcPr>
            <w:tcW w:w="2520" w:type="dxa"/>
            <w:tcBorders>
              <w:top w:val="single" w:sz="6" w:space="0" w:color="auto"/>
              <w:left w:val="single" w:sz="4" w:space="0" w:color="auto"/>
              <w:bottom w:val="single" w:sz="4" w:space="0" w:color="auto"/>
              <w:right w:val="single" w:sz="4" w:space="0" w:color="auto"/>
            </w:tcBorders>
            <w:shd w:val="clear" w:color="auto" w:fill="D9D9D9"/>
          </w:tcPr>
          <w:p w:rsidR="00837923" w:rsidRDefault="00837923">
            <w:pPr>
              <w:pStyle w:val="TableHead"/>
              <w:keepNext/>
              <w:spacing w:before="0"/>
            </w:pPr>
            <w:r>
              <w:t>Acute</w:t>
            </w:r>
          </w:p>
        </w:tc>
        <w:tc>
          <w:tcPr>
            <w:tcW w:w="3564" w:type="dxa"/>
            <w:tcBorders>
              <w:top w:val="single" w:sz="6" w:space="0" w:color="auto"/>
              <w:left w:val="single" w:sz="4" w:space="0" w:color="auto"/>
              <w:bottom w:val="single" w:sz="4" w:space="0" w:color="auto"/>
              <w:right w:val="single" w:sz="4" w:space="0" w:color="auto"/>
            </w:tcBorders>
            <w:shd w:val="clear" w:color="auto" w:fill="D9D9D9"/>
          </w:tcPr>
          <w:p w:rsidR="00837923" w:rsidRDefault="00837923">
            <w:pPr>
              <w:pStyle w:val="TableHead"/>
              <w:keepNext/>
              <w:spacing w:before="0"/>
            </w:pPr>
            <w:r>
              <w:t>Chronic</w:t>
            </w:r>
          </w:p>
        </w:tc>
      </w:tr>
      <w:tr w:rsidR="00837923" w:rsidTr="00837923">
        <w:trPr>
          <w:cantSplit/>
          <w:trHeight w:hRule="exact" w:val="288"/>
        </w:trPr>
        <w:tc>
          <w:tcPr>
            <w:tcW w:w="2574" w:type="dxa"/>
            <w:tcBorders>
              <w:top w:val="single" w:sz="4" w:space="0" w:color="auto"/>
              <w:left w:val="single" w:sz="4" w:space="0" w:color="auto"/>
              <w:bottom w:val="single" w:sz="4" w:space="0" w:color="auto"/>
              <w:right w:val="single" w:sz="4" w:space="0" w:color="auto"/>
            </w:tcBorders>
          </w:tcPr>
          <w:p w:rsidR="00837923" w:rsidRDefault="00837923">
            <w:pPr>
              <w:pStyle w:val="TableBody"/>
              <w:keepNext/>
              <w:jc w:val="left"/>
            </w:pPr>
            <w:r>
              <w:t>Arsenic III</w:t>
            </w:r>
          </w:p>
        </w:tc>
        <w:tc>
          <w:tcPr>
            <w:tcW w:w="2520" w:type="dxa"/>
            <w:tcBorders>
              <w:top w:val="single" w:sz="4" w:space="0" w:color="auto"/>
              <w:left w:val="single" w:sz="4" w:space="0" w:color="auto"/>
              <w:bottom w:val="single" w:sz="4" w:space="0" w:color="auto"/>
              <w:right w:val="single" w:sz="4" w:space="0" w:color="auto"/>
            </w:tcBorders>
          </w:tcPr>
          <w:p w:rsidR="00837923" w:rsidRPr="00747FB1" w:rsidRDefault="00837923" w:rsidP="000161B5">
            <w:pPr>
              <w:pStyle w:val="TableBody"/>
              <w:keepNext/>
            </w:pPr>
            <w:r w:rsidRPr="00747FB1">
              <w:t>360</w:t>
            </w:r>
          </w:p>
        </w:tc>
        <w:tc>
          <w:tcPr>
            <w:tcW w:w="3564" w:type="dxa"/>
            <w:tcBorders>
              <w:top w:val="single" w:sz="4" w:space="0" w:color="auto"/>
              <w:left w:val="single" w:sz="4" w:space="0" w:color="auto"/>
              <w:bottom w:val="single" w:sz="4" w:space="0" w:color="auto"/>
              <w:right w:val="single" w:sz="4" w:space="0" w:color="auto"/>
            </w:tcBorders>
          </w:tcPr>
          <w:p w:rsidR="00837923" w:rsidRPr="00747FB1" w:rsidRDefault="00837923" w:rsidP="000161B5">
            <w:pPr>
              <w:pStyle w:val="TableBody"/>
              <w:keepNext/>
            </w:pPr>
            <w:r w:rsidRPr="00747FB1">
              <w:t>190</w:t>
            </w:r>
          </w:p>
        </w:tc>
      </w:tr>
      <w:tr w:rsidR="00837923" w:rsidTr="00837923">
        <w:trPr>
          <w:cantSplit/>
          <w:trHeight w:hRule="exact" w:val="288"/>
        </w:trPr>
        <w:tc>
          <w:tcPr>
            <w:tcW w:w="2574" w:type="dxa"/>
            <w:tcBorders>
              <w:top w:val="single" w:sz="4" w:space="0" w:color="auto"/>
              <w:left w:val="single" w:sz="4" w:space="0" w:color="auto"/>
              <w:bottom w:val="single" w:sz="4" w:space="0" w:color="auto"/>
              <w:right w:val="single" w:sz="4" w:space="0" w:color="auto"/>
            </w:tcBorders>
          </w:tcPr>
          <w:p w:rsidR="00837923" w:rsidRDefault="00837923">
            <w:pPr>
              <w:pStyle w:val="TableBody"/>
              <w:keepNext/>
              <w:jc w:val="left"/>
            </w:pPr>
            <w:r>
              <w:t>Cadmium</w:t>
            </w:r>
          </w:p>
        </w:tc>
        <w:tc>
          <w:tcPr>
            <w:tcW w:w="2520" w:type="dxa"/>
            <w:tcBorders>
              <w:top w:val="single" w:sz="4" w:space="0" w:color="auto"/>
              <w:left w:val="single" w:sz="4" w:space="0" w:color="auto"/>
              <w:bottom w:val="single" w:sz="4" w:space="0" w:color="auto"/>
              <w:right w:val="single" w:sz="4" w:space="0" w:color="auto"/>
            </w:tcBorders>
          </w:tcPr>
          <w:p w:rsidR="00837923" w:rsidRPr="00747FB1" w:rsidRDefault="00837923" w:rsidP="000161B5">
            <w:pPr>
              <w:pStyle w:val="TableBody"/>
              <w:keepNext/>
            </w:pPr>
            <w:r w:rsidRPr="00747FB1">
              <w:t>1.8</w:t>
            </w:r>
          </w:p>
        </w:tc>
        <w:tc>
          <w:tcPr>
            <w:tcW w:w="3564" w:type="dxa"/>
            <w:tcBorders>
              <w:top w:val="single" w:sz="4" w:space="0" w:color="auto"/>
              <w:left w:val="single" w:sz="4" w:space="0" w:color="auto"/>
              <w:bottom w:val="single" w:sz="4" w:space="0" w:color="auto"/>
              <w:right w:val="single" w:sz="4" w:space="0" w:color="auto"/>
            </w:tcBorders>
          </w:tcPr>
          <w:p w:rsidR="00837923" w:rsidRPr="00747FB1" w:rsidRDefault="00837923" w:rsidP="000161B5">
            <w:pPr>
              <w:pStyle w:val="TableBody"/>
              <w:keepNext/>
            </w:pPr>
            <w:r w:rsidRPr="00747FB1">
              <w:t>0.7</w:t>
            </w:r>
          </w:p>
        </w:tc>
      </w:tr>
      <w:tr w:rsidR="00837923" w:rsidTr="00837923">
        <w:trPr>
          <w:cantSplit/>
          <w:trHeight w:hRule="exact" w:val="288"/>
        </w:trPr>
        <w:tc>
          <w:tcPr>
            <w:tcW w:w="2574" w:type="dxa"/>
            <w:tcBorders>
              <w:top w:val="single" w:sz="4" w:space="0" w:color="auto"/>
              <w:left w:val="single" w:sz="4" w:space="0" w:color="auto"/>
              <w:bottom w:val="single" w:sz="4" w:space="0" w:color="auto"/>
              <w:right w:val="single" w:sz="4" w:space="0" w:color="auto"/>
            </w:tcBorders>
          </w:tcPr>
          <w:p w:rsidR="00837923" w:rsidRDefault="00837923">
            <w:pPr>
              <w:pStyle w:val="TableBody"/>
              <w:keepNext/>
              <w:jc w:val="left"/>
              <w:rPr>
                <w:vertAlign w:val="superscript"/>
              </w:rPr>
            </w:pPr>
            <w:r>
              <w:t>Copper</w:t>
            </w:r>
            <w:r>
              <w:rPr>
                <w:vertAlign w:val="superscript"/>
              </w:rPr>
              <w:t>*</w:t>
            </w:r>
          </w:p>
        </w:tc>
        <w:tc>
          <w:tcPr>
            <w:tcW w:w="2520" w:type="dxa"/>
            <w:tcBorders>
              <w:top w:val="single" w:sz="4" w:space="0" w:color="auto"/>
              <w:left w:val="single" w:sz="4" w:space="0" w:color="auto"/>
              <w:bottom w:val="single" w:sz="4" w:space="0" w:color="auto"/>
              <w:right w:val="single" w:sz="4" w:space="0" w:color="auto"/>
            </w:tcBorders>
            <w:vAlign w:val="bottom"/>
          </w:tcPr>
          <w:p w:rsidR="00837923" w:rsidRPr="00747FB1" w:rsidRDefault="006C1AFA" w:rsidP="000161B5">
            <w:pPr>
              <w:jc w:val="center"/>
              <w:rPr>
                <w:rFonts w:ascii="Arial" w:hAnsi="Arial" w:cs="Arial"/>
                <w:sz w:val="18"/>
                <w:szCs w:val="18"/>
              </w:rPr>
            </w:pPr>
            <w:r w:rsidRPr="00747FB1">
              <w:rPr>
                <w:rFonts w:ascii="Arial" w:hAnsi="Arial" w:cs="Arial"/>
                <w:sz w:val="18"/>
                <w:szCs w:val="18"/>
              </w:rPr>
              <w:t>30</w:t>
            </w:r>
          </w:p>
        </w:tc>
        <w:tc>
          <w:tcPr>
            <w:tcW w:w="3564" w:type="dxa"/>
            <w:tcBorders>
              <w:top w:val="single" w:sz="4" w:space="0" w:color="auto"/>
              <w:left w:val="single" w:sz="4" w:space="0" w:color="auto"/>
              <w:bottom w:val="single" w:sz="4" w:space="0" w:color="auto"/>
              <w:right w:val="single" w:sz="4" w:space="0" w:color="auto"/>
            </w:tcBorders>
            <w:vAlign w:val="bottom"/>
          </w:tcPr>
          <w:p w:rsidR="00837923" w:rsidRPr="00747FB1" w:rsidRDefault="00837923" w:rsidP="000161B5">
            <w:pPr>
              <w:jc w:val="center"/>
              <w:rPr>
                <w:rFonts w:ascii="Arial" w:hAnsi="Arial" w:cs="Arial"/>
                <w:sz w:val="18"/>
                <w:szCs w:val="18"/>
              </w:rPr>
            </w:pPr>
            <w:r w:rsidRPr="00747FB1">
              <w:rPr>
                <w:rFonts w:ascii="Arial" w:hAnsi="Arial" w:cs="Arial"/>
                <w:sz w:val="18"/>
                <w:szCs w:val="18"/>
              </w:rPr>
              <w:t>1</w:t>
            </w:r>
            <w:r w:rsidR="006C1AFA" w:rsidRPr="00747FB1">
              <w:rPr>
                <w:rFonts w:ascii="Arial" w:hAnsi="Arial" w:cs="Arial"/>
                <w:sz w:val="18"/>
                <w:szCs w:val="18"/>
              </w:rPr>
              <w:t>9</w:t>
            </w:r>
          </w:p>
        </w:tc>
      </w:tr>
      <w:tr w:rsidR="00837923" w:rsidTr="00837923">
        <w:trPr>
          <w:cantSplit/>
          <w:trHeight w:hRule="exact" w:val="288"/>
        </w:trPr>
        <w:tc>
          <w:tcPr>
            <w:tcW w:w="2574" w:type="dxa"/>
            <w:tcBorders>
              <w:top w:val="single" w:sz="4" w:space="0" w:color="auto"/>
              <w:left w:val="single" w:sz="4" w:space="0" w:color="auto"/>
              <w:bottom w:val="single" w:sz="4" w:space="0" w:color="auto"/>
              <w:right w:val="single" w:sz="4" w:space="0" w:color="auto"/>
            </w:tcBorders>
          </w:tcPr>
          <w:p w:rsidR="00837923" w:rsidRDefault="00837923">
            <w:pPr>
              <w:pStyle w:val="TableBody"/>
              <w:keepNext/>
              <w:jc w:val="left"/>
            </w:pPr>
            <w:r>
              <w:t>Free Cyanide</w:t>
            </w:r>
          </w:p>
        </w:tc>
        <w:tc>
          <w:tcPr>
            <w:tcW w:w="2520" w:type="dxa"/>
            <w:tcBorders>
              <w:top w:val="single" w:sz="4" w:space="0" w:color="auto"/>
              <w:left w:val="single" w:sz="4" w:space="0" w:color="auto"/>
              <w:bottom w:val="single" w:sz="4" w:space="0" w:color="auto"/>
              <w:right w:val="single" w:sz="4" w:space="0" w:color="auto"/>
            </w:tcBorders>
          </w:tcPr>
          <w:p w:rsidR="00837923" w:rsidRPr="00747FB1" w:rsidRDefault="00837923" w:rsidP="000161B5">
            <w:pPr>
              <w:pStyle w:val="TableBody"/>
              <w:keepNext/>
            </w:pPr>
            <w:r w:rsidRPr="00747FB1">
              <w:t>22</w:t>
            </w:r>
          </w:p>
        </w:tc>
        <w:tc>
          <w:tcPr>
            <w:tcW w:w="3564" w:type="dxa"/>
            <w:tcBorders>
              <w:top w:val="single" w:sz="4" w:space="0" w:color="auto"/>
              <w:left w:val="single" w:sz="4" w:space="0" w:color="auto"/>
              <w:bottom w:val="single" w:sz="4" w:space="0" w:color="auto"/>
              <w:right w:val="single" w:sz="4" w:space="0" w:color="auto"/>
            </w:tcBorders>
          </w:tcPr>
          <w:p w:rsidR="00837923" w:rsidRPr="00747FB1" w:rsidRDefault="00837923" w:rsidP="000161B5">
            <w:pPr>
              <w:pStyle w:val="TableBody"/>
              <w:keepNext/>
            </w:pPr>
            <w:r w:rsidRPr="00747FB1">
              <w:t>5.2</w:t>
            </w:r>
          </w:p>
        </w:tc>
      </w:tr>
      <w:tr w:rsidR="00837923" w:rsidTr="00837923">
        <w:trPr>
          <w:cantSplit/>
          <w:trHeight w:hRule="exact" w:val="288"/>
        </w:trPr>
        <w:tc>
          <w:tcPr>
            <w:tcW w:w="2574" w:type="dxa"/>
            <w:tcBorders>
              <w:top w:val="single" w:sz="4" w:space="0" w:color="auto"/>
              <w:left w:val="single" w:sz="4" w:space="0" w:color="auto"/>
              <w:bottom w:val="single" w:sz="4" w:space="0" w:color="auto"/>
              <w:right w:val="single" w:sz="4" w:space="0" w:color="auto"/>
            </w:tcBorders>
          </w:tcPr>
          <w:p w:rsidR="00837923" w:rsidRDefault="00837923">
            <w:pPr>
              <w:pStyle w:val="TableBody"/>
              <w:keepNext/>
              <w:jc w:val="left"/>
              <w:rPr>
                <w:vertAlign w:val="superscript"/>
              </w:rPr>
            </w:pPr>
            <w:r>
              <w:t>Lead</w:t>
            </w:r>
            <w:r>
              <w:rPr>
                <w:vertAlign w:val="superscript"/>
              </w:rPr>
              <w:t>*</w:t>
            </w:r>
          </w:p>
        </w:tc>
        <w:tc>
          <w:tcPr>
            <w:tcW w:w="2520" w:type="dxa"/>
            <w:tcBorders>
              <w:top w:val="single" w:sz="4" w:space="0" w:color="auto"/>
              <w:left w:val="single" w:sz="4" w:space="0" w:color="auto"/>
              <w:bottom w:val="single" w:sz="4" w:space="0" w:color="auto"/>
              <w:right w:val="single" w:sz="4" w:space="0" w:color="auto"/>
            </w:tcBorders>
            <w:vAlign w:val="bottom"/>
          </w:tcPr>
          <w:p w:rsidR="00837923" w:rsidRPr="00747FB1" w:rsidRDefault="006C1AFA" w:rsidP="000161B5">
            <w:pPr>
              <w:jc w:val="center"/>
              <w:rPr>
                <w:rFonts w:ascii="Arial" w:hAnsi="Arial" w:cs="Arial"/>
                <w:sz w:val="18"/>
                <w:szCs w:val="18"/>
              </w:rPr>
            </w:pPr>
            <w:r w:rsidRPr="00747FB1">
              <w:rPr>
                <w:rFonts w:ascii="Arial" w:hAnsi="Arial" w:cs="Arial"/>
                <w:sz w:val="18"/>
                <w:szCs w:val="18"/>
              </w:rPr>
              <w:t>118</w:t>
            </w:r>
          </w:p>
        </w:tc>
        <w:tc>
          <w:tcPr>
            <w:tcW w:w="3564" w:type="dxa"/>
            <w:tcBorders>
              <w:top w:val="single" w:sz="4" w:space="0" w:color="auto"/>
              <w:left w:val="single" w:sz="4" w:space="0" w:color="auto"/>
              <w:bottom w:val="single" w:sz="4" w:space="0" w:color="auto"/>
              <w:right w:val="single" w:sz="4" w:space="0" w:color="auto"/>
            </w:tcBorders>
            <w:vAlign w:val="bottom"/>
          </w:tcPr>
          <w:p w:rsidR="00837923" w:rsidRPr="00747FB1" w:rsidRDefault="00837923" w:rsidP="000161B5">
            <w:pPr>
              <w:jc w:val="center"/>
              <w:rPr>
                <w:rFonts w:ascii="Arial" w:hAnsi="Arial" w:cs="Arial"/>
                <w:sz w:val="18"/>
                <w:szCs w:val="18"/>
              </w:rPr>
            </w:pPr>
            <w:r w:rsidRPr="00747FB1">
              <w:rPr>
                <w:rFonts w:ascii="Arial" w:hAnsi="Arial" w:cs="Arial"/>
                <w:sz w:val="18"/>
                <w:szCs w:val="18"/>
              </w:rPr>
              <w:t>4.</w:t>
            </w:r>
            <w:r w:rsidR="006C1AFA" w:rsidRPr="00747FB1">
              <w:rPr>
                <w:rFonts w:ascii="Arial" w:hAnsi="Arial" w:cs="Arial"/>
                <w:sz w:val="18"/>
                <w:szCs w:val="18"/>
              </w:rPr>
              <w:t>6</w:t>
            </w:r>
          </w:p>
        </w:tc>
      </w:tr>
      <w:tr w:rsidR="00837923" w:rsidTr="00837923">
        <w:trPr>
          <w:cantSplit/>
          <w:trHeight w:hRule="exact" w:val="288"/>
        </w:trPr>
        <w:tc>
          <w:tcPr>
            <w:tcW w:w="2574" w:type="dxa"/>
            <w:tcBorders>
              <w:top w:val="single" w:sz="4" w:space="0" w:color="auto"/>
              <w:left w:val="single" w:sz="4" w:space="0" w:color="auto"/>
              <w:bottom w:val="single" w:sz="4" w:space="0" w:color="auto"/>
              <w:right w:val="single" w:sz="4" w:space="0" w:color="auto"/>
            </w:tcBorders>
          </w:tcPr>
          <w:p w:rsidR="00837923" w:rsidRDefault="00837923">
            <w:pPr>
              <w:pStyle w:val="TableBody"/>
              <w:keepNext/>
              <w:jc w:val="left"/>
            </w:pPr>
            <w:r>
              <w:t>Mercury</w:t>
            </w:r>
          </w:p>
        </w:tc>
        <w:tc>
          <w:tcPr>
            <w:tcW w:w="2520" w:type="dxa"/>
            <w:tcBorders>
              <w:top w:val="single" w:sz="4" w:space="0" w:color="auto"/>
              <w:left w:val="single" w:sz="4" w:space="0" w:color="auto"/>
              <w:bottom w:val="single" w:sz="4" w:space="0" w:color="auto"/>
              <w:right w:val="single" w:sz="4" w:space="0" w:color="auto"/>
            </w:tcBorders>
          </w:tcPr>
          <w:p w:rsidR="00837923" w:rsidRPr="00747FB1" w:rsidRDefault="00837923" w:rsidP="000161B5">
            <w:pPr>
              <w:pStyle w:val="TableBody"/>
              <w:keepNext/>
            </w:pPr>
            <w:r w:rsidRPr="00747FB1">
              <w:t>2.4</w:t>
            </w:r>
          </w:p>
        </w:tc>
        <w:tc>
          <w:tcPr>
            <w:tcW w:w="3564" w:type="dxa"/>
            <w:tcBorders>
              <w:top w:val="single" w:sz="4" w:space="0" w:color="auto"/>
              <w:left w:val="single" w:sz="4" w:space="0" w:color="auto"/>
              <w:bottom w:val="single" w:sz="4" w:space="0" w:color="auto"/>
              <w:right w:val="single" w:sz="4" w:space="0" w:color="auto"/>
            </w:tcBorders>
          </w:tcPr>
          <w:p w:rsidR="00837923" w:rsidRPr="00747FB1" w:rsidRDefault="00837923" w:rsidP="000161B5">
            <w:pPr>
              <w:pStyle w:val="TableBody"/>
              <w:keepNext/>
            </w:pPr>
            <w:r w:rsidRPr="00747FB1">
              <w:t>0.012</w:t>
            </w:r>
          </w:p>
        </w:tc>
      </w:tr>
      <w:tr w:rsidR="00837923" w:rsidTr="00837923">
        <w:trPr>
          <w:cantSplit/>
          <w:trHeight w:hRule="exact" w:val="288"/>
        </w:trPr>
        <w:tc>
          <w:tcPr>
            <w:tcW w:w="2574" w:type="dxa"/>
            <w:tcBorders>
              <w:top w:val="single" w:sz="4" w:space="0" w:color="auto"/>
              <w:left w:val="single" w:sz="4" w:space="0" w:color="auto"/>
              <w:bottom w:val="single" w:sz="4" w:space="0" w:color="auto"/>
              <w:right w:val="single" w:sz="4" w:space="0" w:color="auto"/>
            </w:tcBorders>
          </w:tcPr>
          <w:p w:rsidR="00837923" w:rsidRDefault="00837923">
            <w:pPr>
              <w:pStyle w:val="TableBody"/>
              <w:keepNext/>
              <w:jc w:val="left"/>
              <w:rPr>
                <w:vertAlign w:val="superscript"/>
              </w:rPr>
            </w:pPr>
            <w:r>
              <w:t>Selenium</w:t>
            </w:r>
          </w:p>
        </w:tc>
        <w:tc>
          <w:tcPr>
            <w:tcW w:w="2520" w:type="dxa"/>
            <w:tcBorders>
              <w:top w:val="single" w:sz="4" w:space="0" w:color="auto"/>
              <w:left w:val="single" w:sz="4" w:space="0" w:color="auto"/>
              <w:bottom w:val="single" w:sz="4" w:space="0" w:color="auto"/>
              <w:right w:val="single" w:sz="4" w:space="0" w:color="auto"/>
            </w:tcBorders>
          </w:tcPr>
          <w:p w:rsidR="00837923" w:rsidRPr="00747FB1" w:rsidRDefault="00837923" w:rsidP="000161B5">
            <w:pPr>
              <w:pStyle w:val="TableBody"/>
              <w:keepNext/>
            </w:pPr>
            <w:r w:rsidRPr="00747FB1">
              <w:t>260</w:t>
            </w:r>
          </w:p>
        </w:tc>
        <w:tc>
          <w:tcPr>
            <w:tcW w:w="3564" w:type="dxa"/>
            <w:tcBorders>
              <w:top w:val="single" w:sz="4" w:space="0" w:color="auto"/>
              <w:left w:val="single" w:sz="4" w:space="0" w:color="auto"/>
              <w:bottom w:val="single" w:sz="4" w:space="0" w:color="auto"/>
              <w:right w:val="single" w:sz="4" w:space="0" w:color="auto"/>
            </w:tcBorders>
          </w:tcPr>
          <w:p w:rsidR="00837923" w:rsidRPr="00747FB1" w:rsidRDefault="00837923" w:rsidP="000161B5">
            <w:pPr>
              <w:pStyle w:val="TableBody"/>
              <w:keepNext/>
            </w:pPr>
            <w:r w:rsidRPr="00747FB1">
              <w:t>35</w:t>
            </w:r>
          </w:p>
        </w:tc>
      </w:tr>
      <w:tr w:rsidR="00837923" w:rsidTr="00837923">
        <w:trPr>
          <w:cantSplit/>
          <w:trHeight w:hRule="exact" w:val="288"/>
        </w:trPr>
        <w:tc>
          <w:tcPr>
            <w:tcW w:w="2574" w:type="dxa"/>
            <w:tcBorders>
              <w:top w:val="single" w:sz="4" w:space="0" w:color="auto"/>
              <w:left w:val="single" w:sz="4" w:space="0" w:color="auto"/>
              <w:bottom w:val="single" w:sz="4" w:space="0" w:color="auto"/>
              <w:right w:val="single" w:sz="4" w:space="0" w:color="auto"/>
            </w:tcBorders>
          </w:tcPr>
          <w:p w:rsidR="00837923" w:rsidRDefault="00837923">
            <w:pPr>
              <w:pStyle w:val="TableBody"/>
              <w:keepNext/>
              <w:jc w:val="left"/>
              <w:rPr>
                <w:vertAlign w:val="superscript"/>
              </w:rPr>
            </w:pPr>
            <w:r>
              <w:t>Zinc</w:t>
            </w:r>
            <w:r>
              <w:rPr>
                <w:vertAlign w:val="superscript"/>
              </w:rPr>
              <w:t>*</w:t>
            </w:r>
          </w:p>
        </w:tc>
        <w:tc>
          <w:tcPr>
            <w:tcW w:w="2520" w:type="dxa"/>
            <w:tcBorders>
              <w:top w:val="single" w:sz="4" w:space="0" w:color="auto"/>
              <w:left w:val="single" w:sz="4" w:space="0" w:color="auto"/>
              <w:bottom w:val="single" w:sz="4" w:space="0" w:color="auto"/>
              <w:right w:val="single" w:sz="4" w:space="0" w:color="auto"/>
            </w:tcBorders>
            <w:vAlign w:val="bottom"/>
          </w:tcPr>
          <w:p w:rsidR="00837923" w:rsidRPr="00747FB1" w:rsidRDefault="00837923" w:rsidP="000161B5">
            <w:pPr>
              <w:jc w:val="center"/>
              <w:rPr>
                <w:rFonts w:ascii="Arial" w:hAnsi="Arial" w:cs="Arial"/>
                <w:sz w:val="18"/>
                <w:szCs w:val="18"/>
              </w:rPr>
            </w:pPr>
            <w:r w:rsidRPr="00747FB1">
              <w:rPr>
                <w:rFonts w:ascii="Arial" w:hAnsi="Arial" w:cs="Arial"/>
                <w:sz w:val="18"/>
                <w:szCs w:val="18"/>
              </w:rPr>
              <w:t>1</w:t>
            </w:r>
            <w:r w:rsidR="006C1AFA" w:rsidRPr="00747FB1">
              <w:rPr>
                <w:rFonts w:ascii="Arial" w:hAnsi="Arial" w:cs="Arial"/>
                <w:sz w:val="18"/>
                <w:szCs w:val="18"/>
              </w:rPr>
              <w:t>88</w:t>
            </w:r>
          </w:p>
        </w:tc>
        <w:tc>
          <w:tcPr>
            <w:tcW w:w="3564" w:type="dxa"/>
            <w:tcBorders>
              <w:top w:val="single" w:sz="4" w:space="0" w:color="auto"/>
              <w:left w:val="single" w:sz="4" w:space="0" w:color="auto"/>
              <w:bottom w:val="single" w:sz="4" w:space="0" w:color="auto"/>
              <w:right w:val="single" w:sz="4" w:space="0" w:color="auto"/>
            </w:tcBorders>
            <w:vAlign w:val="bottom"/>
          </w:tcPr>
          <w:p w:rsidR="00837923" w:rsidRPr="00747FB1" w:rsidRDefault="006C1AFA" w:rsidP="000161B5">
            <w:pPr>
              <w:jc w:val="center"/>
              <w:rPr>
                <w:rFonts w:ascii="Arial" w:hAnsi="Arial" w:cs="Arial"/>
                <w:sz w:val="18"/>
                <w:szCs w:val="18"/>
              </w:rPr>
            </w:pPr>
            <w:r w:rsidRPr="00747FB1">
              <w:rPr>
                <w:rFonts w:ascii="Arial" w:hAnsi="Arial" w:cs="Arial"/>
                <w:sz w:val="18"/>
                <w:szCs w:val="18"/>
              </w:rPr>
              <w:t>190</w:t>
            </w:r>
          </w:p>
        </w:tc>
      </w:tr>
      <w:tr w:rsidR="0027683C">
        <w:trPr>
          <w:cantSplit/>
          <w:trHeight w:hRule="exact" w:val="288"/>
        </w:trPr>
        <w:tc>
          <w:tcPr>
            <w:tcW w:w="8658" w:type="dxa"/>
            <w:gridSpan w:val="3"/>
            <w:tcBorders>
              <w:top w:val="single" w:sz="4" w:space="0" w:color="auto"/>
              <w:left w:val="single" w:sz="4" w:space="0" w:color="auto"/>
              <w:bottom w:val="single" w:sz="4" w:space="0" w:color="auto"/>
              <w:right w:val="single" w:sz="4" w:space="0" w:color="auto"/>
            </w:tcBorders>
          </w:tcPr>
          <w:p w:rsidR="0027683C" w:rsidRDefault="0027683C" w:rsidP="00CF153B">
            <w:pPr>
              <w:pStyle w:val="TableBody"/>
              <w:keepNext/>
            </w:pPr>
            <w:r>
              <w:t xml:space="preserve">* Hardness dependent criteria.  A hardness of </w:t>
            </w:r>
            <w:r w:rsidR="003C55D9">
              <w:t>175</w:t>
            </w:r>
            <w:r w:rsidRPr="000161B5">
              <w:t xml:space="preserve"> m</w:t>
            </w:r>
            <w:r>
              <w:t>g/L was used for this table.</w:t>
            </w:r>
          </w:p>
        </w:tc>
      </w:tr>
    </w:tbl>
    <w:p w:rsidR="0027683C" w:rsidRDefault="0027683C">
      <w:pPr>
        <w:jc w:val="left"/>
        <w:rPr>
          <w:rFonts w:cs="Times New Roman"/>
          <w:color w:val="000000"/>
          <w:spacing w:val="-3"/>
          <w:sz w:val="22"/>
          <w:szCs w:val="22"/>
        </w:rPr>
      </w:pPr>
    </w:p>
    <w:p w:rsidR="0027683C" w:rsidRDefault="0027683C">
      <w:pPr>
        <w:pStyle w:val="Asteve13B"/>
      </w:pPr>
      <w:bookmarkStart w:id="32" w:name="_Toc197758204"/>
    </w:p>
    <w:p w:rsidR="0027683C" w:rsidRDefault="0027683C">
      <w:pPr>
        <w:rPr>
          <w:rFonts w:cs="Times New Roman"/>
        </w:rPr>
      </w:pPr>
    </w:p>
    <w:p w:rsidR="0027683C" w:rsidRDefault="0027683C">
      <w:pPr>
        <w:rPr>
          <w:rFonts w:cs="Times New Roman"/>
        </w:rPr>
      </w:pPr>
    </w:p>
    <w:p w:rsidR="0027683C" w:rsidRDefault="0027683C">
      <w:pPr>
        <w:rPr>
          <w:rFonts w:cs="Times New Roman"/>
        </w:rPr>
      </w:pPr>
    </w:p>
    <w:p w:rsidR="0027683C" w:rsidRDefault="0027683C">
      <w:pPr>
        <w:rPr>
          <w:rFonts w:cs="Times New Roman"/>
        </w:rPr>
      </w:pPr>
    </w:p>
    <w:p w:rsidR="0027683C" w:rsidRDefault="0027683C">
      <w:pPr>
        <w:rPr>
          <w:rFonts w:cs="Times New Roman"/>
        </w:rPr>
      </w:pPr>
    </w:p>
    <w:p w:rsidR="0027683C" w:rsidRDefault="0027683C">
      <w:pPr>
        <w:rPr>
          <w:rFonts w:cs="Times New Roman"/>
        </w:rPr>
      </w:pPr>
    </w:p>
    <w:p w:rsidR="0027683C" w:rsidRDefault="0027683C">
      <w:pPr>
        <w:rPr>
          <w:rFonts w:cs="Times New Roman"/>
        </w:rPr>
      </w:pPr>
    </w:p>
    <w:p w:rsidR="0027683C" w:rsidRDefault="0027683C">
      <w:pPr>
        <w:rPr>
          <w:rFonts w:cs="Times New Roman"/>
        </w:rPr>
      </w:pPr>
    </w:p>
    <w:p w:rsidR="0027683C" w:rsidRDefault="0027683C">
      <w:pPr>
        <w:rPr>
          <w:rFonts w:cs="Times New Roman"/>
        </w:rPr>
      </w:pPr>
    </w:p>
    <w:p w:rsidR="0027683C" w:rsidRDefault="0027683C">
      <w:pPr>
        <w:rPr>
          <w:rFonts w:cs="Times New Roman"/>
        </w:rPr>
      </w:pPr>
    </w:p>
    <w:p w:rsidR="0027683C" w:rsidRDefault="0027683C">
      <w:pPr>
        <w:rPr>
          <w:rFonts w:cs="Times New Roman"/>
        </w:rPr>
      </w:pPr>
    </w:p>
    <w:p w:rsidR="00D27855" w:rsidRDefault="00D27855">
      <w:pPr>
        <w:rPr>
          <w:rFonts w:cs="Times New Roman"/>
        </w:rPr>
      </w:pPr>
    </w:p>
    <w:p w:rsidR="00D27855" w:rsidRDefault="00D27855">
      <w:pPr>
        <w:rPr>
          <w:rFonts w:cs="Times New Roman"/>
        </w:rPr>
      </w:pPr>
    </w:p>
    <w:p w:rsidR="0027683C" w:rsidRDefault="0027683C">
      <w:pP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7"/>
        <w:gridCol w:w="2880"/>
        <w:gridCol w:w="2938"/>
      </w:tblGrid>
      <w:tr w:rsidR="0027683C">
        <w:trPr>
          <w:cantSplit/>
          <w:tblHeader/>
          <w:jc w:val="center"/>
        </w:trPr>
        <w:tc>
          <w:tcPr>
            <w:tcW w:w="8435" w:type="dxa"/>
            <w:gridSpan w:val="3"/>
            <w:shd w:val="clear" w:color="auto" w:fill="D9D9D9"/>
          </w:tcPr>
          <w:p w:rsidR="0027683C" w:rsidRPr="00D27855" w:rsidRDefault="0027683C">
            <w:pPr>
              <w:pStyle w:val="Exhibit--Number"/>
              <w:spacing w:before="40" w:after="40"/>
              <w:jc w:val="center"/>
              <w:rPr>
                <w:rFonts w:ascii="Arial Bold" w:hAnsi="Arial Bold" w:cs="Arial Bold"/>
                <w:caps w:val="0"/>
                <w:color w:val="000000"/>
                <w:sz w:val="22"/>
                <w:szCs w:val="22"/>
              </w:rPr>
            </w:pPr>
            <w:r w:rsidRPr="00D27855">
              <w:rPr>
                <w:rFonts w:ascii="Arial" w:hAnsi="Arial" w:cs="Arial"/>
                <w:caps w:val="0"/>
                <w:sz w:val="22"/>
                <w:szCs w:val="22"/>
              </w:rPr>
              <w:t xml:space="preserve">Table </w:t>
            </w:r>
            <w:r w:rsidRPr="00D27855">
              <w:rPr>
                <w:rFonts w:ascii="Arial" w:hAnsi="Arial" w:cs="Arial"/>
                <w:sz w:val="22"/>
                <w:szCs w:val="22"/>
              </w:rPr>
              <w:t xml:space="preserve">3: </w:t>
            </w:r>
            <w:r w:rsidRPr="00D27855">
              <w:rPr>
                <w:rFonts w:ascii="Arial Bold" w:hAnsi="Arial Bold" w:cs="Arial Bold"/>
                <w:caps w:val="0"/>
                <w:color w:val="000000"/>
                <w:sz w:val="22"/>
                <w:szCs w:val="22"/>
              </w:rPr>
              <w:t>Selected Applicable Toxic Water Quality Criteria</w:t>
            </w:r>
          </w:p>
          <w:p w:rsidR="0027683C" w:rsidRPr="00D27855" w:rsidRDefault="0027683C">
            <w:pPr>
              <w:pStyle w:val="Exhibit--Number"/>
              <w:spacing w:before="40" w:after="40"/>
              <w:jc w:val="center"/>
              <w:rPr>
                <w:rFonts w:ascii="Arial" w:hAnsi="Arial" w:cs="Arial"/>
                <w:sz w:val="22"/>
                <w:szCs w:val="22"/>
              </w:rPr>
            </w:pPr>
            <w:r w:rsidRPr="00D27855">
              <w:rPr>
                <w:rFonts w:ascii="Arial Bold" w:hAnsi="Arial Bold" w:cs="Arial Bold"/>
                <w:caps w:val="0"/>
                <w:color w:val="000000"/>
                <w:sz w:val="22"/>
                <w:szCs w:val="22"/>
              </w:rPr>
              <w:t xml:space="preserve"> For the Protection of Human Health</w:t>
            </w:r>
          </w:p>
        </w:tc>
      </w:tr>
      <w:tr w:rsidR="0027683C">
        <w:trPr>
          <w:cantSplit/>
          <w:tblHeader/>
          <w:jc w:val="center"/>
        </w:trPr>
        <w:tc>
          <w:tcPr>
            <w:tcW w:w="2617" w:type="dxa"/>
            <w:vMerge w:val="restart"/>
            <w:shd w:val="clear" w:color="auto" w:fill="D9D9D9"/>
          </w:tcPr>
          <w:p w:rsidR="0027683C" w:rsidRPr="00D27855" w:rsidRDefault="0027683C">
            <w:pPr>
              <w:pStyle w:val="TableHead"/>
              <w:keepNext/>
              <w:spacing w:after="0"/>
            </w:pPr>
          </w:p>
          <w:p w:rsidR="0027683C" w:rsidRPr="00D27855" w:rsidRDefault="0027683C">
            <w:pPr>
              <w:pStyle w:val="TableHead"/>
              <w:keepNext/>
              <w:spacing w:after="0"/>
            </w:pPr>
            <w:r w:rsidRPr="00D27855">
              <w:t>Parameter</w:t>
            </w:r>
          </w:p>
        </w:tc>
        <w:tc>
          <w:tcPr>
            <w:tcW w:w="5818" w:type="dxa"/>
            <w:gridSpan w:val="2"/>
            <w:shd w:val="clear" w:color="auto" w:fill="D9D9D9"/>
          </w:tcPr>
          <w:p w:rsidR="0027683C" w:rsidRPr="00D27855" w:rsidRDefault="0027683C">
            <w:pPr>
              <w:pStyle w:val="TableHead"/>
              <w:keepNext/>
            </w:pPr>
            <w:r w:rsidRPr="00D27855">
              <w:t>Criteria for Protection of Human Health (</w:t>
            </w:r>
            <w:r w:rsidRPr="00D27855">
              <w:sym w:font="Symbol" w:char="F06D"/>
            </w:r>
            <w:r w:rsidRPr="00D27855">
              <w:t>g/L)</w:t>
            </w:r>
          </w:p>
        </w:tc>
      </w:tr>
      <w:tr w:rsidR="0027683C">
        <w:trPr>
          <w:cantSplit/>
          <w:tblHeader/>
          <w:jc w:val="center"/>
        </w:trPr>
        <w:tc>
          <w:tcPr>
            <w:tcW w:w="2617" w:type="dxa"/>
            <w:vMerge/>
            <w:shd w:val="clear" w:color="auto" w:fill="D9D9D9"/>
          </w:tcPr>
          <w:p w:rsidR="0027683C" w:rsidRPr="00D27855" w:rsidRDefault="0027683C">
            <w:pPr>
              <w:pStyle w:val="TableHead"/>
              <w:keepNext/>
            </w:pPr>
          </w:p>
        </w:tc>
        <w:tc>
          <w:tcPr>
            <w:tcW w:w="2880" w:type="dxa"/>
            <w:shd w:val="clear" w:color="auto" w:fill="D9D9D9"/>
          </w:tcPr>
          <w:p w:rsidR="0027683C" w:rsidRPr="00D27855" w:rsidRDefault="0027683C">
            <w:pPr>
              <w:pStyle w:val="TableBody"/>
              <w:keepNext/>
              <w:rPr>
                <w:b/>
              </w:rPr>
            </w:pPr>
            <w:r w:rsidRPr="00D27855">
              <w:rPr>
                <w:b/>
              </w:rPr>
              <w:t>Water &amp; Fish Ingestion</w:t>
            </w:r>
          </w:p>
        </w:tc>
        <w:tc>
          <w:tcPr>
            <w:tcW w:w="2938" w:type="dxa"/>
            <w:shd w:val="clear" w:color="auto" w:fill="D9D9D9"/>
          </w:tcPr>
          <w:p w:rsidR="0027683C" w:rsidRPr="00D27855" w:rsidRDefault="0027683C">
            <w:pPr>
              <w:pStyle w:val="TableBody"/>
              <w:keepNext/>
              <w:rPr>
                <w:b/>
              </w:rPr>
            </w:pPr>
            <w:r w:rsidRPr="00D27855">
              <w:rPr>
                <w:b/>
              </w:rPr>
              <w:t>Fish Consumption only</w:t>
            </w:r>
          </w:p>
        </w:tc>
      </w:tr>
      <w:tr w:rsidR="0027683C">
        <w:trPr>
          <w:cantSplit/>
          <w:trHeight w:hRule="exact" w:val="288"/>
          <w:jc w:val="center"/>
        </w:trPr>
        <w:tc>
          <w:tcPr>
            <w:tcW w:w="2617" w:type="dxa"/>
            <w:vAlign w:val="center"/>
          </w:tcPr>
          <w:p w:rsidR="0027683C" w:rsidRDefault="0027683C">
            <w:pPr>
              <w:jc w:val="center"/>
              <w:rPr>
                <w:rFonts w:ascii="Arial" w:hAnsi="Arial" w:cs="Arial"/>
                <w:sz w:val="18"/>
                <w:szCs w:val="18"/>
              </w:rPr>
            </w:pPr>
            <w:r>
              <w:rPr>
                <w:rFonts w:ascii="Arial" w:hAnsi="Arial" w:cs="Arial"/>
                <w:sz w:val="18"/>
                <w:szCs w:val="18"/>
              </w:rPr>
              <w:t>Acenaphthene</w:t>
            </w:r>
          </w:p>
        </w:tc>
        <w:tc>
          <w:tcPr>
            <w:tcW w:w="2880" w:type="dxa"/>
          </w:tcPr>
          <w:p w:rsidR="0027683C" w:rsidRDefault="0027683C">
            <w:pPr>
              <w:pStyle w:val="TableBody"/>
              <w:keepNext/>
            </w:pPr>
            <w:r>
              <w:t>95</w:t>
            </w:r>
          </w:p>
        </w:tc>
        <w:tc>
          <w:tcPr>
            <w:tcW w:w="2938" w:type="dxa"/>
          </w:tcPr>
          <w:p w:rsidR="0027683C" w:rsidRDefault="0027683C">
            <w:pPr>
              <w:pStyle w:val="TableBody"/>
              <w:keepNext/>
            </w:pPr>
            <w:r>
              <w:t>99</w:t>
            </w:r>
          </w:p>
        </w:tc>
      </w:tr>
      <w:tr w:rsidR="0027683C">
        <w:trPr>
          <w:cantSplit/>
          <w:trHeight w:hRule="exact" w:val="288"/>
          <w:jc w:val="center"/>
        </w:trPr>
        <w:tc>
          <w:tcPr>
            <w:tcW w:w="2617" w:type="dxa"/>
            <w:vAlign w:val="center"/>
          </w:tcPr>
          <w:p w:rsidR="0027683C" w:rsidRDefault="0027683C">
            <w:pPr>
              <w:jc w:val="center"/>
              <w:rPr>
                <w:rFonts w:ascii="Arial" w:hAnsi="Arial" w:cs="Arial"/>
                <w:sz w:val="18"/>
                <w:szCs w:val="18"/>
              </w:rPr>
            </w:pPr>
            <w:r>
              <w:rPr>
                <w:rFonts w:ascii="Arial" w:hAnsi="Arial" w:cs="Arial"/>
                <w:sz w:val="18"/>
                <w:szCs w:val="18"/>
              </w:rPr>
              <w:t>Anthracene</w:t>
            </w:r>
          </w:p>
        </w:tc>
        <w:tc>
          <w:tcPr>
            <w:tcW w:w="2880" w:type="dxa"/>
          </w:tcPr>
          <w:p w:rsidR="0027683C" w:rsidRDefault="0027683C">
            <w:pPr>
              <w:pStyle w:val="TableBody"/>
              <w:keepNext/>
            </w:pPr>
            <w:r>
              <w:t>2900</w:t>
            </w:r>
          </w:p>
        </w:tc>
        <w:tc>
          <w:tcPr>
            <w:tcW w:w="2938" w:type="dxa"/>
          </w:tcPr>
          <w:p w:rsidR="0027683C" w:rsidRDefault="0027683C">
            <w:pPr>
              <w:pStyle w:val="TableBody"/>
              <w:keepNext/>
            </w:pPr>
            <w:r>
              <w:t>4000</w:t>
            </w:r>
          </w:p>
        </w:tc>
      </w:tr>
      <w:tr w:rsidR="0027683C">
        <w:trPr>
          <w:cantSplit/>
          <w:trHeight w:hRule="exact" w:val="288"/>
          <w:jc w:val="center"/>
        </w:trPr>
        <w:tc>
          <w:tcPr>
            <w:tcW w:w="2617" w:type="dxa"/>
            <w:vAlign w:val="center"/>
          </w:tcPr>
          <w:p w:rsidR="0027683C" w:rsidRDefault="0027683C">
            <w:pPr>
              <w:jc w:val="center"/>
              <w:rPr>
                <w:rFonts w:ascii="Arial" w:hAnsi="Arial" w:cs="Arial"/>
                <w:sz w:val="18"/>
                <w:szCs w:val="18"/>
              </w:rPr>
            </w:pPr>
            <w:r>
              <w:rPr>
                <w:rFonts w:ascii="Arial" w:hAnsi="Arial" w:cs="Arial"/>
                <w:sz w:val="18"/>
                <w:szCs w:val="18"/>
              </w:rPr>
              <w:t>Benzene</w:t>
            </w:r>
          </w:p>
        </w:tc>
        <w:tc>
          <w:tcPr>
            <w:tcW w:w="2880" w:type="dxa"/>
          </w:tcPr>
          <w:p w:rsidR="0027683C" w:rsidRDefault="0027683C">
            <w:pPr>
              <w:pStyle w:val="TableBody"/>
              <w:keepNext/>
            </w:pPr>
            <w:r>
              <w:t>0.44</w:t>
            </w:r>
          </w:p>
        </w:tc>
        <w:tc>
          <w:tcPr>
            <w:tcW w:w="2938" w:type="dxa"/>
          </w:tcPr>
          <w:p w:rsidR="0027683C" w:rsidRDefault="0027683C">
            <w:pPr>
              <w:pStyle w:val="TableBody"/>
              <w:keepNext/>
            </w:pPr>
            <w:r>
              <w:t>1.4</w:t>
            </w:r>
          </w:p>
        </w:tc>
      </w:tr>
      <w:tr w:rsidR="0027683C">
        <w:trPr>
          <w:cantSplit/>
          <w:trHeight w:hRule="exact" w:val="288"/>
          <w:jc w:val="center"/>
        </w:trPr>
        <w:tc>
          <w:tcPr>
            <w:tcW w:w="2617" w:type="dxa"/>
            <w:vAlign w:val="center"/>
          </w:tcPr>
          <w:p w:rsidR="0027683C" w:rsidRDefault="0027683C">
            <w:pPr>
              <w:jc w:val="center"/>
              <w:rPr>
                <w:rFonts w:ascii="Arial" w:hAnsi="Arial" w:cs="Arial"/>
                <w:sz w:val="18"/>
                <w:szCs w:val="18"/>
              </w:rPr>
            </w:pPr>
            <w:r>
              <w:rPr>
                <w:rFonts w:ascii="Arial" w:hAnsi="Arial" w:cs="Arial"/>
                <w:sz w:val="18"/>
                <w:szCs w:val="18"/>
              </w:rPr>
              <w:t>Benzo(a)anthracene</w:t>
            </w:r>
          </w:p>
        </w:tc>
        <w:tc>
          <w:tcPr>
            <w:tcW w:w="2880" w:type="dxa"/>
          </w:tcPr>
          <w:p w:rsidR="0027683C" w:rsidRDefault="0027683C">
            <w:pPr>
              <w:pStyle w:val="TableBody"/>
              <w:keepNext/>
            </w:pPr>
            <w:r>
              <w:t>0.0013</w:t>
            </w:r>
          </w:p>
        </w:tc>
        <w:tc>
          <w:tcPr>
            <w:tcW w:w="2938" w:type="dxa"/>
          </w:tcPr>
          <w:p w:rsidR="0027683C" w:rsidRDefault="0027683C">
            <w:pPr>
              <w:pStyle w:val="TableBody"/>
              <w:keepNext/>
            </w:pPr>
            <w:r>
              <w:t>0.0018</w:t>
            </w:r>
          </w:p>
        </w:tc>
      </w:tr>
      <w:tr w:rsidR="0027683C">
        <w:trPr>
          <w:cantSplit/>
          <w:trHeight w:hRule="exact" w:val="288"/>
          <w:jc w:val="center"/>
        </w:trPr>
        <w:tc>
          <w:tcPr>
            <w:tcW w:w="2617" w:type="dxa"/>
            <w:vAlign w:val="center"/>
          </w:tcPr>
          <w:p w:rsidR="0027683C" w:rsidRDefault="0027683C">
            <w:pPr>
              <w:jc w:val="center"/>
              <w:rPr>
                <w:rFonts w:ascii="Arial" w:hAnsi="Arial" w:cs="Arial"/>
                <w:sz w:val="18"/>
                <w:szCs w:val="18"/>
              </w:rPr>
            </w:pPr>
            <w:r>
              <w:rPr>
                <w:rFonts w:ascii="Arial" w:hAnsi="Arial" w:cs="Arial"/>
                <w:sz w:val="18"/>
                <w:szCs w:val="18"/>
              </w:rPr>
              <w:t>Benzo(a)pyrene</w:t>
            </w:r>
          </w:p>
        </w:tc>
        <w:tc>
          <w:tcPr>
            <w:tcW w:w="2880" w:type="dxa"/>
          </w:tcPr>
          <w:p w:rsidR="0027683C" w:rsidRDefault="0027683C">
            <w:pPr>
              <w:pStyle w:val="TableBody"/>
              <w:keepNext/>
            </w:pPr>
            <w:r>
              <w:t>0.0013</w:t>
            </w:r>
          </w:p>
        </w:tc>
        <w:tc>
          <w:tcPr>
            <w:tcW w:w="2938" w:type="dxa"/>
          </w:tcPr>
          <w:p w:rsidR="0027683C" w:rsidRDefault="0027683C">
            <w:pPr>
              <w:pStyle w:val="TableBody"/>
              <w:keepNext/>
            </w:pPr>
            <w:r>
              <w:t>0.0018</w:t>
            </w:r>
          </w:p>
        </w:tc>
      </w:tr>
      <w:tr w:rsidR="0027683C">
        <w:trPr>
          <w:cantSplit/>
          <w:trHeight w:hRule="exact" w:val="288"/>
          <w:tblHeader/>
          <w:jc w:val="center"/>
        </w:trPr>
        <w:tc>
          <w:tcPr>
            <w:tcW w:w="2617" w:type="dxa"/>
            <w:vAlign w:val="center"/>
          </w:tcPr>
          <w:p w:rsidR="0027683C" w:rsidRDefault="0027683C">
            <w:pPr>
              <w:jc w:val="center"/>
              <w:rPr>
                <w:rFonts w:ascii="Arial" w:hAnsi="Arial" w:cs="Arial"/>
                <w:sz w:val="18"/>
                <w:szCs w:val="18"/>
              </w:rPr>
            </w:pPr>
            <w:r>
              <w:rPr>
                <w:rFonts w:ascii="Arial" w:hAnsi="Arial" w:cs="Arial"/>
                <w:sz w:val="18"/>
                <w:szCs w:val="18"/>
              </w:rPr>
              <w:t>Benzofluoranthene</w:t>
            </w:r>
            <w:r w:rsidR="00F86B94">
              <w:rPr>
                <w:rFonts w:ascii="Arial" w:hAnsi="Arial" w:cs="Arial"/>
                <w:sz w:val="18"/>
                <w:szCs w:val="18"/>
              </w:rPr>
              <w:t xml:space="preserve"> 3,4</w:t>
            </w:r>
          </w:p>
        </w:tc>
        <w:tc>
          <w:tcPr>
            <w:tcW w:w="2880" w:type="dxa"/>
          </w:tcPr>
          <w:p w:rsidR="0027683C" w:rsidRDefault="0027683C">
            <w:pPr>
              <w:pStyle w:val="TableBody"/>
              <w:keepNext/>
            </w:pPr>
            <w:r>
              <w:t>0.0013</w:t>
            </w:r>
          </w:p>
        </w:tc>
        <w:tc>
          <w:tcPr>
            <w:tcW w:w="2938" w:type="dxa"/>
          </w:tcPr>
          <w:p w:rsidR="0027683C" w:rsidRDefault="0027683C">
            <w:pPr>
              <w:pStyle w:val="TableBody"/>
              <w:keepNext/>
            </w:pPr>
            <w:r>
              <w:t>0.0018</w:t>
            </w:r>
          </w:p>
        </w:tc>
      </w:tr>
      <w:tr w:rsidR="0027683C">
        <w:trPr>
          <w:cantSplit/>
          <w:trHeight w:hRule="exact" w:val="288"/>
          <w:jc w:val="center"/>
        </w:trPr>
        <w:tc>
          <w:tcPr>
            <w:tcW w:w="2617" w:type="dxa"/>
            <w:vAlign w:val="center"/>
          </w:tcPr>
          <w:p w:rsidR="0027683C" w:rsidRDefault="0027683C">
            <w:pPr>
              <w:jc w:val="center"/>
              <w:rPr>
                <w:rFonts w:ascii="Arial" w:hAnsi="Arial" w:cs="Arial"/>
                <w:sz w:val="18"/>
                <w:szCs w:val="18"/>
              </w:rPr>
            </w:pPr>
            <w:r>
              <w:rPr>
                <w:rFonts w:ascii="Arial" w:hAnsi="Arial" w:cs="Arial"/>
                <w:sz w:val="18"/>
                <w:szCs w:val="18"/>
              </w:rPr>
              <w:t>Copper</w:t>
            </w:r>
          </w:p>
        </w:tc>
        <w:tc>
          <w:tcPr>
            <w:tcW w:w="2880" w:type="dxa"/>
          </w:tcPr>
          <w:p w:rsidR="0027683C" w:rsidRDefault="0027683C">
            <w:pPr>
              <w:pStyle w:val="TableBody"/>
              <w:keepNext/>
            </w:pPr>
            <w:r>
              <w:t>1300</w:t>
            </w:r>
          </w:p>
        </w:tc>
        <w:tc>
          <w:tcPr>
            <w:tcW w:w="2938" w:type="dxa"/>
          </w:tcPr>
          <w:p w:rsidR="0027683C" w:rsidRDefault="0027683C">
            <w:pPr>
              <w:pStyle w:val="TableBody"/>
              <w:keepNext/>
            </w:pPr>
            <w:r>
              <w:t>n/a</w:t>
            </w:r>
          </w:p>
        </w:tc>
      </w:tr>
      <w:tr w:rsidR="0027683C">
        <w:trPr>
          <w:cantSplit/>
          <w:trHeight w:hRule="exact" w:val="288"/>
          <w:jc w:val="center"/>
        </w:trPr>
        <w:tc>
          <w:tcPr>
            <w:tcW w:w="2617" w:type="dxa"/>
            <w:vAlign w:val="center"/>
          </w:tcPr>
          <w:p w:rsidR="0027683C" w:rsidRDefault="0027683C">
            <w:pPr>
              <w:jc w:val="center"/>
              <w:rPr>
                <w:rFonts w:ascii="Arial" w:hAnsi="Arial" w:cs="Arial"/>
                <w:sz w:val="18"/>
                <w:szCs w:val="18"/>
              </w:rPr>
            </w:pPr>
            <w:r>
              <w:rPr>
                <w:rFonts w:ascii="Arial" w:hAnsi="Arial" w:cs="Arial"/>
                <w:sz w:val="18"/>
                <w:szCs w:val="18"/>
              </w:rPr>
              <w:t>Chrysene</w:t>
            </w:r>
          </w:p>
        </w:tc>
        <w:tc>
          <w:tcPr>
            <w:tcW w:w="2880" w:type="dxa"/>
          </w:tcPr>
          <w:p w:rsidR="0027683C" w:rsidRDefault="0027683C">
            <w:pPr>
              <w:pStyle w:val="TableBody"/>
              <w:keepNext/>
            </w:pPr>
            <w:r>
              <w:t>0.0013</w:t>
            </w:r>
          </w:p>
        </w:tc>
        <w:tc>
          <w:tcPr>
            <w:tcW w:w="2938" w:type="dxa"/>
          </w:tcPr>
          <w:p w:rsidR="0027683C" w:rsidRDefault="0027683C">
            <w:pPr>
              <w:pStyle w:val="TableBody"/>
              <w:keepNext/>
            </w:pPr>
            <w:r>
              <w:t>0.0018</w:t>
            </w:r>
          </w:p>
        </w:tc>
      </w:tr>
      <w:tr w:rsidR="0027683C">
        <w:trPr>
          <w:cantSplit/>
          <w:trHeight w:hRule="exact" w:val="288"/>
          <w:jc w:val="center"/>
        </w:trPr>
        <w:tc>
          <w:tcPr>
            <w:tcW w:w="2617" w:type="dxa"/>
            <w:vAlign w:val="center"/>
          </w:tcPr>
          <w:p w:rsidR="0027683C" w:rsidRDefault="0027683C">
            <w:pPr>
              <w:jc w:val="center"/>
              <w:rPr>
                <w:rFonts w:ascii="Arial" w:hAnsi="Arial" w:cs="Arial"/>
                <w:sz w:val="18"/>
                <w:szCs w:val="18"/>
              </w:rPr>
            </w:pPr>
            <w:r>
              <w:rPr>
                <w:rFonts w:ascii="Arial" w:hAnsi="Arial" w:cs="Arial"/>
                <w:sz w:val="18"/>
                <w:szCs w:val="18"/>
              </w:rPr>
              <w:t>Total Cyanide</w:t>
            </w:r>
          </w:p>
        </w:tc>
        <w:tc>
          <w:tcPr>
            <w:tcW w:w="2880" w:type="dxa"/>
          </w:tcPr>
          <w:p w:rsidR="0027683C" w:rsidRDefault="0027683C">
            <w:pPr>
              <w:pStyle w:val="TableBody"/>
              <w:keepNext/>
            </w:pPr>
            <w:r>
              <w:t>130</w:t>
            </w:r>
          </w:p>
        </w:tc>
        <w:tc>
          <w:tcPr>
            <w:tcW w:w="2938" w:type="dxa"/>
          </w:tcPr>
          <w:p w:rsidR="0027683C" w:rsidRDefault="0027683C">
            <w:pPr>
              <w:pStyle w:val="TableBody"/>
              <w:keepNext/>
            </w:pPr>
            <w:r>
              <w:t>130</w:t>
            </w:r>
          </w:p>
        </w:tc>
      </w:tr>
      <w:tr w:rsidR="0027683C">
        <w:trPr>
          <w:cantSplit/>
          <w:trHeight w:hRule="exact" w:val="288"/>
          <w:jc w:val="center"/>
        </w:trPr>
        <w:tc>
          <w:tcPr>
            <w:tcW w:w="2617" w:type="dxa"/>
            <w:vAlign w:val="center"/>
          </w:tcPr>
          <w:p w:rsidR="0027683C" w:rsidRDefault="0027683C">
            <w:pPr>
              <w:jc w:val="center"/>
              <w:rPr>
                <w:rFonts w:ascii="Arial" w:hAnsi="Arial" w:cs="Arial"/>
                <w:sz w:val="18"/>
                <w:szCs w:val="18"/>
              </w:rPr>
            </w:pPr>
            <w:r>
              <w:rPr>
                <w:rFonts w:ascii="Arial" w:hAnsi="Arial" w:cs="Arial"/>
                <w:sz w:val="18"/>
                <w:szCs w:val="18"/>
              </w:rPr>
              <w:t>Dichloropropylene</w:t>
            </w:r>
            <w:r w:rsidR="00F86B94">
              <w:rPr>
                <w:rFonts w:ascii="Arial" w:hAnsi="Arial" w:cs="Arial"/>
                <w:sz w:val="18"/>
                <w:szCs w:val="18"/>
              </w:rPr>
              <w:t xml:space="preserve"> 1,3</w:t>
            </w:r>
          </w:p>
        </w:tc>
        <w:tc>
          <w:tcPr>
            <w:tcW w:w="2880" w:type="dxa"/>
          </w:tcPr>
          <w:p w:rsidR="0027683C" w:rsidRDefault="0027683C">
            <w:pPr>
              <w:pStyle w:val="TableBody"/>
              <w:keepNext/>
            </w:pPr>
            <w:r>
              <w:t>0.3</w:t>
            </w:r>
          </w:p>
        </w:tc>
        <w:tc>
          <w:tcPr>
            <w:tcW w:w="2938" w:type="dxa"/>
          </w:tcPr>
          <w:p w:rsidR="0027683C" w:rsidRDefault="0027683C">
            <w:pPr>
              <w:pStyle w:val="TableBody"/>
              <w:keepNext/>
            </w:pPr>
            <w:r>
              <w:t>2.1</w:t>
            </w:r>
          </w:p>
        </w:tc>
      </w:tr>
      <w:tr w:rsidR="0027683C">
        <w:trPr>
          <w:cantSplit/>
          <w:trHeight w:hRule="exact" w:val="288"/>
          <w:jc w:val="center"/>
        </w:trPr>
        <w:tc>
          <w:tcPr>
            <w:tcW w:w="2617" w:type="dxa"/>
            <w:vAlign w:val="center"/>
          </w:tcPr>
          <w:p w:rsidR="0027683C" w:rsidRDefault="0027683C">
            <w:pPr>
              <w:jc w:val="center"/>
              <w:rPr>
                <w:rFonts w:ascii="Arial" w:hAnsi="Arial" w:cs="Arial"/>
                <w:sz w:val="18"/>
                <w:szCs w:val="18"/>
              </w:rPr>
            </w:pPr>
            <w:r>
              <w:rPr>
                <w:rFonts w:ascii="Arial" w:hAnsi="Arial" w:cs="Arial"/>
                <w:sz w:val="18"/>
                <w:szCs w:val="18"/>
              </w:rPr>
              <w:t>Diethyl phthalate</w:t>
            </w:r>
          </w:p>
        </w:tc>
        <w:tc>
          <w:tcPr>
            <w:tcW w:w="2880" w:type="dxa"/>
          </w:tcPr>
          <w:p w:rsidR="0027683C" w:rsidRDefault="0027683C">
            <w:pPr>
              <w:pStyle w:val="TableBody"/>
              <w:keepNext/>
            </w:pPr>
            <w:r>
              <w:t>3800</w:t>
            </w:r>
          </w:p>
        </w:tc>
        <w:tc>
          <w:tcPr>
            <w:tcW w:w="2938" w:type="dxa"/>
          </w:tcPr>
          <w:p w:rsidR="0027683C" w:rsidRDefault="0027683C">
            <w:pPr>
              <w:pStyle w:val="TableBody"/>
              <w:keepNext/>
            </w:pPr>
            <w:r>
              <w:t>4400</w:t>
            </w:r>
          </w:p>
        </w:tc>
      </w:tr>
      <w:tr w:rsidR="0027683C">
        <w:trPr>
          <w:cantSplit/>
          <w:trHeight w:hRule="exact" w:val="288"/>
          <w:jc w:val="center"/>
        </w:trPr>
        <w:tc>
          <w:tcPr>
            <w:tcW w:w="2617" w:type="dxa"/>
            <w:vAlign w:val="center"/>
          </w:tcPr>
          <w:p w:rsidR="0027683C" w:rsidRDefault="0027683C">
            <w:pPr>
              <w:jc w:val="center"/>
              <w:rPr>
                <w:rFonts w:ascii="Arial" w:hAnsi="Arial" w:cs="Arial"/>
                <w:sz w:val="18"/>
                <w:szCs w:val="18"/>
              </w:rPr>
            </w:pPr>
            <w:r>
              <w:rPr>
                <w:rFonts w:ascii="Arial" w:hAnsi="Arial" w:cs="Arial"/>
                <w:sz w:val="18"/>
                <w:szCs w:val="18"/>
              </w:rPr>
              <w:t>Ethylbenzene</w:t>
            </w:r>
          </w:p>
        </w:tc>
        <w:tc>
          <w:tcPr>
            <w:tcW w:w="2880" w:type="dxa"/>
          </w:tcPr>
          <w:p w:rsidR="0027683C" w:rsidRDefault="0027683C">
            <w:pPr>
              <w:pStyle w:val="TableBody"/>
              <w:keepNext/>
            </w:pPr>
            <w:r>
              <w:t>160</w:t>
            </w:r>
          </w:p>
        </w:tc>
        <w:tc>
          <w:tcPr>
            <w:tcW w:w="2938" w:type="dxa"/>
          </w:tcPr>
          <w:p w:rsidR="0027683C" w:rsidRDefault="0027683C">
            <w:pPr>
              <w:pStyle w:val="TableBody"/>
              <w:keepNext/>
            </w:pPr>
            <w:r>
              <w:t>210</w:t>
            </w:r>
          </w:p>
        </w:tc>
      </w:tr>
      <w:tr w:rsidR="0027683C">
        <w:trPr>
          <w:cantSplit/>
          <w:trHeight w:hRule="exact" w:val="288"/>
          <w:jc w:val="center"/>
        </w:trPr>
        <w:tc>
          <w:tcPr>
            <w:tcW w:w="2617" w:type="dxa"/>
            <w:vAlign w:val="center"/>
          </w:tcPr>
          <w:p w:rsidR="0027683C" w:rsidRDefault="0027683C">
            <w:pPr>
              <w:jc w:val="center"/>
              <w:rPr>
                <w:rFonts w:ascii="Arial" w:hAnsi="Arial" w:cs="Arial"/>
                <w:sz w:val="18"/>
                <w:szCs w:val="18"/>
              </w:rPr>
            </w:pPr>
            <w:r>
              <w:rPr>
                <w:rFonts w:ascii="Arial" w:hAnsi="Arial" w:cs="Arial"/>
                <w:sz w:val="18"/>
                <w:szCs w:val="18"/>
              </w:rPr>
              <w:t>Fluoranthene</w:t>
            </w:r>
          </w:p>
        </w:tc>
        <w:tc>
          <w:tcPr>
            <w:tcW w:w="2880" w:type="dxa"/>
          </w:tcPr>
          <w:p w:rsidR="0027683C" w:rsidRDefault="0027683C">
            <w:pPr>
              <w:pStyle w:val="TableBody"/>
              <w:keepNext/>
            </w:pPr>
            <w:r>
              <w:t>14</w:t>
            </w:r>
          </w:p>
        </w:tc>
        <w:tc>
          <w:tcPr>
            <w:tcW w:w="2938" w:type="dxa"/>
          </w:tcPr>
          <w:p w:rsidR="0027683C" w:rsidRDefault="0027683C">
            <w:pPr>
              <w:pStyle w:val="TableBody"/>
              <w:keepNext/>
            </w:pPr>
            <w:r>
              <w:t>14</w:t>
            </w:r>
          </w:p>
        </w:tc>
      </w:tr>
      <w:tr w:rsidR="0027683C">
        <w:trPr>
          <w:cantSplit/>
          <w:trHeight w:hRule="exact" w:val="288"/>
          <w:jc w:val="center"/>
        </w:trPr>
        <w:tc>
          <w:tcPr>
            <w:tcW w:w="2617" w:type="dxa"/>
            <w:vAlign w:val="center"/>
          </w:tcPr>
          <w:p w:rsidR="0027683C" w:rsidRDefault="0027683C">
            <w:pPr>
              <w:jc w:val="center"/>
              <w:rPr>
                <w:rFonts w:ascii="Arial" w:hAnsi="Arial" w:cs="Arial"/>
                <w:sz w:val="18"/>
                <w:szCs w:val="18"/>
              </w:rPr>
            </w:pPr>
            <w:r>
              <w:rPr>
                <w:rFonts w:ascii="Arial" w:hAnsi="Arial" w:cs="Arial"/>
                <w:sz w:val="18"/>
                <w:szCs w:val="18"/>
              </w:rPr>
              <w:t>Fluorene</w:t>
            </w:r>
          </w:p>
        </w:tc>
        <w:tc>
          <w:tcPr>
            <w:tcW w:w="2880" w:type="dxa"/>
          </w:tcPr>
          <w:p w:rsidR="0027683C" w:rsidRDefault="0027683C">
            <w:pPr>
              <w:pStyle w:val="TableBody"/>
              <w:keepNext/>
            </w:pPr>
            <w:r>
              <w:t>390</w:t>
            </w:r>
          </w:p>
        </w:tc>
        <w:tc>
          <w:tcPr>
            <w:tcW w:w="2938" w:type="dxa"/>
          </w:tcPr>
          <w:p w:rsidR="0027683C" w:rsidRDefault="0027683C">
            <w:pPr>
              <w:pStyle w:val="TableBody"/>
              <w:keepNext/>
            </w:pPr>
            <w:r>
              <w:t>530</w:t>
            </w:r>
          </w:p>
        </w:tc>
      </w:tr>
      <w:tr w:rsidR="0027683C">
        <w:trPr>
          <w:cantSplit/>
          <w:trHeight w:hRule="exact" w:val="288"/>
          <w:jc w:val="center"/>
        </w:trPr>
        <w:tc>
          <w:tcPr>
            <w:tcW w:w="2617" w:type="dxa"/>
            <w:vAlign w:val="center"/>
          </w:tcPr>
          <w:p w:rsidR="0027683C" w:rsidRDefault="0027683C">
            <w:pPr>
              <w:jc w:val="center"/>
              <w:rPr>
                <w:rFonts w:ascii="Arial" w:hAnsi="Arial" w:cs="Arial"/>
                <w:sz w:val="18"/>
                <w:szCs w:val="18"/>
              </w:rPr>
            </w:pPr>
            <w:r>
              <w:rPr>
                <w:rFonts w:ascii="Arial" w:hAnsi="Arial" w:cs="Arial"/>
                <w:sz w:val="18"/>
                <w:szCs w:val="18"/>
              </w:rPr>
              <w:t>Indeno(1,2,3-cd)pyrene</w:t>
            </w:r>
          </w:p>
        </w:tc>
        <w:tc>
          <w:tcPr>
            <w:tcW w:w="2880" w:type="dxa"/>
          </w:tcPr>
          <w:p w:rsidR="0027683C" w:rsidRDefault="0027683C">
            <w:pPr>
              <w:pStyle w:val="TableBody"/>
              <w:keepNext/>
            </w:pPr>
            <w:r>
              <w:t>0.0013</w:t>
            </w:r>
          </w:p>
        </w:tc>
        <w:tc>
          <w:tcPr>
            <w:tcW w:w="2938" w:type="dxa"/>
          </w:tcPr>
          <w:p w:rsidR="0027683C" w:rsidRDefault="0027683C">
            <w:pPr>
              <w:pStyle w:val="TableBody"/>
              <w:keepNext/>
            </w:pPr>
            <w:r>
              <w:t>0.0018</w:t>
            </w:r>
          </w:p>
        </w:tc>
      </w:tr>
      <w:tr w:rsidR="0027683C">
        <w:trPr>
          <w:cantSplit/>
          <w:trHeight w:hRule="exact" w:val="288"/>
          <w:jc w:val="center"/>
        </w:trPr>
        <w:tc>
          <w:tcPr>
            <w:tcW w:w="2617" w:type="dxa"/>
            <w:vAlign w:val="center"/>
          </w:tcPr>
          <w:p w:rsidR="0027683C" w:rsidRDefault="0027683C">
            <w:pPr>
              <w:jc w:val="center"/>
              <w:rPr>
                <w:rFonts w:ascii="Arial" w:hAnsi="Arial" w:cs="Arial"/>
                <w:sz w:val="18"/>
                <w:szCs w:val="18"/>
              </w:rPr>
            </w:pPr>
            <w:r>
              <w:rPr>
                <w:rFonts w:ascii="Arial" w:hAnsi="Arial" w:cs="Arial"/>
                <w:sz w:val="18"/>
                <w:szCs w:val="18"/>
              </w:rPr>
              <w:t>Phenol</w:t>
            </w:r>
          </w:p>
        </w:tc>
        <w:tc>
          <w:tcPr>
            <w:tcW w:w="2880" w:type="dxa"/>
          </w:tcPr>
          <w:p w:rsidR="0027683C" w:rsidRDefault="0027683C">
            <w:pPr>
              <w:pStyle w:val="TableBody"/>
              <w:keepNext/>
            </w:pPr>
            <w:r>
              <w:t>9400</w:t>
            </w:r>
          </w:p>
        </w:tc>
        <w:tc>
          <w:tcPr>
            <w:tcW w:w="2938" w:type="dxa"/>
          </w:tcPr>
          <w:p w:rsidR="0027683C" w:rsidRDefault="0027683C">
            <w:pPr>
              <w:pStyle w:val="TableBody"/>
              <w:keepNext/>
            </w:pPr>
            <w:r>
              <w:t>86000</w:t>
            </w:r>
          </w:p>
        </w:tc>
      </w:tr>
      <w:tr w:rsidR="0027683C">
        <w:trPr>
          <w:cantSplit/>
          <w:trHeight w:hRule="exact" w:val="288"/>
          <w:jc w:val="center"/>
        </w:trPr>
        <w:tc>
          <w:tcPr>
            <w:tcW w:w="2617" w:type="dxa"/>
            <w:vAlign w:val="center"/>
          </w:tcPr>
          <w:p w:rsidR="0027683C" w:rsidRDefault="0027683C">
            <w:pPr>
              <w:jc w:val="center"/>
              <w:rPr>
                <w:rFonts w:ascii="Arial" w:hAnsi="Arial" w:cs="Arial"/>
                <w:sz w:val="18"/>
                <w:szCs w:val="18"/>
              </w:rPr>
            </w:pPr>
            <w:r>
              <w:rPr>
                <w:rFonts w:ascii="Arial" w:hAnsi="Arial" w:cs="Arial"/>
                <w:sz w:val="18"/>
                <w:szCs w:val="18"/>
              </w:rPr>
              <w:t>Pyrene</w:t>
            </w:r>
          </w:p>
        </w:tc>
        <w:tc>
          <w:tcPr>
            <w:tcW w:w="2880" w:type="dxa"/>
          </w:tcPr>
          <w:p w:rsidR="0027683C" w:rsidRDefault="0027683C">
            <w:pPr>
              <w:pStyle w:val="TableBody"/>
              <w:keepNext/>
            </w:pPr>
            <w:r>
              <w:t>290</w:t>
            </w:r>
          </w:p>
        </w:tc>
        <w:tc>
          <w:tcPr>
            <w:tcW w:w="2938" w:type="dxa"/>
          </w:tcPr>
          <w:p w:rsidR="0027683C" w:rsidRDefault="0027683C">
            <w:pPr>
              <w:pStyle w:val="TableBody"/>
              <w:keepNext/>
            </w:pPr>
            <w:r>
              <w:t>400</w:t>
            </w:r>
          </w:p>
        </w:tc>
      </w:tr>
      <w:tr w:rsidR="0027683C">
        <w:trPr>
          <w:cantSplit/>
          <w:trHeight w:hRule="exact" w:val="288"/>
          <w:jc w:val="center"/>
        </w:trPr>
        <w:tc>
          <w:tcPr>
            <w:tcW w:w="2617" w:type="dxa"/>
            <w:vAlign w:val="center"/>
          </w:tcPr>
          <w:p w:rsidR="0027683C" w:rsidRDefault="0027683C">
            <w:pPr>
              <w:jc w:val="center"/>
              <w:rPr>
                <w:rFonts w:ascii="Arial" w:hAnsi="Arial" w:cs="Arial"/>
                <w:sz w:val="18"/>
                <w:szCs w:val="18"/>
              </w:rPr>
            </w:pPr>
            <w:r>
              <w:rPr>
                <w:rFonts w:ascii="Arial" w:hAnsi="Arial" w:cs="Arial"/>
                <w:sz w:val="18"/>
                <w:szCs w:val="18"/>
              </w:rPr>
              <w:t>Selenium</w:t>
            </w:r>
          </w:p>
        </w:tc>
        <w:tc>
          <w:tcPr>
            <w:tcW w:w="2880" w:type="dxa"/>
          </w:tcPr>
          <w:p w:rsidR="0027683C" w:rsidRDefault="0027683C">
            <w:pPr>
              <w:pStyle w:val="TableBody"/>
              <w:keepNext/>
            </w:pPr>
            <w:r>
              <w:t>120</w:t>
            </w:r>
          </w:p>
        </w:tc>
        <w:tc>
          <w:tcPr>
            <w:tcW w:w="2938" w:type="dxa"/>
          </w:tcPr>
          <w:p w:rsidR="0027683C" w:rsidRDefault="0027683C">
            <w:pPr>
              <w:pStyle w:val="TableBody"/>
              <w:keepNext/>
            </w:pPr>
            <w:r>
              <w:t>420</w:t>
            </w:r>
          </w:p>
        </w:tc>
      </w:tr>
      <w:tr w:rsidR="0027683C">
        <w:trPr>
          <w:cantSplit/>
          <w:trHeight w:hRule="exact" w:val="288"/>
          <w:jc w:val="center"/>
        </w:trPr>
        <w:tc>
          <w:tcPr>
            <w:tcW w:w="2617" w:type="dxa"/>
            <w:vAlign w:val="center"/>
          </w:tcPr>
          <w:p w:rsidR="0027683C" w:rsidRDefault="0027683C">
            <w:pPr>
              <w:jc w:val="center"/>
              <w:rPr>
                <w:rFonts w:ascii="Arial" w:hAnsi="Arial" w:cs="Arial"/>
                <w:sz w:val="18"/>
                <w:szCs w:val="18"/>
              </w:rPr>
            </w:pPr>
            <w:r>
              <w:rPr>
                <w:rFonts w:ascii="Arial" w:hAnsi="Arial" w:cs="Arial"/>
                <w:sz w:val="18"/>
                <w:szCs w:val="18"/>
              </w:rPr>
              <w:t>Toluene</w:t>
            </w:r>
          </w:p>
        </w:tc>
        <w:tc>
          <w:tcPr>
            <w:tcW w:w="2880" w:type="dxa"/>
          </w:tcPr>
          <w:p w:rsidR="0027683C" w:rsidRDefault="0027683C">
            <w:pPr>
              <w:pStyle w:val="TableBody"/>
              <w:keepNext/>
            </w:pPr>
            <w:r>
              <w:t>720</w:t>
            </w:r>
          </w:p>
        </w:tc>
        <w:tc>
          <w:tcPr>
            <w:tcW w:w="2938" w:type="dxa"/>
          </w:tcPr>
          <w:p w:rsidR="0027683C" w:rsidRDefault="0027683C">
            <w:pPr>
              <w:pStyle w:val="TableBody"/>
              <w:keepNext/>
            </w:pPr>
            <w:r>
              <w:t>1500</w:t>
            </w:r>
          </w:p>
        </w:tc>
      </w:tr>
      <w:tr w:rsidR="0027683C">
        <w:trPr>
          <w:cantSplit/>
          <w:trHeight w:hRule="exact" w:val="288"/>
          <w:jc w:val="center"/>
        </w:trPr>
        <w:tc>
          <w:tcPr>
            <w:tcW w:w="2617" w:type="dxa"/>
            <w:vAlign w:val="center"/>
          </w:tcPr>
          <w:p w:rsidR="0027683C" w:rsidRDefault="0027683C">
            <w:pPr>
              <w:jc w:val="center"/>
              <w:rPr>
                <w:rFonts w:ascii="Arial" w:hAnsi="Arial" w:cs="Arial"/>
                <w:sz w:val="18"/>
                <w:szCs w:val="18"/>
              </w:rPr>
            </w:pPr>
            <w:r>
              <w:rPr>
                <w:rFonts w:ascii="Arial" w:hAnsi="Arial" w:cs="Arial"/>
                <w:sz w:val="18"/>
                <w:szCs w:val="18"/>
              </w:rPr>
              <w:t>Zinc</w:t>
            </w:r>
          </w:p>
        </w:tc>
        <w:tc>
          <w:tcPr>
            <w:tcW w:w="2880" w:type="dxa"/>
          </w:tcPr>
          <w:p w:rsidR="0027683C" w:rsidRDefault="0027683C">
            <w:pPr>
              <w:pStyle w:val="TableBody"/>
              <w:keepNext/>
            </w:pPr>
            <w:r>
              <w:t>2100</w:t>
            </w:r>
          </w:p>
        </w:tc>
        <w:tc>
          <w:tcPr>
            <w:tcW w:w="2938" w:type="dxa"/>
          </w:tcPr>
          <w:p w:rsidR="0027683C" w:rsidRDefault="0027683C">
            <w:pPr>
              <w:pStyle w:val="TableBody"/>
              <w:keepNext/>
            </w:pPr>
            <w:r>
              <w:t>2600</w:t>
            </w:r>
          </w:p>
        </w:tc>
      </w:tr>
    </w:tbl>
    <w:p w:rsidR="00D27855" w:rsidRDefault="00D27855">
      <w:pPr>
        <w:pStyle w:val="Asteve13B"/>
        <w:rPr>
          <w:rFonts w:ascii="Times New Roman" w:hAnsi="Times New Roman" w:cs="Times New Roman"/>
          <w:b w:val="0"/>
          <w:sz w:val="22"/>
          <w:szCs w:val="22"/>
        </w:rPr>
      </w:pPr>
    </w:p>
    <w:p w:rsidR="00D27855" w:rsidRDefault="00D27855">
      <w:pPr>
        <w:jc w:val="left"/>
        <w:rPr>
          <w:rFonts w:cs="Times New Roman"/>
          <w:bCs/>
          <w:noProof/>
          <w:sz w:val="22"/>
          <w:szCs w:val="22"/>
        </w:rPr>
      </w:pPr>
      <w:r>
        <w:rPr>
          <w:rFonts w:cs="Times New Roman"/>
          <w:b/>
          <w:sz w:val="22"/>
          <w:szCs w:val="22"/>
        </w:rPr>
        <w:br w:type="page"/>
      </w:r>
    </w:p>
    <w:p w:rsidR="0027683C" w:rsidRDefault="0027683C">
      <w:pPr>
        <w:pStyle w:val="Asteve13B"/>
      </w:pPr>
      <w:r>
        <w:lastRenderedPageBreak/>
        <w:t>3.2 Receiving Stream Water Quality</w:t>
      </w:r>
      <w:bookmarkEnd w:id="32"/>
    </w:p>
    <w:p w:rsidR="0027683C" w:rsidRDefault="0027683C" w:rsidP="00A43072">
      <w:pPr>
        <w:pStyle w:val="NormalWeb"/>
        <w:spacing w:before="0" w:beforeAutospacing="0" w:after="0" w:afterAutospacing="0"/>
        <w:ind w:right="-86"/>
        <w:rPr>
          <w:rFonts w:ascii="Times New Roman" w:hAnsi="Times New Roman" w:cs="Times New Roman"/>
          <w:sz w:val="22"/>
          <w:szCs w:val="22"/>
        </w:rPr>
      </w:pPr>
      <w:r>
        <w:rPr>
          <w:rFonts w:ascii="Times New Roman" w:hAnsi="Times New Roman" w:cs="Times New Roman"/>
          <w:sz w:val="22"/>
          <w:szCs w:val="22"/>
        </w:rPr>
        <w:t xml:space="preserve">Section 303(d) of the Clean Water Act requires each state to develop a list (the “303(d)” list) of water bodies that do not meet state surface water quality standards after implementation of technology-based controls.  Each state is then required to complete a Total Maximum Daily Load (TMDL) for water bodies on the 303(d) list.  The TMDL must address water quality on a basin-wide scale to ensure overall water quality standards will be met.  </w:t>
      </w:r>
    </w:p>
    <w:p w:rsidR="0027683C" w:rsidRDefault="0027683C" w:rsidP="00A43072">
      <w:pPr>
        <w:pStyle w:val="NormalWeb"/>
        <w:spacing w:before="0" w:beforeAutospacing="0" w:after="0" w:afterAutospacing="0"/>
        <w:ind w:right="-86"/>
        <w:rPr>
          <w:rFonts w:ascii="Times New Roman" w:hAnsi="Times New Roman" w:cs="Times New Roman"/>
          <w:color w:val="000000"/>
          <w:sz w:val="22"/>
          <w:szCs w:val="22"/>
        </w:rPr>
      </w:pPr>
    </w:p>
    <w:p w:rsidR="0027683C" w:rsidRDefault="0027683C" w:rsidP="00A43072">
      <w:pPr>
        <w:pStyle w:val="NormalWeb"/>
        <w:spacing w:before="0" w:beforeAutospacing="0" w:after="0" w:afterAutospacing="0"/>
        <w:ind w:right="-86"/>
        <w:rPr>
          <w:sz w:val="22"/>
          <w:szCs w:val="22"/>
        </w:rPr>
      </w:pPr>
      <w:r>
        <w:rPr>
          <w:color w:val="000000"/>
          <w:sz w:val="22"/>
          <w:szCs w:val="22"/>
        </w:rPr>
        <w:t>When discharging, NW Natural will discharge</w:t>
      </w:r>
      <w:r>
        <w:rPr>
          <w:sz w:val="22"/>
          <w:szCs w:val="22"/>
        </w:rPr>
        <w:t xml:space="preserve"> wastewater to the portion of the Willamette River that is listed as being water quality limited on the </w:t>
      </w:r>
      <w:r w:rsidRPr="00F86B94">
        <w:rPr>
          <w:color w:val="000000" w:themeColor="text1"/>
          <w:sz w:val="22"/>
          <w:szCs w:val="22"/>
        </w:rPr>
        <w:t xml:space="preserve">Department’s </w:t>
      </w:r>
      <w:r w:rsidR="00F86B94" w:rsidRPr="00F86B94">
        <w:rPr>
          <w:color w:val="000000" w:themeColor="text1"/>
          <w:sz w:val="22"/>
          <w:szCs w:val="22"/>
        </w:rPr>
        <w:t>2010</w:t>
      </w:r>
      <w:r w:rsidRPr="00F86B94">
        <w:rPr>
          <w:color w:val="000000" w:themeColor="text1"/>
          <w:sz w:val="22"/>
          <w:szCs w:val="22"/>
        </w:rPr>
        <w:t xml:space="preserve"> 303</w:t>
      </w:r>
      <w:r>
        <w:rPr>
          <w:sz w:val="22"/>
          <w:szCs w:val="22"/>
        </w:rPr>
        <w:t>(d) list</w:t>
      </w:r>
      <w:r w:rsidR="008954A3">
        <w:rPr>
          <w:sz w:val="22"/>
          <w:szCs w:val="22"/>
        </w:rPr>
        <w:t xml:space="preserve"> (the most recent listing)</w:t>
      </w:r>
      <w:r>
        <w:rPr>
          <w:sz w:val="22"/>
          <w:szCs w:val="22"/>
        </w:rPr>
        <w:t xml:space="preserve">.  Table 4, below, includes the parameters for which water quality standards in the </w:t>
      </w:r>
      <w:r w:rsidR="00837923">
        <w:rPr>
          <w:sz w:val="22"/>
          <w:szCs w:val="22"/>
        </w:rPr>
        <w:t xml:space="preserve">applicable segment of the </w:t>
      </w:r>
      <w:r>
        <w:rPr>
          <w:sz w:val="22"/>
          <w:szCs w:val="22"/>
        </w:rPr>
        <w:t>Willamette River are not met and the season when standards are exceeded.</w:t>
      </w:r>
    </w:p>
    <w:p w:rsidR="0027683C" w:rsidRDefault="0027683C">
      <w:pPr>
        <w:pStyle w:val="NormalWeb"/>
        <w:spacing w:before="0" w:beforeAutospacing="0" w:after="0" w:afterAutospacing="0"/>
        <w:ind w:right="-86"/>
        <w:rPr>
          <w:sz w:val="16"/>
          <w:szCs w:val="16"/>
        </w:rPr>
      </w:pPr>
    </w:p>
    <w:p w:rsidR="00F86B94" w:rsidRDefault="00F86B94">
      <w:pPr>
        <w:pStyle w:val="NormalWeb"/>
        <w:spacing w:before="0" w:beforeAutospacing="0" w:after="0" w:afterAutospacing="0"/>
        <w:rPr>
          <w:sz w:val="22"/>
          <w:szCs w:val="22"/>
        </w:rPr>
      </w:pPr>
    </w:p>
    <w:tbl>
      <w:tblPr>
        <w:tblW w:w="873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4050"/>
        <w:gridCol w:w="2520"/>
      </w:tblGrid>
      <w:tr w:rsidR="00973A92" w:rsidTr="00857226">
        <w:trPr>
          <w:trHeight w:val="216"/>
        </w:trPr>
        <w:tc>
          <w:tcPr>
            <w:tcW w:w="8730" w:type="dxa"/>
            <w:gridSpan w:val="3"/>
            <w:shd w:val="clear" w:color="auto" w:fill="D9D9D9" w:themeFill="background1" w:themeFillShade="D9"/>
          </w:tcPr>
          <w:p w:rsidR="00973A92" w:rsidRPr="00BB1F17" w:rsidRDefault="00973A92" w:rsidP="00857226">
            <w:pPr>
              <w:pStyle w:val="TableBody"/>
              <w:spacing w:before="40" w:after="40"/>
              <w:rPr>
                <w:b/>
              </w:rPr>
            </w:pPr>
            <w:r w:rsidRPr="00BB1F17">
              <w:rPr>
                <w:b/>
                <w:sz w:val="22"/>
              </w:rPr>
              <w:t xml:space="preserve">Table </w:t>
            </w:r>
            <w:r>
              <w:rPr>
                <w:b/>
                <w:sz w:val="22"/>
              </w:rPr>
              <w:t>4</w:t>
            </w:r>
            <w:r w:rsidRPr="00BB1F17">
              <w:rPr>
                <w:b/>
                <w:sz w:val="22"/>
              </w:rPr>
              <w:t xml:space="preserve">: </w:t>
            </w:r>
            <w:r>
              <w:rPr>
                <w:b/>
                <w:sz w:val="22"/>
              </w:rPr>
              <w:t>2010</w:t>
            </w:r>
            <w:r w:rsidRPr="00BB1F17">
              <w:rPr>
                <w:b/>
                <w:sz w:val="22"/>
              </w:rPr>
              <w:t xml:space="preserve"> 303(D) Listing Information</w:t>
            </w:r>
          </w:p>
        </w:tc>
      </w:tr>
      <w:tr w:rsidR="00973A92" w:rsidTr="00857226">
        <w:tc>
          <w:tcPr>
            <w:tcW w:w="2160" w:type="dxa"/>
            <w:shd w:val="clear" w:color="auto" w:fill="D9D9D9" w:themeFill="background1" w:themeFillShade="D9"/>
          </w:tcPr>
          <w:p w:rsidR="00973A92" w:rsidRDefault="00973A92" w:rsidP="00857226">
            <w:pPr>
              <w:pStyle w:val="TableBody"/>
              <w:ind w:right="252"/>
              <w:rPr>
                <w:b/>
              </w:rPr>
            </w:pPr>
            <w:r>
              <w:rPr>
                <w:b/>
              </w:rPr>
              <w:t>Stream Segment</w:t>
            </w:r>
          </w:p>
        </w:tc>
        <w:tc>
          <w:tcPr>
            <w:tcW w:w="4050" w:type="dxa"/>
            <w:shd w:val="clear" w:color="auto" w:fill="D9D9D9" w:themeFill="background1" w:themeFillShade="D9"/>
          </w:tcPr>
          <w:p w:rsidR="00973A92" w:rsidRDefault="00973A92" w:rsidP="00857226">
            <w:pPr>
              <w:pStyle w:val="TableBody"/>
              <w:ind w:right="162"/>
              <w:rPr>
                <w:b/>
              </w:rPr>
            </w:pPr>
            <w:r>
              <w:rPr>
                <w:b/>
              </w:rPr>
              <w:t>Parameter</w:t>
            </w:r>
          </w:p>
        </w:tc>
        <w:tc>
          <w:tcPr>
            <w:tcW w:w="2520" w:type="dxa"/>
            <w:shd w:val="clear" w:color="auto" w:fill="D9D9D9" w:themeFill="background1" w:themeFillShade="D9"/>
          </w:tcPr>
          <w:p w:rsidR="00973A92" w:rsidRDefault="00973A92" w:rsidP="00857226">
            <w:pPr>
              <w:pStyle w:val="TableBody"/>
              <w:rPr>
                <w:b/>
              </w:rPr>
            </w:pPr>
            <w:r>
              <w:rPr>
                <w:b/>
              </w:rPr>
              <w:t>Season</w:t>
            </w:r>
          </w:p>
        </w:tc>
      </w:tr>
      <w:tr w:rsidR="00973A92" w:rsidTr="00857226">
        <w:trPr>
          <w:trHeight w:hRule="exact" w:val="317"/>
        </w:trPr>
        <w:tc>
          <w:tcPr>
            <w:tcW w:w="2160" w:type="dxa"/>
            <w:vMerge w:val="restart"/>
            <w:vAlign w:val="center"/>
          </w:tcPr>
          <w:p w:rsidR="00973A92" w:rsidRDefault="00973A92" w:rsidP="00857226">
            <w:pPr>
              <w:pStyle w:val="TableBody"/>
              <w:ind w:right="72"/>
            </w:pPr>
            <w:r>
              <w:t>Willamette River (Mouth to Willamette Falls)</w:t>
            </w:r>
          </w:p>
        </w:tc>
        <w:tc>
          <w:tcPr>
            <w:tcW w:w="4050" w:type="dxa"/>
          </w:tcPr>
          <w:p w:rsidR="00973A92" w:rsidRPr="007E6C6D" w:rsidRDefault="00973A92" w:rsidP="00857226">
            <w:pPr>
              <w:pStyle w:val="TableBody"/>
              <w:ind w:right="72"/>
            </w:pPr>
            <w:proofErr w:type="spellStart"/>
            <w:r w:rsidRPr="007E6C6D">
              <w:t>Aldrin</w:t>
            </w:r>
            <w:proofErr w:type="spellEnd"/>
          </w:p>
        </w:tc>
        <w:tc>
          <w:tcPr>
            <w:tcW w:w="2520" w:type="dxa"/>
          </w:tcPr>
          <w:p w:rsidR="00973A92" w:rsidRPr="007E6C6D" w:rsidRDefault="00973A92" w:rsidP="00857226">
            <w:pPr>
              <w:pStyle w:val="TableBody"/>
            </w:pPr>
            <w:r>
              <w:t>Year Around</w:t>
            </w:r>
          </w:p>
        </w:tc>
      </w:tr>
      <w:tr w:rsidR="00973A92" w:rsidTr="00857226">
        <w:trPr>
          <w:trHeight w:hRule="exact" w:val="317"/>
        </w:trPr>
        <w:tc>
          <w:tcPr>
            <w:tcW w:w="2160" w:type="dxa"/>
            <w:vMerge/>
          </w:tcPr>
          <w:p w:rsidR="00973A92" w:rsidRDefault="00973A92" w:rsidP="00857226">
            <w:pPr>
              <w:pStyle w:val="TableBody"/>
              <w:ind w:right="1170"/>
            </w:pPr>
          </w:p>
        </w:tc>
        <w:tc>
          <w:tcPr>
            <w:tcW w:w="4050" w:type="dxa"/>
          </w:tcPr>
          <w:p w:rsidR="00973A92" w:rsidRPr="00632C8D" w:rsidRDefault="00973A92" w:rsidP="00857226">
            <w:pPr>
              <w:pStyle w:val="TableBody"/>
              <w:ind w:right="72"/>
              <w:rPr>
                <w:color w:val="000000" w:themeColor="text1"/>
              </w:rPr>
            </w:pPr>
            <w:r w:rsidRPr="00632C8D">
              <w:rPr>
                <w:color w:val="000000" w:themeColor="text1"/>
              </w:rPr>
              <w:t>Bacteria (E. coli.)</w:t>
            </w:r>
          </w:p>
        </w:tc>
        <w:tc>
          <w:tcPr>
            <w:tcW w:w="2520" w:type="dxa"/>
          </w:tcPr>
          <w:p w:rsidR="00973A92" w:rsidRPr="00632C8D" w:rsidRDefault="00973A92" w:rsidP="00857226">
            <w:pPr>
              <w:pStyle w:val="TableBody"/>
              <w:rPr>
                <w:color w:val="000000" w:themeColor="text1"/>
              </w:rPr>
            </w:pPr>
            <w:r w:rsidRPr="00632C8D">
              <w:rPr>
                <w:color w:val="000000" w:themeColor="text1"/>
              </w:rPr>
              <w:t>Fall/Winter/Spring</w:t>
            </w:r>
          </w:p>
        </w:tc>
      </w:tr>
      <w:tr w:rsidR="00973A92" w:rsidTr="00857226">
        <w:trPr>
          <w:trHeight w:hRule="exact" w:val="317"/>
        </w:trPr>
        <w:tc>
          <w:tcPr>
            <w:tcW w:w="2160" w:type="dxa"/>
            <w:vMerge/>
          </w:tcPr>
          <w:p w:rsidR="00973A92" w:rsidRDefault="00973A92" w:rsidP="00857226">
            <w:pPr>
              <w:pStyle w:val="TableBody"/>
              <w:ind w:right="1170"/>
            </w:pPr>
          </w:p>
        </w:tc>
        <w:tc>
          <w:tcPr>
            <w:tcW w:w="4050" w:type="dxa"/>
          </w:tcPr>
          <w:p w:rsidR="00973A92" w:rsidRPr="007E6C6D" w:rsidRDefault="00973A92" w:rsidP="00857226">
            <w:pPr>
              <w:pStyle w:val="TableBody"/>
              <w:ind w:right="72"/>
            </w:pPr>
            <w:r w:rsidRPr="007E6C6D">
              <w:t>Biological Criteria</w:t>
            </w:r>
          </w:p>
        </w:tc>
        <w:tc>
          <w:tcPr>
            <w:tcW w:w="2520" w:type="dxa"/>
          </w:tcPr>
          <w:p w:rsidR="00973A92" w:rsidRPr="007E6C6D" w:rsidRDefault="00973A92" w:rsidP="00857226">
            <w:pPr>
              <w:pStyle w:val="TableBody"/>
            </w:pPr>
            <w:r>
              <w:t>Year Around</w:t>
            </w:r>
          </w:p>
        </w:tc>
      </w:tr>
      <w:tr w:rsidR="00973A92" w:rsidTr="00857226">
        <w:trPr>
          <w:trHeight w:hRule="exact" w:val="317"/>
        </w:trPr>
        <w:tc>
          <w:tcPr>
            <w:tcW w:w="2160" w:type="dxa"/>
            <w:vMerge/>
          </w:tcPr>
          <w:p w:rsidR="00973A92" w:rsidRDefault="00973A92" w:rsidP="00857226">
            <w:pPr>
              <w:pStyle w:val="TableBody"/>
              <w:ind w:right="1170"/>
            </w:pPr>
          </w:p>
        </w:tc>
        <w:tc>
          <w:tcPr>
            <w:tcW w:w="4050" w:type="dxa"/>
          </w:tcPr>
          <w:p w:rsidR="00973A92" w:rsidRPr="007E6C6D" w:rsidRDefault="00973A92" w:rsidP="00857226">
            <w:pPr>
              <w:pStyle w:val="TableBody"/>
              <w:ind w:right="72"/>
            </w:pPr>
            <w:r>
              <w:t>Chlordane</w:t>
            </w:r>
          </w:p>
        </w:tc>
        <w:tc>
          <w:tcPr>
            <w:tcW w:w="2520" w:type="dxa"/>
          </w:tcPr>
          <w:p w:rsidR="00973A92" w:rsidRPr="007E6C6D" w:rsidRDefault="00973A92" w:rsidP="00857226">
            <w:pPr>
              <w:pStyle w:val="TableBody"/>
            </w:pPr>
            <w:r>
              <w:t>Year Around</w:t>
            </w:r>
          </w:p>
        </w:tc>
      </w:tr>
      <w:tr w:rsidR="00973A92" w:rsidTr="00857226">
        <w:trPr>
          <w:trHeight w:hRule="exact" w:val="317"/>
        </w:trPr>
        <w:tc>
          <w:tcPr>
            <w:tcW w:w="2160" w:type="dxa"/>
            <w:vMerge/>
          </w:tcPr>
          <w:p w:rsidR="00973A92" w:rsidRDefault="00973A92" w:rsidP="00857226">
            <w:pPr>
              <w:pStyle w:val="TableBody"/>
              <w:ind w:right="1170"/>
            </w:pPr>
          </w:p>
        </w:tc>
        <w:tc>
          <w:tcPr>
            <w:tcW w:w="4050" w:type="dxa"/>
          </w:tcPr>
          <w:p w:rsidR="00973A92" w:rsidRDefault="00973A92" w:rsidP="00857226">
            <w:pPr>
              <w:pStyle w:val="TableBody"/>
              <w:ind w:right="72"/>
            </w:pPr>
            <w:r>
              <w:t>Chlorophyll a</w:t>
            </w:r>
          </w:p>
        </w:tc>
        <w:tc>
          <w:tcPr>
            <w:tcW w:w="2520" w:type="dxa"/>
          </w:tcPr>
          <w:p w:rsidR="00973A92" w:rsidRDefault="00973A92" w:rsidP="00857226">
            <w:pPr>
              <w:pStyle w:val="TableBody"/>
            </w:pPr>
            <w:r>
              <w:t>Summer</w:t>
            </w:r>
          </w:p>
        </w:tc>
      </w:tr>
      <w:tr w:rsidR="00973A92" w:rsidTr="00857226">
        <w:trPr>
          <w:trHeight w:hRule="exact" w:val="317"/>
        </w:trPr>
        <w:tc>
          <w:tcPr>
            <w:tcW w:w="2160" w:type="dxa"/>
            <w:vMerge/>
          </w:tcPr>
          <w:p w:rsidR="00973A92" w:rsidRDefault="00973A92" w:rsidP="00857226">
            <w:pPr>
              <w:pStyle w:val="TableBody"/>
              <w:ind w:right="1170"/>
            </w:pPr>
          </w:p>
        </w:tc>
        <w:tc>
          <w:tcPr>
            <w:tcW w:w="4050" w:type="dxa"/>
          </w:tcPr>
          <w:p w:rsidR="00973A92" w:rsidRPr="007E6C6D" w:rsidRDefault="00973A92" w:rsidP="00857226">
            <w:pPr>
              <w:pStyle w:val="TableBody"/>
              <w:ind w:right="72"/>
            </w:pPr>
            <w:r>
              <w:t>Cyanide (Free)</w:t>
            </w:r>
          </w:p>
        </w:tc>
        <w:tc>
          <w:tcPr>
            <w:tcW w:w="2520" w:type="dxa"/>
          </w:tcPr>
          <w:p w:rsidR="00973A92" w:rsidRDefault="00973A92" w:rsidP="00857226">
            <w:pPr>
              <w:pStyle w:val="TableBody"/>
            </w:pPr>
            <w:r>
              <w:t>Year Around</w:t>
            </w:r>
          </w:p>
        </w:tc>
      </w:tr>
      <w:tr w:rsidR="00973A92" w:rsidTr="00857226">
        <w:trPr>
          <w:trHeight w:hRule="exact" w:val="317"/>
        </w:trPr>
        <w:tc>
          <w:tcPr>
            <w:tcW w:w="2160" w:type="dxa"/>
            <w:vMerge/>
          </w:tcPr>
          <w:p w:rsidR="00973A92" w:rsidRDefault="00973A92" w:rsidP="00857226">
            <w:pPr>
              <w:pStyle w:val="TableBody"/>
              <w:ind w:right="1170"/>
            </w:pPr>
          </w:p>
        </w:tc>
        <w:tc>
          <w:tcPr>
            <w:tcW w:w="4050" w:type="dxa"/>
          </w:tcPr>
          <w:p w:rsidR="00973A92" w:rsidRPr="007E6C6D" w:rsidRDefault="00973A92" w:rsidP="00857226">
            <w:pPr>
              <w:pStyle w:val="TableBody"/>
              <w:ind w:right="72"/>
            </w:pPr>
            <w:r w:rsidRPr="007E6C6D">
              <w:t>DDT &amp; DDE (DDT metabolite)</w:t>
            </w:r>
          </w:p>
        </w:tc>
        <w:tc>
          <w:tcPr>
            <w:tcW w:w="2520" w:type="dxa"/>
          </w:tcPr>
          <w:p w:rsidR="00973A92" w:rsidRPr="007E6C6D" w:rsidRDefault="00973A92" w:rsidP="00857226">
            <w:pPr>
              <w:pStyle w:val="TableBody"/>
            </w:pPr>
            <w:r>
              <w:t>Year Around</w:t>
            </w:r>
          </w:p>
        </w:tc>
      </w:tr>
      <w:tr w:rsidR="00973A92" w:rsidTr="00857226">
        <w:trPr>
          <w:trHeight w:hRule="exact" w:val="317"/>
        </w:trPr>
        <w:tc>
          <w:tcPr>
            <w:tcW w:w="2160" w:type="dxa"/>
            <w:vMerge/>
          </w:tcPr>
          <w:p w:rsidR="00973A92" w:rsidRDefault="00973A92" w:rsidP="00857226">
            <w:pPr>
              <w:pStyle w:val="TableBody"/>
              <w:ind w:right="1170"/>
            </w:pPr>
          </w:p>
        </w:tc>
        <w:tc>
          <w:tcPr>
            <w:tcW w:w="4050" w:type="dxa"/>
          </w:tcPr>
          <w:p w:rsidR="00973A92" w:rsidRPr="007E6C6D" w:rsidRDefault="00973A92" w:rsidP="00857226">
            <w:pPr>
              <w:pStyle w:val="TableBody"/>
              <w:ind w:right="72"/>
            </w:pPr>
            <w:proofErr w:type="spellStart"/>
            <w:r w:rsidRPr="007E6C6D">
              <w:t>Dieldrin</w:t>
            </w:r>
            <w:proofErr w:type="spellEnd"/>
          </w:p>
        </w:tc>
        <w:tc>
          <w:tcPr>
            <w:tcW w:w="2520" w:type="dxa"/>
          </w:tcPr>
          <w:p w:rsidR="00973A92" w:rsidRPr="007E6C6D" w:rsidRDefault="00973A92" w:rsidP="00857226">
            <w:pPr>
              <w:pStyle w:val="TableBody"/>
            </w:pPr>
            <w:r>
              <w:t>Year Around</w:t>
            </w:r>
          </w:p>
        </w:tc>
      </w:tr>
      <w:tr w:rsidR="00973A92" w:rsidTr="00857226">
        <w:trPr>
          <w:trHeight w:hRule="exact" w:val="317"/>
        </w:trPr>
        <w:tc>
          <w:tcPr>
            <w:tcW w:w="2160" w:type="dxa"/>
            <w:vMerge/>
          </w:tcPr>
          <w:p w:rsidR="00973A92" w:rsidRDefault="00973A92" w:rsidP="00857226">
            <w:pPr>
              <w:pStyle w:val="TableBody"/>
              <w:ind w:right="1170"/>
            </w:pPr>
          </w:p>
        </w:tc>
        <w:tc>
          <w:tcPr>
            <w:tcW w:w="4050" w:type="dxa"/>
          </w:tcPr>
          <w:p w:rsidR="00973A92" w:rsidRPr="007E6C6D" w:rsidRDefault="00973A92" w:rsidP="00857226">
            <w:pPr>
              <w:pStyle w:val="TableBody"/>
              <w:ind w:right="72"/>
            </w:pPr>
            <w:r w:rsidRPr="007E6C6D">
              <w:t>Dioxin (2,3,7,8-TCDD)</w:t>
            </w:r>
          </w:p>
        </w:tc>
        <w:tc>
          <w:tcPr>
            <w:tcW w:w="2520" w:type="dxa"/>
          </w:tcPr>
          <w:p w:rsidR="00973A92" w:rsidRPr="007E6C6D" w:rsidRDefault="00973A92" w:rsidP="00857226">
            <w:pPr>
              <w:pStyle w:val="TableBody"/>
            </w:pPr>
            <w:r w:rsidRPr="007E6C6D">
              <w:t>Undefined</w:t>
            </w:r>
          </w:p>
        </w:tc>
      </w:tr>
      <w:tr w:rsidR="00973A92" w:rsidTr="00857226">
        <w:trPr>
          <w:trHeight w:hRule="exact" w:val="317"/>
        </w:trPr>
        <w:tc>
          <w:tcPr>
            <w:tcW w:w="2160" w:type="dxa"/>
            <w:vMerge/>
          </w:tcPr>
          <w:p w:rsidR="00973A92" w:rsidRDefault="00973A92" w:rsidP="00857226">
            <w:pPr>
              <w:pStyle w:val="TableBody"/>
              <w:ind w:right="1170"/>
            </w:pPr>
          </w:p>
        </w:tc>
        <w:tc>
          <w:tcPr>
            <w:tcW w:w="4050" w:type="dxa"/>
          </w:tcPr>
          <w:p w:rsidR="00973A92" w:rsidRPr="007E6C6D" w:rsidRDefault="00973A92" w:rsidP="00857226">
            <w:pPr>
              <w:pStyle w:val="TableBody"/>
              <w:ind w:right="72"/>
              <w:rPr>
                <w:color w:val="000000" w:themeColor="text1"/>
              </w:rPr>
            </w:pPr>
            <w:proofErr w:type="spellStart"/>
            <w:r>
              <w:rPr>
                <w:color w:val="000000" w:themeColor="text1"/>
              </w:rPr>
              <w:t>Hexachlorobenzene</w:t>
            </w:r>
            <w:proofErr w:type="spellEnd"/>
          </w:p>
        </w:tc>
        <w:tc>
          <w:tcPr>
            <w:tcW w:w="2520" w:type="dxa"/>
          </w:tcPr>
          <w:p w:rsidR="00973A92" w:rsidRDefault="00973A92" w:rsidP="00857226">
            <w:pPr>
              <w:pStyle w:val="TableBody"/>
            </w:pPr>
            <w:r>
              <w:t>Year Around</w:t>
            </w:r>
          </w:p>
        </w:tc>
      </w:tr>
      <w:tr w:rsidR="00973A92" w:rsidTr="00857226">
        <w:trPr>
          <w:trHeight w:hRule="exact" w:val="317"/>
        </w:trPr>
        <w:tc>
          <w:tcPr>
            <w:tcW w:w="2160" w:type="dxa"/>
            <w:vMerge/>
          </w:tcPr>
          <w:p w:rsidR="00973A92" w:rsidRDefault="00973A92" w:rsidP="00857226">
            <w:pPr>
              <w:pStyle w:val="TableBody"/>
              <w:ind w:right="1170"/>
            </w:pPr>
          </w:p>
        </w:tc>
        <w:tc>
          <w:tcPr>
            <w:tcW w:w="4050" w:type="dxa"/>
          </w:tcPr>
          <w:p w:rsidR="00973A92" w:rsidRPr="007E6C6D" w:rsidRDefault="00973A92" w:rsidP="00857226">
            <w:pPr>
              <w:pStyle w:val="TableBody"/>
              <w:ind w:right="72"/>
              <w:rPr>
                <w:color w:val="000000" w:themeColor="text1"/>
              </w:rPr>
            </w:pPr>
            <w:r w:rsidRPr="007E6C6D">
              <w:rPr>
                <w:color w:val="000000" w:themeColor="text1"/>
              </w:rPr>
              <w:t>Iron</w:t>
            </w:r>
          </w:p>
        </w:tc>
        <w:tc>
          <w:tcPr>
            <w:tcW w:w="2520" w:type="dxa"/>
          </w:tcPr>
          <w:p w:rsidR="00973A92" w:rsidRPr="007E6C6D" w:rsidRDefault="00973A92" w:rsidP="00857226">
            <w:pPr>
              <w:pStyle w:val="TableBody"/>
            </w:pPr>
            <w:r>
              <w:t>Year Around</w:t>
            </w:r>
          </w:p>
        </w:tc>
      </w:tr>
      <w:tr w:rsidR="00973A92" w:rsidTr="00857226">
        <w:trPr>
          <w:trHeight w:hRule="exact" w:val="317"/>
        </w:trPr>
        <w:tc>
          <w:tcPr>
            <w:tcW w:w="2160" w:type="dxa"/>
            <w:vMerge/>
          </w:tcPr>
          <w:p w:rsidR="00973A92" w:rsidRDefault="00973A92" w:rsidP="00857226">
            <w:pPr>
              <w:pStyle w:val="TableBody"/>
              <w:ind w:right="1170"/>
            </w:pPr>
          </w:p>
        </w:tc>
        <w:tc>
          <w:tcPr>
            <w:tcW w:w="4050" w:type="dxa"/>
          </w:tcPr>
          <w:p w:rsidR="00973A92" w:rsidRPr="007E6C6D" w:rsidRDefault="00973A92" w:rsidP="00857226">
            <w:pPr>
              <w:pStyle w:val="TableBody"/>
              <w:ind w:right="72"/>
              <w:rPr>
                <w:color w:val="000000" w:themeColor="text1"/>
              </w:rPr>
            </w:pPr>
            <w:r w:rsidRPr="007E6C6D">
              <w:rPr>
                <w:color w:val="000000" w:themeColor="text1"/>
              </w:rPr>
              <w:t>Manganese</w:t>
            </w:r>
          </w:p>
        </w:tc>
        <w:tc>
          <w:tcPr>
            <w:tcW w:w="2520" w:type="dxa"/>
          </w:tcPr>
          <w:p w:rsidR="00973A92" w:rsidRPr="007E6C6D" w:rsidRDefault="00973A92" w:rsidP="00857226">
            <w:pPr>
              <w:pStyle w:val="TableBody"/>
            </w:pPr>
            <w:r>
              <w:t>Year Around</w:t>
            </w:r>
          </w:p>
        </w:tc>
      </w:tr>
      <w:tr w:rsidR="00973A92" w:rsidTr="00857226">
        <w:trPr>
          <w:trHeight w:hRule="exact" w:val="317"/>
        </w:trPr>
        <w:tc>
          <w:tcPr>
            <w:tcW w:w="2160" w:type="dxa"/>
            <w:vMerge/>
          </w:tcPr>
          <w:p w:rsidR="00973A92" w:rsidRDefault="00973A92" w:rsidP="00857226">
            <w:pPr>
              <w:pStyle w:val="TableBody"/>
              <w:ind w:right="1170"/>
            </w:pPr>
          </w:p>
        </w:tc>
        <w:tc>
          <w:tcPr>
            <w:tcW w:w="4050" w:type="dxa"/>
          </w:tcPr>
          <w:p w:rsidR="00973A92" w:rsidRPr="007E6C6D" w:rsidRDefault="00973A92" w:rsidP="00857226">
            <w:pPr>
              <w:pStyle w:val="TableBody"/>
              <w:ind w:right="72"/>
              <w:rPr>
                <w:color w:val="000000" w:themeColor="text1"/>
              </w:rPr>
            </w:pPr>
            <w:r w:rsidRPr="007E6C6D">
              <w:rPr>
                <w:color w:val="000000" w:themeColor="text1"/>
              </w:rPr>
              <w:t>Mercury</w:t>
            </w:r>
          </w:p>
        </w:tc>
        <w:tc>
          <w:tcPr>
            <w:tcW w:w="2520" w:type="dxa"/>
          </w:tcPr>
          <w:p w:rsidR="00973A92" w:rsidRPr="007E6C6D" w:rsidRDefault="00973A92" w:rsidP="00857226">
            <w:pPr>
              <w:pStyle w:val="TableBody"/>
            </w:pPr>
            <w:r>
              <w:t>Year Around</w:t>
            </w:r>
          </w:p>
        </w:tc>
      </w:tr>
      <w:tr w:rsidR="00973A92" w:rsidTr="00857226">
        <w:trPr>
          <w:trHeight w:hRule="exact" w:val="317"/>
        </w:trPr>
        <w:tc>
          <w:tcPr>
            <w:tcW w:w="2160" w:type="dxa"/>
            <w:vMerge/>
          </w:tcPr>
          <w:p w:rsidR="00973A92" w:rsidRDefault="00973A92" w:rsidP="00857226">
            <w:pPr>
              <w:pStyle w:val="TableBody"/>
              <w:ind w:right="1170"/>
            </w:pPr>
          </w:p>
        </w:tc>
        <w:tc>
          <w:tcPr>
            <w:tcW w:w="4050" w:type="dxa"/>
          </w:tcPr>
          <w:p w:rsidR="00973A92" w:rsidRPr="007E6C6D" w:rsidRDefault="00973A92" w:rsidP="00857226">
            <w:pPr>
              <w:pStyle w:val="TableBody"/>
              <w:ind w:right="72"/>
              <w:rPr>
                <w:color w:val="000000" w:themeColor="text1"/>
              </w:rPr>
            </w:pPr>
            <w:r w:rsidRPr="007E6C6D">
              <w:rPr>
                <w:color w:val="000000" w:themeColor="text1"/>
              </w:rPr>
              <w:t>Polychlorinated Biphenyls (PCBs)</w:t>
            </w:r>
          </w:p>
        </w:tc>
        <w:tc>
          <w:tcPr>
            <w:tcW w:w="2520" w:type="dxa"/>
          </w:tcPr>
          <w:p w:rsidR="00973A92" w:rsidRPr="007E6C6D" w:rsidRDefault="00973A92" w:rsidP="00857226">
            <w:pPr>
              <w:pStyle w:val="TableBody"/>
            </w:pPr>
            <w:r>
              <w:t>Year Around</w:t>
            </w:r>
          </w:p>
        </w:tc>
      </w:tr>
      <w:tr w:rsidR="00973A92" w:rsidTr="00857226">
        <w:trPr>
          <w:trHeight w:hRule="exact" w:val="317"/>
        </w:trPr>
        <w:tc>
          <w:tcPr>
            <w:tcW w:w="2160" w:type="dxa"/>
            <w:vMerge/>
          </w:tcPr>
          <w:p w:rsidR="00973A92" w:rsidRDefault="00973A92" w:rsidP="00857226">
            <w:pPr>
              <w:pStyle w:val="TableBody"/>
              <w:ind w:right="1170"/>
            </w:pPr>
          </w:p>
        </w:tc>
        <w:tc>
          <w:tcPr>
            <w:tcW w:w="4050" w:type="dxa"/>
          </w:tcPr>
          <w:p w:rsidR="00973A92" w:rsidRPr="007E6C6D" w:rsidRDefault="00973A92" w:rsidP="00857226">
            <w:pPr>
              <w:pStyle w:val="TableBody"/>
              <w:ind w:right="72"/>
              <w:rPr>
                <w:color w:val="000000" w:themeColor="text1"/>
              </w:rPr>
            </w:pPr>
            <w:r w:rsidRPr="007E6C6D">
              <w:rPr>
                <w:color w:val="000000" w:themeColor="text1"/>
              </w:rPr>
              <w:t>Pentachlorophenol</w:t>
            </w:r>
          </w:p>
        </w:tc>
        <w:tc>
          <w:tcPr>
            <w:tcW w:w="2520" w:type="dxa"/>
          </w:tcPr>
          <w:p w:rsidR="00973A92" w:rsidRPr="007E6C6D" w:rsidRDefault="00973A92" w:rsidP="00857226">
            <w:pPr>
              <w:pStyle w:val="TableBody"/>
              <w:rPr>
                <w:color w:val="000000" w:themeColor="text1"/>
              </w:rPr>
            </w:pPr>
            <w:r w:rsidRPr="007E6C6D">
              <w:rPr>
                <w:color w:val="000000" w:themeColor="text1"/>
              </w:rPr>
              <w:t>Undefined</w:t>
            </w:r>
          </w:p>
        </w:tc>
      </w:tr>
      <w:tr w:rsidR="00973A92" w:rsidTr="00857226">
        <w:trPr>
          <w:trHeight w:hRule="exact" w:val="317"/>
        </w:trPr>
        <w:tc>
          <w:tcPr>
            <w:tcW w:w="2160" w:type="dxa"/>
            <w:vMerge/>
          </w:tcPr>
          <w:p w:rsidR="00973A92" w:rsidRDefault="00973A92" w:rsidP="00857226">
            <w:pPr>
              <w:pStyle w:val="TableBody"/>
              <w:ind w:right="1170"/>
            </w:pPr>
          </w:p>
        </w:tc>
        <w:tc>
          <w:tcPr>
            <w:tcW w:w="4050" w:type="dxa"/>
          </w:tcPr>
          <w:p w:rsidR="00973A92" w:rsidRPr="007E6C6D" w:rsidRDefault="00973A92" w:rsidP="00857226">
            <w:pPr>
              <w:pStyle w:val="TableBody"/>
              <w:ind w:right="72"/>
              <w:rPr>
                <w:color w:val="000000" w:themeColor="text1"/>
              </w:rPr>
            </w:pPr>
            <w:proofErr w:type="spellStart"/>
            <w:r w:rsidRPr="007E6C6D">
              <w:rPr>
                <w:color w:val="000000" w:themeColor="text1"/>
              </w:rPr>
              <w:t>Polynuclear</w:t>
            </w:r>
            <w:proofErr w:type="spellEnd"/>
            <w:r w:rsidRPr="007E6C6D">
              <w:rPr>
                <w:color w:val="000000" w:themeColor="text1"/>
              </w:rPr>
              <w:t xml:space="preserve"> Aromatic Hydrocarbons (PAHs)</w:t>
            </w:r>
          </w:p>
        </w:tc>
        <w:tc>
          <w:tcPr>
            <w:tcW w:w="2520" w:type="dxa"/>
          </w:tcPr>
          <w:p w:rsidR="00973A92" w:rsidRPr="007E6C6D" w:rsidRDefault="00973A92" w:rsidP="00857226">
            <w:pPr>
              <w:pStyle w:val="TableBody"/>
              <w:rPr>
                <w:color w:val="000000" w:themeColor="text1"/>
              </w:rPr>
            </w:pPr>
            <w:r>
              <w:t>Year Around</w:t>
            </w:r>
          </w:p>
        </w:tc>
      </w:tr>
      <w:tr w:rsidR="00973A92" w:rsidTr="00857226">
        <w:trPr>
          <w:trHeight w:hRule="exact" w:val="317"/>
        </w:trPr>
        <w:tc>
          <w:tcPr>
            <w:tcW w:w="2160" w:type="dxa"/>
            <w:vMerge/>
          </w:tcPr>
          <w:p w:rsidR="00973A92" w:rsidRDefault="00973A92" w:rsidP="00857226">
            <w:pPr>
              <w:pStyle w:val="TableBody"/>
              <w:ind w:right="1170"/>
            </w:pPr>
          </w:p>
        </w:tc>
        <w:tc>
          <w:tcPr>
            <w:tcW w:w="4050" w:type="dxa"/>
          </w:tcPr>
          <w:p w:rsidR="00973A92" w:rsidRPr="007E6C6D" w:rsidRDefault="00973A92" w:rsidP="00857226">
            <w:pPr>
              <w:pStyle w:val="TableBody"/>
              <w:ind w:right="72"/>
              <w:rPr>
                <w:color w:val="000000" w:themeColor="text1"/>
              </w:rPr>
            </w:pPr>
            <w:r w:rsidRPr="007E6C6D">
              <w:rPr>
                <w:color w:val="000000" w:themeColor="text1"/>
              </w:rPr>
              <w:t>Temperature</w:t>
            </w:r>
          </w:p>
        </w:tc>
        <w:tc>
          <w:tcPr>
            <w:tcW w:w="2520" w:type="dxa"/>
          </w:tcPr>
          <w:p w:rsidR="00973A92" w:rsidRPr="007E6C6D" w:rsidRDefault="00973A92" w:rsidP="00857226">
            <w:pPr>
              <w:pStyle w:val="TableBody"/>
              <w:rPr>
                <w:color w:val="000000" w:themeColor="text1"/>
              </w:rPr>
            </w:pPr>
            <w:r>
              <w:t>Year Around</w:t>
            </w:r>
            <w:r w:rsidRPr="007E6C6D">
              <w:rPr>
                <w:color w:val="000000" w:themeColor="text1"/>
              </w:rPr>
              <w:t xml:space="preserve"> (non-spawning)</w:t>
            </w:r>
          </w:p>
        </w:tc>
      </w:tr>
    </w:tbl>
    <w:p w:rsidR="00973A92" w:rsidRDefault="00973A92">
      <w:pPr>
        <w:pStyle w:val="NormalWeb"/>
        <w:spacing w:before="0" w:beforeAutospacing="0" w:after="0" w:afterAutospacing="0"/>
        <w:rPr>
          <w:sz w:val="22"/>
          <w:szCs w:val="22"/>
        </w:rPr>
      </w:pPr>
    </w:p>
    <w:p w:rsidR="00973A92" w:rsidRDefault="00973A92">
      <w:pPr>
        <w:pStyle w:val="NormalWeb"/>
        <w:spacing w:before="0" w:beforeAutospacing="0" w:after="0" w:afterAutospacing="0"/>
        <w:rPr>
          <w:sz w:val="22"/>
          <w:szCs w:val="22"/>
        </w:rPr>
      </w:pPr>
    </w:p>
    <w:p w:rsidR="0027683C" w:rsidRDefault="0027683C" w:rsidP="00A43072">
      <w:pPr>
        <w:pStyle w:val="NormalWeb"/>
        <w:spacing w:before="0" w:beforeAutospacing="0" w:after="0" w:afterAutospacing="0"/>
        <w:rPr>
          <w:sz w:val="22"/>
          <w:szCs w:val="22"/>
        </w:rPr>
      </w:pPr>
      <w:r>
        <w:rPr>
          <w:sz w:val="22"/>
          <w:szCs w:val="22"/>
        </w:rPr>
        <w:t xml:space="preserve">Of the pollutants contained in the 303(d) list, </w:t>
      </w:r>
      <w:r w:rsidR="00973A92">
        <w:rPr>
          <w:sz w:val="22"/>
          <w:szCs w:val="22"/>
        </w:rPr>
        <w:t xml:space="preserve">free cyanide, </w:t>
      </w:r>
      <w:r>
        <w:rPr>
          <w:sz w:val="22"/>
          <w:szCs w:val="22"/>
        </w:rPr>
        <w:t>iron, manganese, mercury, PAHs and temperature have the potential to be impacted by this discharge.  The state water quality criteria for iron and manganese were recently modified, with freshwater human health criteria withdrawn and no longer applicable.  (The aquatic life criterion for iron remains in effect.)  A temperature TMDL for the Willamette River was finalized in September of 2006.  A discussion of the temperature issues associated with the discharge is presented in Section 4.3.2</w:t>
      </w:r>
      <w:r>
        <w:rPr>
          <w:i/>
          <w:iCs/>
          <w:sz w:val="22"/>
          <w:szCs w:val="22"/>
        </w:rPr>
        <w:t xml:space="preserve">.  </w:t>
      </w:r>
      <w:r>
        <w:rPr>
          <w:sz w:val="22"/>
          <w:szCs w:val="22"/>
        </w:rPr>
        <w:t>A discussion of the other pollutants of concern is also presented in Section 4.</w:t>
      </w:r>
    </w:p>
    <w:p w:rsidR="0027683C" w:rsidRDefault="0027683C" w:rsidP="00A43072">
      <w:pPr>
        <w:pStyle w:val="Asteve13B"/>
        <w:jc w:val="left"/>
      </w:pPr>
      <w:r>
        <w:t>3.3 Threatened &amp; Endangered Species</w:t>
      </w:r>
    </w:p>
    <w:p w:rsidR="0027683C" w:rsidRDefault="0027683C" w:rsidP="00A43072">
      <w:pPr>
        <w:pStyle w:val="BodyText"/>
        <w:jc w:val="left"/>
        <w:rPr>
          <w:sz w:val="22"/>
          <w:szCs w:val="22"/>
        </w:rPr>
      </w:pPr>
      <w:bookmarkStart w:id="33" w:name="_Toc197758205"/>
      <w:r>
        <w:rPr>
          <w:sz w:val="22"/>
          <w:szCs w:val="22"/>
        </w:rPr>
        <w:t>Species of anadromous salmonids that use the lower Willamette River near the Gasco site include chinook salmon (</w:t>
      </w:r>
      <w:r>
        <w:rPr>
          <w:i/>
          <w:iCs/>
          <w:sz w:val="22"/>
          <w:szCs w:val="22"/>
        </w:rPr>
        <w:t>Oncorhynchus tshawytscha</w:t>
      </w:r>
      <w:r>
        <w:rPr>
          <w:sz w:val="22"/>
          <w:szCs w:val="22"/>
        </w:rPr>
        <w:t>), coho salmon (</w:t>
      </w:r>
      <w:r>
        <w:rPr>
          <w:i/>
          <w:iCs/>
          <w:sz w:val="22"/>
          <w:szCs w:val="22"/>
        </w:rPr>
        <w:t>O. kisutch</w:t>
      </w:r>
      <w:r>
        <w:rPr>
          <w:sz w:val="22"/>
          <w:szCs w:val="22"/>
        </w:rPr>
        <w:t>), steelhead (</w:t>
      </w:r>
      <w:r>
        <w:rPr>
          <w:i/>
          <w:iCs/>
          <w:sz w:val="22"/>
          <w:szCs w:val="22"/>
        </w:rPr>
        <w:t>O. mykiss</w:t>
      </w:r>
      <w:r>
        <w:rPr>
          <w:sz w:val="22"/>
          <w:szCs w:val="22"/>
        </w:rPr>
        <w:t>), and cutthroat trout (</w:t>
      </w:r>
      <w:r>
        <w:rPr>
          <w:i/>
          <w:iCs/>
          <w:sz w:val="22"/>
          <w:szCs w:val="22"/>
        </w:rPr>
        <w:t>O. clarki</w:t>
      </w:r>
      <w:r>
        <w:rPr>
          <w:sz w:val="22"/>
          <w:szCs w:val="22"/>
        </w:rPr>
        <w:t>).  Resident salmonid game species include cutthroat trout.  Bull trout do not occur in this area of the Willamette River.</w:t>
      </w:r>
    </w:p>
    <w:p w:rsidR="0027683C" w:rsidRDefault="0027683C" w:rsidP="00A43072">
      <w:pPr>
        <w:pStyle w:val="BodyText"/>
        <w:jc w:val="left"/>
        <w:rPr>
          <w:sz w:val="22"/>
          <w:szCs w:val="22"/>
        </w:rPr>
      </w:pPr>
      <w:r>
        <w:rPr>
          <w:sz w:val="22"/>
          <w:szCs w:val="22"/>
        </w:rPr>
        <w:lastRenderedPageBreak/>
        <w:t>On March 16, 1999, the National Marine Fisheries Service (NMFS) listed chinook salmon in the Lower Columbia River Evolutionary Significant Unit (ESU) as a threatened species under the Endangered Species Act (ESA).  On March 13, 1998, NMFS listed the Lower Columbia River ESU steelhead trout stocks as a threatened species under the ESA.  These species utilize the Willamette River and its tributaries.  The Willamette River has been designated as critical habitat for listed chinook salmon and steelhead by the NMFS.</w:t>
      </w:r>
    </w:p>
    <w:p w:rsidR="0027683C" w:rsidRDefault="0027683C" w:rsidP="00A43072">
      <w:pPr>
        <w:pStyle w:val="BodyText"/>
        <w:jc w:val="left"/>
        <w:rPr>
          <w:sz w:val="22"/>
          <w:szCs w:val="22"/>
        </w:rPr>
      </w:pPr>
      <w:r>
        <w:rPr>
          <w:sz w:val="22"/>
          <w:szCs w:val="22"/>
        </w:rPr>
        <w:t>Based on the fish use and spawning use maps contained in OAR 340-041 (Figures 340A and 340B), the designated fish use for this segment of the Willamette River is as a salmon and Steelhead migration corridor with no designated spawning uses.</w:t>
      </w:r>
    </w:p>
    <w:p w:rsidR="0027683C" w:rsidRDefault="0027683C">
      <w:pPr>
        <w:pStyle w:val="Asteve13B"/>
      </w:pPr>
      <w:r>
        <w:t>3.4 Regulatory Mixing Zone Analysis</w:t>
      </w:r>
      <w:bookmarkEnd w:id="33"/>
      <w:r>
        <w:t xml:space="preserve"> </w:t>
      </w:r>
    </w:p>
    <w:p w:rsidR="0027683C" w:rsidRDefault="0027683C" w:rsidP="00A43072">
      <w:pPr>
        <w:pStyle w:val="BodyText"/>
        <w:jc w:val="left"/>
        <w:rPr>
          <w:sz w:val="22"/>
          <w:szCs w:val="22"/>
        </w:rPr>
      </w:pPr>
      <w:r>
        <w:rPr>
          <w:sz w:val="22"/>
          <w:szCs w:val="22"/>
        </w:rPr>
        <w:t xml:space="preserve">OAR 340-041-0053 provides that the Department may suspend all or part of the water quality standards in a designated portion of the receiving water to serve as a zone of dilution for wastes and receiving waters to mix thoroughly.  Chronic water quality standards for all parameters must be met at the edge of the defined Mixing Zone.  Compliance with acute toxicity standards must be met at the edge of the Zone of Initial Dilution (ZID).  </w:t>
      </w:r>
    </w:p>
    <w:p w:rsidR="0027683C" w:rsidRDefault="0027683C" w:rsidP="00A43072">
      <w:pPr>
        <w:pStyle w:val="BodyText"/>
        <w:jc w:val="left"/>
        <w:rPr>
          <w:sz w:val="22"/>
          <w:szCs w:val="22"/>
        </w:rPr>
      </w:pPr>
      <w:r>
        <w:rPr>
          <w:sz w:val="22"/>
          <w:szCs w:val="22"/>
        </w:rPr>
        <w:t xml:space="preserve">Due to the expected high quality of the effluent from the site’s wastewater treatment system, a mixing zone for most pollutants is not necessary (i.e., water quality standards are expected to be met at the “end of pipe”).  However, the treatment of </w:t>
      </w:r>
      <w:r w:rsidR="00A21590">
        <w:rPr>
          <w:sz w:val="22"/>
          <w:szCs w:val="22"/>
        </w:rPr>
        <w:t xml:space="preserve">total </w:t>
      </w:r>
      <w:r>
        <w:rPr>
          <w:sz w:val="22"/>
          <w:szCs w:val="22"/>
        </w:rPr>
        <w:t>cyanide at the site has proven to be somewhat more difficult.  While free cyanide concentrations in the effluent from the pilot treatment plant consistently met ambient water quality criteria, the total cyanide levels did not.</w:t>
      </w:r>
      <w:r w:rsidR="00A21590">
        <w:rPr>
          <w:sz w:val="22"/>
          <w:szCs w:val="22"/>
        </w:rPr>
        <w:t xml:space="preserve">  </w:t>
      </w:r>
    </w:p>
    <w:p w:rsidR="0027683C" w:rsidRDefault="0027683C" w:rsidP="00A43072">
      <w:pPr>
        <w:pStyle w:val="BodyText"/>
        <w:jc w:val="left"/>
        <w:rPr>
          <w:sz w:val="22"/>
          <w:szCs w:val="22"/>
        </w:rPr>
      </w:pPr>
      <w:r>
        <w:rPr>
          <w:sz w:val="22"/>
          <w:szCs w:val="22"/>
        </w:rPr>
        <w:t xml:space="preserve">Cyanide is present in the groundwater throughout the site and it is a pollutant of concern in the effluent.  In designing the wastewater treatment plant the destruction and removal of cyanide was given a high priority.  However, the presence of iron and certain organic compounds in the groundwater made treatment for cyanide difficult.  The bench-scale treatment studies tested three promising cyanide treatment methods. </w:t>
      </w:r>
      <w:r w:rsidR="00A21590">
        <w:rPr>
          <w:sz w:val="22"/>
          <w:szCs w:val="22"/>
        </w:rPr>
        <w:t xml:space="preserve"> </w:t>
      </w:r>
      <w:r>
        <w:rPr>
          <w:sz w:val="22"/>
          <w:szCs w:val="22"/>
        </w:rPr>
        <w:t xml:space="preserve">The cyanide destruction (oxidation) processes selected for the pilot study included the use of hydrogen peroxide alone as well as ultraviolet (UV) light combined with hydrogen peroxide.  The results of the pilot-scale studies indicated that while the more biologically available </w:t>
      </w:r>
      <w:r w:rsidR="00837923">
        <w:rPr>
          <w:sz w:val="22"/>
          <w:szCs w:val="22"/>
        </w:rPr>
        <w:t xml:space="preserve">(and toxic) </w:t>
      </w:r>
      <w:r>
        <w:rPr>
          <w:sz w:val="22"/>
          <w:szCs w:val="22"/>
        </w:rPr>
        <w:t>forms of cyanide appear to have been destroyed within the treatment system, the presence of iron in the groundwater made the consistent destruction of total cyanide difficult.  In particular, the iron, organics and suspended solids app</w:t>
      </w:r>
      <w:r w:rsidR="00837923">
        <w:rPr>
          <w:sz w:val="22"/>
          <w:szCs w:val="22"/>
        </w:rPr>
        <w:t xml:space="preserve">ear to have impeded the cyanide </w:t>
      </w:r>
      <w:r>
        <w:rPr>
          <w:sz w:val="22"/>
          <w:szCs w:val="22"/>
        </w:rPr>
        <w:t xml:space="preserve">destruction performance of the UV light.  The other technology used in the pilot plant (utilizing hydrogen peroxide) initially provided adequate removal, but did not consistently meet the total cyanide criterion (130 µg/L). </w:t>
      </w:r>
    </w:p>
    <w:p w:rsidR="0027683C" w:rsidRDefault="0027683C" w:rsidP="00A43072">
      <w:pPr>
        <w:pStyle w:val="BodyText"/>
        <w:jc w:val="left"/>
        <w:rPr>
          <w:sz w:val="22"/>
          <w:szCs w:val="22"/>
        </w:rPr>
      </w:pPr>
      <w:r>
        <w:rPr>
          <w:sz w:val="22"/>
          <w:szCs w:val="22"/>
        </w:rPr>
        <w:t>To further assess this issue, NW Natural’s consultants reviewed the known appropriate methods of total cyanide removal (</w:t>
      </w:r>
      <w:r w:rsidRPr="00AC7809">
        <w:rPr>
          <w:i/>
          <w:sz w:val="22"/>
          <w:szCs w:val="22"/>
        </w:rPr>
        <w:t>NW Natural and Siltronic Supplement to NPDES Application No. 967828</w:t>
      </w:r>
      <w:r>
        <w:rPr>
          <w:sz w:val="22"/>
          <w:szCs w:val="22"/>
        </w:rPr>
        <w:t xml:space="preserve">, Sevensen Environmental Services, Inc., January 2012). Based on this review, it was decided that the final treatment plant would incorporate a cyanide destruction process capable of using either of the two processes with the most potential to meet </w:t>
      </w:r>
      <w:r w:rsidR="00837923">
        <w:rPr>
          <w:sz w:val="22"/>
          <w:szCs w:val="22"/>
        </w:rPr>
        <w:t xml:space="preserve">the </w:t>
      </w:r>
      <w:r w:rsidR="00BA32E7">
        <w:rPr>
          <w:sz w:val="22"/>
          <w:szCs w:val="22"/>
        </w:rPr>
        <w:t>total cyanide criteria. (These processes use either sodium hypochlorite or hydrogen peroxide.)</w:t>
      </w:r>
      <w:r>
        <w:rPr>
          <w:sz w:val="22"/>
          <w:szCs w:val="22"/>
        </w:rPr>
        <w:t xml:space="preserve"> </w:t>
      </w:r>
      <w:r w:rsidR="00A21590">
        <w:rPr>
          <w:sz w:val="22"/>
          <w:szCs w:val="22"/>
        </w:rPr>
        <w:t xml:space="preserve"> </w:t>
      </w:r>
      <w:r>
        <w:rPr>
          <w:sz w:val="22"/>
          <w:szCs w:val="22"/>
        </w:rPr>
        <w:t xml:space="preserve">It is expected that one of these two methods will result in the plant effluent either meeting the total cyanide ambient water quality criterion at the point of discharge, or that the criterion will be met after mixing with a very limited amount of river water.  </w:t>
      </w:r>
    </w:p>
    <w:p w:rsidR="0027683C" w:rsidRDefault="0027683C" w:rsidP="00A43072">
      <w:pPr>
        <w:pStyle w:val="BodyText"/>
        <w:jc w:val="left"/>
        <w:rPr>
          <w:sz w:val="22"/>
          <w:szCs w:val="22"/>
        </w:rPr>
      </w:pPr>
      <w:r>
        <w:rPr>
          <w:sz w:val="22"/>
          <w:szCs w:val="22"/>
        </w:rPr>
        <w:t>If it is determined that the effluent will not meet the total cyanide water quality criterion after treatment with available technology, a mixing zone will be needed for total cyanide</w:t>
      </w:r>
      <w:r w:rsidR="00A80659">
        <w:rPr>
          <w:sz w:val="22"/>
          <w:szCs w:val="22"/>
        </w:rPr>
        <w:t xml:space="preserve">.  </w:t>
      </w:r>
      <w:r>
        <w:rPr>
          <w:sz w:val="22"/>
          <w:szCs w:val="22"/>
        </w:rPr>
        <w:t>To address this situation, the proposed permit temporari</w:t>
      </w:r>
      <w:r w:rsidR="00BA32E7">
        <w:rPr>
          <w:sz w:val="22"/>
          <w:szCs w:val="22"/>
        </w:rPr>
        <w:t xml:space="preserve">ly allocates a </w:t>
      </w:r>
      <w:r w:rsidR="00A21590">
        <w:rPr>
          <w:sz w:val="22"/>
          <w:szCs w:val="22"/>
        </w:rPr>
        <w:t xml:space="preserve">limited </w:t>
      </w:r>
      <w:r w:rsidR="00BA32E7">
        <w:rPr>
          <w:sz w:val="22"/>
          <w:szCs w:val="22"/>
        </w:rPr>
        <w:t>mixing zone for total c</w:t>
      </w:r>
      <w:r>
        <w:rPr>
          <w:sz w:val="22"/>
          <w:szCs w:val="22"/>
        </w:rPr>
        <w:t xml:space="preserve">yanide.  The continued use of the mixing zone will only be approved if the permittee adequately demonstrates that the total cyanide limitations (based on the 130 ug/L criterion) cannot be met following optimization of the treatment system. </w:t>
      </w:r>
    </w:p>
    <w:p w:rsidR="0027683C" w:rsidRDefault="0027683C" w:rsidP="00A43072">
      <w:pPr>
        <w:pStyle w:val="BodyText"/>
        <w:jc w:val="left"/>
        <w:rPr>
          <w:sz w:val="22"/>
          <w:szCs w:val="22"/>
        </w:rPr>
      </w:pPr>
      <w:r>
        <w:rPr>
          <w:sz w:val="22"/>
          <w:szCs w:val="22"/>
        </w:rPr>
        <w:t xml:space="preserve">The mixing zone in the proposed permit is only for total cyanide.  The mixing zone is defined as that portion of the Willamette River </w:t>
      </w:r>
      <w:r w:rsidR="00D15137">
        <w:rPr>
          <w:sz w:val="22"/>
          <w:szCs w:val="22"/>
        </w:rPr>
        <w:t>18-feet wide and 6-feet long, centered on the outfall’s diffuser</w:t>
      </w:r>
      <w:r w:rsidR="007E2368">
        <w:rPr>
          <w:rStyle w:val="FootnoteReference"/>
          <w:sz w:val="22"/>
          <w:szCs w:val="22"/>
        </w:rPr>
        <w:footnoteReference w:id="2"/>
      </w:r>
      <w:r>
        <w:rPr>
          <w:sz w:val="22"/>
          <w:szCs w:val="22"/>
        </w:rPr>
        <w:t xml:space="preserve">. </w:t>
      </w:r>
      <w:r w:rsidR="00D15137">
        <w:rPr>
          <w:sz w:val="22"/>
          <w:szCs w:val="22"/>
        </w:rPr>
        <w:t xml:space="preserve"> (The 18-foot width is perpendicular to the river flow.)</w:t>
      </w:r>
      <w:r>
        <w:rPr>
          <w:sz w:val="22"/>
          <w:szCs w:val="22"/>
        </w:rPr>
        <w:t xml:space="preserve"> A </w:t>
      </w:r>
      <w:r w:rsidR="00BA32E7">
        <w:rPr>
          <w:sz w:val="22"/>
          <w:szCs w:val="22"/>
        </w:rPr>
        <w:t xml:space="preserve">level II </w:t>
      </w:r>
      <w:r>
        <w:rPr>
          <w:sz w:val="22"/>
          <w:szCs w:val="22"/>
        </w:rPr>
        <w:t>mixing zone study provided by NW Natural (</w:t>
      </w:r>
      <w:r w:rsidRPr="00AC7809">
        <w:rPr>
          <w:i/>
          <w:sz w:val="22"/>
          <w:szCs w:val="22"/>
        </w:rPr>
        <w:t xml:space="preserve">NW Natural and Siltronic </w:t>
      </w:r>
      <w:r w:rsidRPr="00AC7809">
        <w:rPr>
          <w:i/>
          <w:sz w:val="22"/>
          <w:szCs w:val="22"/>
        </w:rPr>
        <w:lastRenderedPageBreak/>
        <w:t>Source Control Treatment Plant Mixing Zone/Dilution Study</w:t>
      </w:r>
      <w:r>
        <w:rPr>
          <w:sz w:val="22"/>
          <w:szCs w:val="22"/>
        </w:rPr>
        <w:t xml:space="preserve">, October 2012) indicates that a dilution of </w:t>
      </w:r>
      <w:r w:rsidR="003808CB">
        <w:rPr>
          <w:sz w:val="22"/>
          <w:szCs w:val="22"/>
        </w:rPr>
        <w:t>four (4)</w:t>
      </w:r>
      <w:r>
        <w:rPr>
          <w:sz w:val="22"/>
          <w:szCs w:val="22"/>
        </w:rPr>
        <w:t xml:space="preserve"> will easily be met within the mixing zone under critical conditions.  As explained in Section </w:t>
      </w:r>
      <w:r w:rsidR="00BA32E7">
        <w:rPr>
          <w:sz w:val="22"/>
          <w:szCs w:val="22"/>
        </w:rPr>
        <w:t>4</w:t>
      </w:r>
      <w:r>
        <w:rPr>
          <w:sz w:val="22"/>
          <w:szCs w:val="22"/>
        </w:rPr>
        <w:t>, below, this dilution was used to develop the total cyanide effluent limits in the proposed permit for the scenario involving the use of the mixing zone.   (For the scenario where the continued use of the mixing zone is not approved, no dilution was considered.)</w:t>
      </w:r>
    </w:p>
    <w:p w:rsidR="00113B65" w:rsidRDefault="00113B65">
      <w:pPr>
        <w:pStyle w:val="Heading1sLeft"/>
        <w:spacing w:before="120"/>
      </w:pPr>
      <w:bookmarkStart w:id="34" w:name="_Toc197758207"/>
    </w:p>
    <w:p w:rsidR="0027683C" w:rsidRDefault="0027683C">
      <w:pPr>
        <w:pStyle w:val="Heading1sLeft"/>
        <w:spacing w:before="120"/>
      </w:pPr>
      <w:r>
        <w:t>4.0 Permit limits</w:t>
      </w:r>
      <w:bookmarkEnd w:id="34"/>
    </w:p>
    <w:p w:rsidR="0027683C" w:rsidRDefault="0027683C" w:rsidP="00A43072">
      <w:pPr>
        <w:jc w:val="left"/>
        <w:rPr>
          <w:rFonts w:cs="Times New Roman"/>
          <w:sz w:val="22"/>
          <w:szCs w:val="22"/>
        </w:rPr>
      </w:pPr>
      <w:r>
        <w:rPr>
          <w:rFonts w:cs="Times New Roman"/>
          <w:sz w:val="22"/>
          <w:szCs w:val="22"/>
        </w:rPr>
        <w:t>T</w:t>
      </w:r>
      <w:r w:rsidR="00837923">
        <w:rPr>
          <w:rFonts w:cs="Times New Roman"/>
          <w:sz w:val="22"/>
          <w:szCs w:val="22"/>
        </w:rPr>
        <w:t>wo categories of effluent limit</w:t>
      </w:r>
      <w:r>
        <w:rPr>
          <w:rFonts w:cs="Times New Roman"/>
          <w:sz w:val="22"/>
          <w:szCs w:val="22"/>
        </w:rPr>
        <w:t xml:space="preserve">s exist for NPDES permits: </w:t>
      </w:r>
      <w:r w:rsidR="007E2368">
        <w:rPr>
          <w:rFonts w:cs="Times New Roman"/>
          <w:sz w:val="22"/>
          <w:szCs w:val="22"/>
        </w:rPr>
        <w:t xml:space="preserve"> </w:t>
      </w:r>
      <w:r>
        <w:rPr>
          <w:rFonts w:cs="Times New Roman"/>
          <w:sz w:val="22"/>
          <w:szCs w:val="22"/>
        </w:rPr>
        <w:t>1) Technology based effluent limits, and 2) Water quality based effluent limits.  Technology based effluent limits are developed by applying the national effluent limitation guidelines (ELGs) established by EPA for specific industrial categories.  These limits are established to require a minimum level of treatment for industrial or municipal sources using available technology.  Water quality based effluent limits are designed to be protective of the beneficial uses of the receiving water and are independent of the available treatment technology.  In addition, when performing a permit renewal, there are existing permit limits.  These may be technology-based limits, water quality-based limits, or limits based on best professional judgment.   In general, when renewing a permit, the most stringent limits from each of these three categories apply.</w:t>
      </w:r>
    </w:p>
    <w:p w:rsidR="0027683C" w:rsidRDefault="0027683C" w:rsidP="00A43072">
      <w:pPr>
        <w:pStyle w:val="Asteve13B"/>
        <w:jc w:val="left"/>
      </w:pPr>
      <w:bookmarkStart w:id="35" w:name="_Toc197758208"/>
      <w:r>
        <w:t>4.1 Existing Permit Limitations</w:t>
      </w:r>
      <w:bookmarkEnd w:id="35"/>
    </w:p>
    <w:p w:rsidR="0027683C" w:rsidRDefault="0027683C" w:rsidP="00A43072">
      <w:pPr>
        <w:tabs>
          <w:tab w:val="left" w:pos="-720"/>
        </w:tabs>
        <w:suppressAutoHyphens/>
        <w:jc w:val="left"/>
        <w:rPr>
          <w:rFonts w:cs="Times New Roman"/>
          <w:sz w:val="22"/>
          <w:szCs w:val="22"/>
        </w:rPr>
      </w:pPr>
      <w:r>
        <w:rPr>
          <w:rFonts w:cs="Times New Roman"/>
          <w:sz w:val="22"/>
          <w:szCs w:val="22"/>
        </w:rPr>
        <w:t>This facility currently does not have an NPDES permit for the discharges considered under th</w:t>
      </w:r>
      <w:r w:rsidR="008F533E">
        <w:rPr>
          <w:rFonts w:cs="Times New Roman"/>
          <w:sz w:val="22"/>
          <w:szCs w:val="22"/>
        </w:rPr>
        <w:t>e proposed</w:t>
      </w:r>
      <w:r>
        <w:rPr>
          <w:rFonts w:cs="Times New Roman"/>
          <w:sz w:val="22"/>
          <w:szCs w:val="22"/>
        </w:rPr>
        <w:t xml:space="preserve"> permit, so there are no existing permit limitations.</w:t>
      </w:r>
      <w:bookmarkStart w:id="36" w:name="_Toc197758209"/>
    </w:p>
    <w:p w:rsidR="0027683C" w:rsidRDefault="0027683C" w:rsidP="00A43072">
      <w:pPr>
        <w:pStyle w:val="Asteve13B"/>
        <w:jc w:val="left"/>
      </w:pPr>
      <w:r>
        <w:t>4.2 Technology-Based Effluent Limits</w:t>
      </w:r>
      <w:bookmarkEnd w:id="36"/>
    </w:p>
    <w:p w:rsidR="0027683C" w:rsidRDefault="0027683C" w:rsidP="00A43072">
      <w:pPr>
        <w:tabs>
          <w:tab w:val="left" w:pos="-720"/>
          <w:tab w:val="left" w:pos="342"/>
          <w:tab w:val="left" w:pos="1692"/>
          <w:tab w:val="left" w:leader="dot" w:pos="8550"/>
        </w:tabs>
        <w:suppressAutoHyphens/>
        <w:ind w:left="-18" w:right="36"/>
        <w:jc w:val="left"/>
        <w:rPr>
          <w:rFonts w:cs="Times New Roman"/>
          <w:sz w:val="22"/>
          <w:szCs w:val="22"/>
        </w:rPr>
      </w:pPr>
      <w:r>
        <w:rPr>
          <w:rFonts w:cs="Times New Roman"/>
          <w:sz w:val="22"/>
          <w:szCs w:val="22"/>
        </w:rPr>
        <w:t xml:space="preserve">EPA has developed effluent limitation guidelines (ELGs) for many types of industries.  These ELGs are codified in the Code of Federal Regulations (CFR).  </w:t>
      </w:r>
      <w:bookmarkStart w:id="37" w:name="_Toc197758210"/>
      <w:r>
        <w:rPr>
          <w:rFonts w:cs="Times New Roman"/>
          <w:sz w:val="22"/>
          <w:szCs w:val="22"/>
        </w:rPr>
        <w:t xml:space="preserve">For the </w:t>
      </w:r>
      <w:r w:rsidR="008F533E">
        <w:rPr>
          <w:rFonts w:cs="Times New Roman"/>
          <w:sz w:val="22"/>
          <w:szCs w:val="22"/>
        </w:rPr>
        <w:t xml:space="preserve">primary </w:t>
      </w:r>
      <w:r>
        <w:rPr>
          <w:rFonts w:cs="Times New Roman"/>
          <w:sz w:val="22"/>
          <w:szCs w:val="22"/>
        </w:rPr>
        <w:t xml:space="preserve">discharge under consideration from this facility, treated groundwater, there are no technology based </w:t>
      </w:r>
      <w:r w:rsidR="00837923">
        <w:rPr>
          <w:rFonts w:cs="Times New Roman"/>
          <w:sz w:val="22"/>
          <w:szCs w:val="22"/>
        </w:rPr>
        <w:t>limits</w:t>
      </w:r>
      <w:r>
        <w:rPr>
          <w:rFonts w:cs="Times New Roman"/>
          <w:sz w:val="22"/>
          <w:szCs w:val="22"/>
        </w:rPr>
        <w:t>.</w:t>
      </w:r>
    </w:p>
    <w:p w:rsidR="0027683C" w:rsidRDefault="0027683C" w:rsidP="00A43072">
      <w:pPr>
        <w:pStyle w:val="Asteve13B"/>
        <w:jc w:val="left"/>
      </w:pPr>
      <w:r>
        <w:t>4.3 Water Quality-Based Effluen</w:t>
      </w:r>
      <w:r w:rsidR="00837923">
        <w:t>t Limit</w:t>
      </w:r>
      <w:r>
        <w:t>s</w:t>
      </w:r>
      <w:bookmarkEnd w:id="37"/>
    </w:p>
    <w:p w:rsidR="0027683C" w:rsidRDefault="0027683C" w:rsidP="00A43072">
      <w:pPr>
        <w:tabs>
          <w:tab w:val="left" w:pos="-720"/>
          <w:tab w:val="left" w:pos="342"/>
          <w:tab w:val="left" w:pos="1692"/>
          <w:tab w:val="left" w:leader="dot" w:pos="8550"/>
        </w:tabs>
        <w:suppressAutoHyphens/>
        <w:ind w:left="-18" w:right="36"/>
        <w:jc w:val="left"/>
        <w:rPr>
          <w:rFonts w:cs="Times New Roman"/>
          <w:sz w:val="22"/>
          <w:szCs w:val="22"/>
        </w:rPr>
      </w:pPr>
      <w:r>
        <w:rPr>
          <w:rFonts w:cs="Times New Roman"/>
          <w:sz w:val="22"/>
          <w:szCs w:val="22"/>
        </w:rPr>
        <w:t>In the determination of water quality based effluent limit</w:t>
      </w:r>
      <w:r w:rsidR="00837923">
        <w:rPr>
          <w:rFonts w:cs="Times New Roman"/>
          <w:sz w:val="22"/>
          <w:szCs w:val="22"/>
        </w:rPr>
        <w:t>s</w:t>
      </w:r>
      <w:r>
        <w:rPr>
          <w:rFonts w:cs="Times New Roman"/>
          <w:sz w:val="22"/>
          <w:szCs w:val="22"/>
        </w:rPr>
        <w:t xml:space="preserve">, a listing of pollutants of concern is first established and then each parameter is evaluated to determine whether the concentration of the pollutant in the discharge represents a “reasonable potential to exceed” water quality standards in the receiving stream (Willamette).  If the discharge concentration of a particular pollutant has a reasonable potential to exceed water quality standards, then water quality based effluent limits are established for that pollutant.  </w:t>
      </w:r>
    </w:p>
    <w:p w:rsidR="0027683C" w:rsidRDefault="0027683C" w:rsidP="00A43072">
      <w:pPr>
        <w:tabs>
          <w:tab w:val="left" w:pos="-720"/>
          <w:tab w:val="left" w:pos="342"/>
          <w:tab w:val="left" w:pos="1692"/>
          <w:tab w:val="left" w:leader="dot" w:pos="8550"/>
        </w:tabs>
        <w:suppressAutoHyphens/>
        <w:ind w:left="-18" w:right="36"/>
        <w:jc w:val="left"/>
        <w:rPr>
          <w:rFonts w:cs="Times New Roman"/>
          <w:sz w:val="22"/>
          <w:szCs w:val="22"/>
        </w:rPr>
      </w:pPr>
    </w:p>
    <w:p w:rsidR="0027683C" w:rsidRDefault="0027683C" w:rsidP="00A43072">
      <w:pPr>
        <w:tabs>
          <w:tab w:val="left" w:pos="-720"/>
          <w:tab w:val="left" w:pos="342"/>
          <w:tab w:val="left" w:pos="1692"/>
          <w:tab w:val="left" w:leader="dot" w:pos="8550"/>
        </w:tabs>
        <w:suppressAutoHyphens/>
        <w:ind w:left="-18" w:right="36"/>
        <w:jc w:val="left"/>
        <w:rPr>
          <w:rFonts w:ascii="Arial" w:hAnsi="Arial" w:cs="Arial"/>
          <w:b/>
          <w:bCs/>
        </w:rPr>
      </w:pPr>
      <w:r>
        <w:rPr>
          <w:rFonts w:ascii="Arial" w:hAnsi="Arial" w:cs="Arial"/>
          <w:b/>
          <w:bCs/>
        </w:rPr>
        <w:t>4.3.1 Pollutants of Concern</w:t>
      </w:r>
    </w:p>
    <w:p w:rsidR="0027683C" w:rsidRDefault="0027683C" w:rsidP="00A43072">
      <w:pPr>
        <w:jc w:val="left"/>
        <w:rPr>
          <w:rFonts w:cs="Times New Roman"/>
          <w:sz w:val="22"/>
          <w:szCs w:val="22"/>
        </w:rPr>
      </w:pPr>
      <w:r>
        <w:rPr>
          <w:rFonts w:cs="Times New Roman"/>
          <w:sz w:val="22"/>
          <w:szCs w:val="22"/>
        </w:rPr>
        <w:t>A list of the pollutants of concern has been developed for pollutants with the potential</w:t>
      </w:r>
      <w:r w:rsidR="00F86B94">
        <w:rPr>
          <w:rFonts w:cs="Times New Roman"/>
          <w:sz w:val="22"/>
          <w:szCs w:val="22"/>
        </w:rPr>
        <w:t xml:space="preserve"> to be present in the effluent </w:t>
      </w:r>
      <w:r>
        <w:rPr>
          <w:rFonts w:cs="Times New Roman"/>
          <w:sz w:val="22"/>
          <w:szCs w:val="22"/>
        </w:rPr>
        <w:t xml:space="preserve">and for which water quality standards exist.  This list was developed through the evaluation of field analyses performed on the treated and untreated groundwater, and an examination of the prior operational history </w:t>
      </w:r>
      <w:r w:rsidR="00F86B94">
        <w:rPr>
          <w:rFonts w:cs="Times New Roman"/>
          <w:sz w:val="22"/>
          <w:szCs w:val="22"/>
        </w:rPr>
        <w:t>at the</w:t>
      </w:r>
      <w:r>
        <w:rPr>
          <w:rFonts w:cs="Times New Roman"/>
          <w:sz w:val="22"/>
          <w:szCs w:val="22"/>
        </w:rPr>
        <w:t xml:space="preserve"> site.  This list is composed </w:t>
      </w:r>
      <w:r w:rsidR="007E2368">
        <w:rPr>
          <w:rFonts w:cs="Times New Roman"/>
          <w:sz w:val="22"/>
          <w:szCs w:val="22"/>
        </w:rPr>
        <w:t xml:space="preserve">of </w:t>
      </w:r>
      <w:r>
        <w:rPr>
          <w:rFonts w:cs="Times New Roman"/>
          <w:sz w:val="22"/>
          <w:szCs w:val="22"/>
        </w:rPr>
        <w:t>numerous toxic pollutants including cyanide, phenols, polycyclic</w:t>
      </w:r>
      <w:r w:rsidR="005317D6">
        <w:rPr>
          <w:rFonts w:cs="Times New Roman"/>
          <w:sz w:val="22"/>
          <w:szCs w:val="22"/>
        </w:rPr>
        <w:t xml:space="preserve"> (</w:t>
      </w:r>
      <w:proofErr w:type="spellStart"/>
      <w:r w:rsidR="005317D6">
        <w:rPr>
          <w:rFonts w:cs="Times New Roman"/>
          <w:sz w:val="22"/>
          <w:szCs w:val="22"/>
        </w:rPr>
        <w:t>polynuclear</w:t>
      </w:r>
      <w:proofErr w:type="spellEnd"/>
      <w:r w:rsidR="005317D6">
        <w:rPr>
          <w:rFonts w:cs="Times New Roman"/>
          <w:sz w:val="22"/>
          <w:szCs w:val="22"/>
        </w:rPr>
        <w:t>)</w:t>
      </w:r>
      <w:r>
        <w:rPr>
          <w:rFonts w:cs="Times New Roman"/>
          <w:sz w:val="22"/>
          <w:szCs w:val="22"/>
        </w:rPr>
        <w:t xml:space="preserve"> aromatic hydrocarbons (PAHs), metals</w:t>
      </w:r>
      <w:r w:rsidR="007E2368">
        <w:rPr>
          <w:rFonts w:cs="Times New Roman"/>
          <w:sz w:val="22"/>
          <w:szCs w:val="22"/>
        </w:rPr>
        <w:t>,</w:t>
      </w:r>
      <w:r>
        <w:rPr>
          <w:rFonts w:cs="Times New Roman"/>
          <w:sz w:val="22"/>
          <w:szCs w:val="22"/>
        </w:rPr>
        <w:t xml:space="preserve"> and volatile organic compounds (VOCs)</w:t>
      </w:r>
      <w:r w:rsidR="008954A3">
        <w:rPr>
          <w:rStyle w:val="FootnoteReference"/>
          <w:sz w:val="22"/>
          <w:szCs w:val="22"/>
        </w:rPr>
        <w:footnoteReference w:id="3"/>
      </w:r>
      <w:r>
        <w:rPr>
          <w:rFonts w:cs="Times New Roman"/>
          <w:sz w:val="22"/>
          <w:szCs w:val="22"/>
        </w:rPr>
        <w:t xml:space="preserve">.  The full list of identified toxic pollutants of concern is presented in Table 5, below.  In addition to the toxic pollutants, </w:t>
      </w:r>
      <w:r w:rsidR="008F533E">
        <w:rPr>
          <w:rFonts w:cs="Times New Roman"/>
          <w:sz w:val="22"/>
          <w:szCs w:val="22"/>
        </w:rPr>
        <w:t xml:space="preserve">the </w:t>
      </w:r>
      <w:r>
        <w:rPr>
          <w:rFonts w:cs="Times New Roman"/>
          <w:sz w:val="22"/>
          <w:szCs w:val="22"/>
        </w:rPr>
        <w:t xml:space="preserve">conventional pollutants temperature and pH are also considered pollutants of concern since the treatment process may impact these parameters.  </w:t>
      </w:r>
    </w:p>
    <w:p w:rsidR="00113B65" w:rsidRDefault="00113B65">
      <w:pPr>
        <w:jc w:val="left"/>
        <w:rPr>
          <w:rFonts w:cs="Times New Roman"/>
          <w:sz w:val="22"/>
          <w:szCs w:val="22"/>
        </w:rPr>
      </w:pPr>
      <w:r>
        <w:rPr>
          <w:rFonts w:cs="Times New Roman"/>
          <w:sz w:val="22"/>
          <w:szCs w:val="22"/>
        </w:rPr>
        <w:br w:type="page"/>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48"/>
        <w:gridCol w:w="3240"/>
        <w:gridCol w:w="2430"/>
      </w:tblGrid>
      <w:tr w:rsidR="0027683C">
        <w:trPr>
          <w:trHeight w:val="285"/>
          <w:jc w:val="center"/>
        </w:trPr>
        <w:tc>
          <w:tcPr>
            <w:tcW w:w="9018" w:type="dxa"/>
            <w:gridSpan w:val="3"/>
            <w:shd w:val="clear" w:color="auto" w:fill="D9D9D9"/>
          </w:tcPr>
          <w:p w:rsidR="0027683C" w:rsidRDefault="0027683C">
            <w:pPr>
              <w:spacing w:before="60" w:after="60"/>
              <w:jc w:val="center"/>
              <w:rPr>
                <w:rFonts w:cs="Times New Roman"/>
                <w:sz w:val="20"/>
                <w:szCs w:val="20"/>
              </w:rPr>
            </w:pPr>
            <w:r>
              <w:rPr>
                <w:rFonts w:ascii="Arial" w:hAnsi="Arial" w:cs="Arial"/>
                <w:b/>
                <w:bCs/>
                <w:sz w:val="22"/>
                <w:szCs w:val="22"/>
              </w:rPr>
              <w:lastRenderedPageBreak/>
              <w:t>Table 5: Toxic Pollutants of Concern List</w:t>
            </w:r>
          </w:p>
        </w:tc>
      </w:tr>
      <w:tr w:rsidR="0027683C">
        <w:trPr>
          <w:trHeight w:val="285"/>
          <w:jc w:val="center"/>
        </w:trPr>
        <w:tc>
          <w:tcPr>
            <w:tcW w:w="3348" w:type="dxa"/>
            <w:vAlign w:val="center"/>
          </w:tcPr>
          <w:p w:rsidR="0027683C" w:rsidRDefault="0027683C">
            <w:pPr>
              <w:jc w:val="center"/>
              <w:rPr>
                <w:rFonts w:ascii="Arial" w:hAnsi="Arial" w:cs="Arial"/>
                <w:sz w:val="20"/>
                <w:szCs w:val="20"/>
              </w:rPr>
            </w:pPr>
            <w:r>
              <w:rPr>
                <w:rFonts w:ascii="Arial" w:hAnsi="Arial" w:cs="Arial"/>
                <w:sz w:val="20"/>
                <w:szCs w:val="20"/>
              </w:rPr>
              <w:t>Free Cyanide</w:t>
            </w:r>
          </w:p>
        </w:tc>
        <w:tc>
          <w:tcPr>
            <w:tcW w:w="3240" w:type="dxa"/>
            <w:shd w:val="clear" w:color="auto" w:fill="D9D9D9"/>
            <w:vAlign w:val="center"/>
          </w:tcPr>
          <w:p w:rsidR="0027683C" w:rsidRDefault="0027683C">
            <w:pPr>
              <w:jc w:val="center"/>
              <w:rPr>
                <w:rFonts w:ascii="Arial" w:hAnsi="Arial" w:cs="Arial"/>
                <w:sz w:val="20"/>
                <w:szCs w:val="20"/>
                <w:u w:val="single"/>
              </w:rPr>
            </w:pPr>
            <w:r>
              <w:rPr>
                <w:rFonts w:ascii="Arial" w:hAnsi="Arial" w:cs="Arial"/>
                <w:sz w:val="20"/>
                <w:szCs w:val="20"/>
                <w:u w:val="single"/>
              </w:rPr>
              <w:t>PAHs</w:t>
            </w:r>
          </w:p>
        </w:tc>
        <w:tc>
          <w:tcPr>
            <w:tcW w:w="2430" w:type="dxa"/>
            <w:shd w:val="clear" w:color="auto" w:fill="D9D9D9"/>
            <w:vAlign w:val="center"/>
          </w:tcPr>
          <w:p w:rsidR="0027683C" w:rsidRDefault="0027683C">
            <w:pPr>
              <w:jc w:val="center"/>
              <w:rPr>
                <w:rFonts w:ascii="Arial" w:hAnsi="Arial" w:cs="Arial"/>
                <w:sz w:val="20"/>
                <w:szCs w:val="20"/>
                <w:u w:val="single"/>
              </w:rPr>
            </w:pPr>
            <w:r>
              <w:rPr>
                <w:rFonts w:ascii="Arial" w:hAnsi="Arial" w:cs="Arial"/>
                <w:sz w:val="20"/>
                <w:szCs w:val="20"/>
                <w:u w:val="single"/>
              </w:rPr>
              <w:t>Metals</w:t>
            </w:r>
          </w:p>
        </w:tc>
      </w:tr>
      <w:tr w:rsidR="0027683C">
        <w:trPr>
          <w:trHeight w:val="285"/>
          <w:jc w:val="center"/>
        </w:trPr>
        <w:tc>
          <w:tcPr>
            <w:tcW w:w="3348" w:type="dxa"/>
            <w:vAlign w:val="center"/>
          </w:tcPr>
          <w:p w:rsidR="0027683C" w:rsidRDefault="0027683C">
            <w:pPr>
              <w:jc w:val="center"/>
              <w:rPr>
                <w:rFonts w:ascii="Arial" w:hAnsi="Arial" w:cs="Arial"/>
                <w:sz w:val="20"/>
                <w:szCs w:val="20"/>
              </w:rPr>
            </w:pPr>
            <w:r>
              <w:rPr>
                <w:rFonts w:ascii="Arial" w:hAnsi="Arial" w:cs="Arial"/>
                <w:sz w:val="20"/>
                <w:szCs w:val="20"/>
              </w:rPr>
              <w:t>Total Cyanide</w:t>
            </w:r>
          </w:p>
        </w:tc>
        <w:tc>
          <w:tcPr>
            <w:tcW w:w="3240" w:type="dxa"/>
            <w:vAlign w:val="center"/>
          </w:tcPr>
          <w:p w:rsidR="0027683C" w:rsidRDefault="0027683C">
            <w:pPr>
              <w:jc w:val="center"/>
              <w:rPr>
                <w:rFonts w:ascii="Arial" w:hAnsi="Arial" w:cs="Arial"/>
                <w:sz w:val="20"/>
                <w:szCs w:val="20"/>
              </w:rPr>
            </w:pPr>
            <w:r>
              <w:rPr>
                <w:rFonts w:ascii="Arial" w:hAnsi="Arial" w:cs="Arial"/>
                <w:sz w:val="20"/>
                <w:szCs w:val="20"/>
              </w:rPr>
              <w:t>Acenaphthene</w:t>
            </w:r>
          </w:p>
        </w:tc>
        <w:tc>
          <w:tcPr>
            <w:tcW w:w="2430" w:type="dxa"/>
            <w:vAlign w:val="center"/>
          </w:tcPr>
          <w:p w:rsidR="0027683C" w:rsidRDefault="0027683C">
            <w:pPr>
              <w:jc w:val="center"/>
              <w:rPr>
                <w:rFonts w:ascii="Arial" w:hAnsi="Arial" w:cs="Arial"/>
                <w:sz w:val="20"/>
                <w:szCs w:val="20"/>
              </w:rPr>
            </w:pPr>
            <w:r>
              <w:rPr>
                <w:rFonts w:ascii="Arial" w:hAnsi="Arial" w:cs="Arial"/>
                <w:sz w:val="20"/>
                <w:szCs w:val="20"/>
              </w:rPr>
              <w:t>Arsenic</w:t>
            </w:r>
          </w:p>
        </w:tc>
      </w:tr>
      <w:tr w:rsidR="0027683C">
        <w:trPr>
          <w:trHeight w:val="285"/>
          <w:jc w:val="center"/>
        </w:trPr>
        <w:tc>
          <w:tcPr>
            <w:tcW w:w="3348" w:type="dxa"/>
            <w:shd w:val="clear" w:color="auto" w:fill="D9D9D9"/>
            <w:vAlign w:val="center"/>
          </w:tcPr>
          <w:p w:rsidR="0027683C" w:rsidRDefault="0027683C">
            <w:pPr>
              <w:jc w:val="center"/>
              <w:rPr>
                <w:rFonts w:ascii="Arial" w:hAnsi="Arial" w:cs="Arial"/>
                <w:sz w:val="20"/>
                <w:szCs w:val="20"/>
                <w:u w:val="single"/>
              </w:rPr>
            </w:pPr>
            <w:r>
              <w:rPr>
                <w:rFonts w:ascii="Arial" w:hAnsi="Arial" w:cs="Arial"/>
                <w:sz w:val="20"/>
                <w:szCs w:val="20"/>
                <w:u w:val="single"/>
              </w:rPr>
              <w:t>Phenols</w:t>
            </w:r>
          </w:p>
        </w:tc>
        <w:tc>
          <w:tcPr>
            <w:tcW w:w="3240" w:type="dxa"/>
            <w:vAlign w:val="center"/>
          </w:tcPr>
          <w:p w:rsidR="0027683C" w:rsidRDefault="0027683C">
            <w:pPr>
              <w:jc w:val="center"/>
              <w:rPr>
                <w:rFonts w:ascii="Arial" w:hAnsi="Arial" w:cs="Arial"/>
                <w:sz w:val="20"/>
                <w:szCs w:val="20"/>
              </w:rPr>
            </w:pPr>
            <w:r>
              <w:rPr>
                <w:rFonts w:ascii="Arial" w:hAnsi="Arial" w:cs="Arial"/>
                <w:sz w:val="20"/>
                <w:szCs w:val="20"/>
              </w:rPr>
              <w:t>Anthracene</w:t>
            </w:r>
          </w:p>
        </w:tc>
        <w:tc>
          <w:tcPr>
            <w:tcW w:w="2430" w:type="dxa"/>
            <w:vAlign w:val="center"/>
          </w:tcPr>
          <w:p w:rsidR="0027683C" w:rsidRDefault="0027683C">
            <w:pPr>
              <w:jc w:val="center"/>
              <w:rPr>
                <w:rFonts w:ascii="Arial" w:hAnsi="Arial" w:cs="Arial"/>
                <w:sz w:val="20"/>
                <w:szCs w:val="20"/>
              </w:rPr>
            </w:pPr>
            <w:r>
              <w:rPr>
                <w:rFonts w:ascii="Arial" w:hAnsi="Arial" w:cs="Arial"/>
                <w:sz w:val="20"/>
                <w:szCs w:val="20"/>
              </w:rPr>
              <w:t>Cadmium</w:t>
            </w:r>
          </w:p>
        </w:tc>
      </w:tr>
      <w:tr w:rsidR="0027683C">
        <w:trPr>
          <w:trHeight w:val="285"/>
          <w:jc w:val="center"/>
        </w:trPr>
        <w:tc>
          <w:tcPr>
            <w:tcW w:w="3348" w:type="dxa"/>
            <w:vAlign w:val="center"/>
          </w:tcPr>
          <w:p w:rsidR="0027683C" w:rsidRDefault="0027683C">
            <w:pPr>
              <w:jc w:val="center"/>
              <w:rPr>
                <w:rFonts w:ascii="Arial" w:hAnsi="Arial" w:cs="Arial"/>
                <w:sz w:val="20"/>
                <w:szCs w:val="20"/>
              </w:rPr>
            </w:pPr>
            <w:r>
              <w:rPr>
                <w:rFonts w:ascii="Arial" w:hAnsi="Arial" w:cs="Arial"/>
                <w:sz w:val="20"/>
                <w:szCs w:val="20"/>
              </w:rPr>
              <w:t>Pentachlorophenol</w:t>
            </w:r>
          </w:p>
        </w:tc>
        <w:tc>
          <w:tcPr>
            <w:tcW w:w="3240" w:type="dxa"/>
            <w:vAlign w:val="center"/>
          </w:tcPr>
          <w:p w:rsidR="0027683C" w:rsidRDefault="0027683C">
            <w:pPr>
              <w:jc w:val="center"/>
              <w:rPr>
                <w:rFonts w:ascii="Arial" w:hAnsi="Arial" w:cs="Arial"/>
                <w:sz w:val="20"/>
                <w:szCs w:val="20"/>
              </w:rPr>
            </w:pPr>
            <w:r>
              <w:rPr>
                <w:rFonts w:ascii="Arial" w:hAnsi="Arial" w:cs="Arial"/>
                <w:sz w:val="20"/>
                <w:szCs w:val="20"/>
              </w:rPr>
              <w:t>Benzo(a)Anthracene</w:t>
            </w:r>
          </w:p>
        </w:tc>
        <w:tc>
          <w:tcPr>
            <w:tcW w:w="2430" w:type="dxa"/>
            <w:vAlign w:val="center"/>
          </w:tcPr>
          <w:p w:rsidR="0027683C" w:rsidRDefault="0027683C">
            <w:pPr>
              <w:jc w:val="center"/>
              <w:rPr>
                <w:rFonts w:ascii="Arial" w:hAnsi="Arial" w:cs="Arial"/>
                <w:sz w:val="20"/>
                <w:szCs w:val="20"/>
              </w:rPr>
            </w:pPr>
            <w:r>
              <w:rPr>
                <w:rFonts w:ascii="Arial" w:hAnsi="Arial" w:cs="Arial"/>
                <w:sz w:val="20"/>
                <w:szCs w:val="20"/>
              </w:rPr>
              <w:t>Chromium III</w:t>
            </w:r>
          </w:p>
        </w:tc>
      </w:tr>
      <w:tr w:rsidR="0027683C">
        <w:trPr>
          <w:trHeight w:val="285"/>
          <w:jc w:val="center"/>
        </w:trPr>
        <w:tc>
          <w:tcPr>
            <w:tcW w:w="3348" w:type="dxa"/>
            <w:vAlign w:val="center"/>
          </w:tcPr>
          <w:p w:rsidR="0027683C" w:rsidRDefault="0027683C">
            <w:pPr>
              <w:jc w:val="center"/>
              <w:rPr>
                <w:rFonts w:ascii="Arial" w:hAnsi="Arial" w:cs="Arial"/>
                <w:sz w:val="20"/>
                <w:szCs w:val="20"/>
              </w:rPr>
            </w:pPr>
            <w:r>
              <w:rPr>
                <w:rFonts w:ascii="Arial" w:hAnsi="Arial" w:cs="Arial"/>
                <w:sz w:val="20"/>
                <w:szCs w:val="20"/>
              </w:rPr>
              <w:t>Phenol</w:t>
            </w:r>
          </w:p>
        </w:tc>
        <w:tc>
          <w:tcPr>
            <w:tcW w:w="3240" w:type="dxa"/>
            <w:vAlign w:val="center"/>
          </w:tcPr>
          <w:p w:rsidR="0027683C" w:rsidRDefault="0027683C">
            <w:pPr>
              <w:jc w:val="center"/>
              <w:rPr>
                <w:rFonts w:ascii="Arial" w:hAnsi="Arial" w:cs="Arial"/>
                <w:sz w:val="20"/>
                <w:szCs w:val="20"/>
              </w:rPr>
            </w:pPr>
            <w:r>
              <w:rPr>
                <w:rFonts w:ascii="Arial" w:hAnsi="Arial" w:cs="Arial"/>
                <w:sz w:val="20"/>
                <w:szCs w:val="20"/>
              </w:rPr>
              <w:t xml:space="preserve">Benzo(a)Pyrene </w:t>
            </w:r>
          </w:p>
        </w:tc>
        <w:tc>
          <w:tcPr>
            <w:tcW w:w="2430" w:type="dxa"/>
            <w:vAlign w:val="center"/>
          </w:tcPr>
          <w:p w:rsidR="0027683C" w:rsidRDefault="0027683C">
            <w:pPr>
              <w:jc w:val="center"/>
              <w:rPr>
                <w:rFonts w:ascii="Arial" w:hAnsi="Arial" w:cs="Arial"/>
                <w:sz w:val="20"/>
                <w:szCs w:val="20"/>
              </w:rPr>
            </w:pPr>
            <w:r>
              <w:rPr>
                <w:rFonts w:ascii="Arial" w:hAnsi="Arial" w:cs="Arial"/>
                <w:sz w:val="20"/>
                <w:szCs w:val="20"/>
              </w:rPr>
              <w:t>Chromium VI</w:t>
            </w:r>
          </w:p>
        </w:tc>
      </w:tr>
      <w:tr w:rsidR="0027683C">
        <w:trPr>
          <w:trHeight w:val="285"/>
          <w:jc w:val="center"/>
        </w:trPr>
        <w:tc>
          <w:tcPr>
            <w:tcW w:w="3348" w:type="dxa"/>
            <w:shd w:val="clear" w:color="auto" w:fill="D9D9D9"/>
            <w:vAlign w:val="center"/>
          </w:tcPr>
          <w:p w:rsidR="0027683C" w:rsidRDefault="0027683C">
            <w:pPr>
              <w:jc w:val="center"/>
              <w:rPr>
                <w:rFonts w:ascii="Arial" w:hAnsi="Arial" w:cs="Arial"/>
                <w:sz w:val="20"/>
                <w:szCs w:val="20"/>
                <w:u w:val="single"/>
              </w:rPr>
            </w:pPr>
            <w:r>
              <w:rPr>
                <w:rFonts w:ascii="Arial" w:hAnsi="Arial" w:cs="Arial"/>
                <w:sz w:val="20"/>
                <w:szCs w:val="20"/>
                <w:u w:val="single"/>
              </w:rPr>
              <w:t>VOCs</w:t>
            </w:r>
          </w:p>
        </w:tc>
        <w:tc>
          <w:tcPr>
            <w:tcW w:w="3240" w:type="dxa"/>
            <w:vAlign w:val="center"/>
          </w:tcPr>
          <w:p w:rsidR="0027683C" w:rsidRDefault="0027683C">
            <w:pPr>
              <w:jc w:val="center"/>
              <w:rPr>
                <w:rFonts w:ascii="Arial" w:hAnsi="Arial" w:cs="Arial"/>
                <w:sz w:val="20"/>
                <w:szCs w:val="20"/>
              </w:rPr>
            </w:pPr>
            <w:r>
              <w:rPr>
                <w:rFonts w:ascii="Arial" w:hAnsi="Arial" w:cs="Arial"/>
                <w:sz w:val="20"/>
                <w:szCs w:val="20"/>
              </w:rPr>
              <w:t>Benzo(b)Flouranthene</w:t>
            </w:r>
          </w:p>
        </w:tc>
        <w:tc>
          <w:tcPr>
            <w:tcW w:w="2430" w:type="dxa"/>
            <w:vAlign w:val="center"/>
          </w:tcPr>
          <w:p w:rsidR="0027683C" w:rsidRDefault="0027683C">
            <w:pPr>
              <w:jc w:val="center"/>
              <w:rPr>
                <w:rFonts w:ascii="Arial" w:hAnsi="Arial" w:cs="Arial"/>
                <w:sz w:val="20"/>
                <w:szCs w:val="20"/>
              </w:rPr>
            </w:pPr>
            <w:r>
              <w:rPr>
                <w:rFonts w:ascii="Arial" w:hAnsi="Arial" w:cs="Arial"/>
                <w:sz w:val="20"/>
                <w:szCs w:val="20"/>
              </w:rPr>
              <w:t>Copper</w:t>
            </w:r>
          </w:p>
        </w:tc>
      </w:tr>
      <w:tr w:rsidR="0027683C">
        <w:trPr>
          <w:trHeight w:val="285"/>
          <w:jc w:val="center"/>
        </w:trPr>
        <w:tc>
          <w:tcPr>
            <w:tcW w:w="3348" w:type="dxa"/>
            <w:vAlign w:val="center"/>
          </w:tcPr>
          <w:p w:rsidR="0027683C" w:rsidRDefault="0027683C">
            <w:pPr>
              <w:jc w:val="center"/>
              <w:rPr>
                <w:rFonts w:ascii="Arial" w:hAnsi="Arial" w:cs="Arial"/>
                <w:sz w:val="20"/>
                <w:szCs w:val="20"/>
              </w:rPr>
            </w:pPr>
            <w:r>
              <w:rPr>
                <w:rFonts w:ascii="Arial" w:hAnsi="Arial" w:cs="Arial"/>
                <w:sz w:val="20"/>
                <w:szCs w:val="20"/>
              </w:rPr>
              <w:t>Benzene</w:t>
            </w:r>
          </w:p>
        </w:tc>
        <w:tc>
          <w:tcPr>
            <w:tcW w:w="3240" w:type="dxa"/>
            <w:vAlign w:val="center"/>
          </w:tcPr>
          <w:p w:rsidR="0027683C" w:rsidRDefault="0027683C">
            <w:pPr>
              <w:jc w:val="center"/>
              <w:rPr>
                <w:rFonts w:ascii="Arial" w:hAnsi="Arial" w:cs="Arial"/>
                <w:sz w:val="20"/>
                <w:szCs w:val="20"/>
              </w:rPr>
            </w:pPr>
            <w:r>
              <w:rPr>
                <w:rFonts w:ascii="Arial" w:hAnsi="Arial" w:cs="Arial"/>
                <w:sz w:val="20"/>
                <w:szCs w:val="20"/>
              </w:rPr>
              <w:t>Benzo(k)Flouranthene</w:t>
            </w:r>
          </w:p>
        </w:tc>
        <w:tc>
          <w:tcPr>
            <w:tcW w:w="2430" w:type="dxa"/>
            <w:vAlign w:val="center"/>
          </w:tcPr>
          <w:p w:rsidR="0027683C" w:rsidRDefault="0027683C">
            <w:pPr>
              <w:jc w:val="center"/>
              <w:rPr>
                <w:rFonts w:ascii="Arial" w:hAnsi="Arial" w:cs="Arial"/>
                <w:sz w:val="20"/>
                <w:szCs w:val="20"/>
              </w:rPr>
            </w:pPr>
            <w:r>
              <w:rPr>
                <w:rFonts w:ascii="Arial" w:hAnsi="Arial" w:cs="Arial"/>
                <w:sz w:val="20"/>
                <w:szCs w:val="20"/>
              </w:rPr>
              <w:t>Iron</w:t>
            </w:r>
          </w:p>
        </w:tc>
      </w:tr>
      <w:tr w:rsidR="0027683C">
        <w:trPr>
          <w:trHeight w:val="285"/>
          <w:jc w:val="center"/>
        </w:trPr>
        <w:tc>
          <w:tcPr>
            <w:tcW w:w="3348" w:type="dxa"/>
            <w:vAlign w:val="center"/>
          </w:tcPr>
          <w:p w:rsidR="0027683C" w:rsidRDefault="0027683C">
            <w:pPr>
              <w:jc w:val="center"/>
              <w:rPr>
                <w:rFonts w:ascii="Arial" w:hAnsi="Arial" w:cs="Arial"/>
                <w:sz w:val="20"/>
                <w:szCs w:val="20"/>
              </w:rPr>
            </w:pPr>
            <w:r>
              <w:rPr>
                <w:rFonts w:ascii="Arial" w:hAnsi="Arial" w:cs="Arial"/>
                <w:sz w:val="20"/>
                <w:szCs w:val="20"/>
              </w:rPr>
              <w:t>Dichloroethylene 1,1</w:t>
            </w:r>
          </w:p>
        </w:tc>
        <w:tc>
          <w:tcPr>
            <w:tcW w:w="3240" w:type="dxa"/>
            <w:vAlign w:val="center"/>
          </w:tcPr>
          <w:p w:rsidR="0027683C" w:rsidRDefault="0027683C">
            <w:pPr>
              <w:jc w:val="center"/>
              <w:rPr>
                <w:rFonts w:ascii="Arial" w:hAnsi="Arial" w:cs="Arial"/>
                <w:sz w:val="20"/>
                <w:szCs w:val="20"/>
              </w:rPr>
            </w:pPr>
            <w:r>
              <w:rPr>
                <w:rFonts w:ascii="Arial" w:hAnsi="Arial" w:cs="Arial"/>
                <w:sz w:val="20"/>
                <w:szCs w:val="20"/>
              </w:rPr>
              <w:t>Chrysene</w:t>
            </w:r>
          </w:p>
        </w:tc>
        <w:tc>
          <w:tcPr>
            <w:tcW w:w="2430" w:type="dxa"/>
            <w:vAlign w:val="center"/>
          </w:tcPr>
          <w:p w:rsidR="0027683C" w:rsidRDefault="0027683C">
            <w:pPr>
              <w:jc w:val="center"/>
              <w:rPr>
                <w:rFonts w:ascii="Arial" w:hAnsi="Arial" w:cs="Arial"/>
                <w:sz w:val="20"/>
                <w:szCs w:val="20"/>
              </w:rPr>
            </w:pPr>
            <w:r>
              <w:rPr>
                <w:rFonts w:ascii="Arial" w:hAnsi="Arial" w:cs="Arial"/>
                <w:sz w:val="20"/>
                <w:szCs w:val="20"/>
              </w:rPr>
              <w:t>Lead</w:t>
            </w:r>
          </w:p>
        </w:tc>
      </w:tr>
      <w:tr w:rsidR="0027683C">
        <w:trPr>
          <w:trHeight w:val="285"/>
          <w:jc w:val="center"/>
        </w:trPr>
        <w:tc>
          <w:tcPr>
            <w:tcW w:w="3348" w:type="dxa"/>
            <w:vAlign w:val="center"/>
          </w:tcPr>
          <w:p w:rsidR="0027683C" w:rsidRDefault="0027683C">
            <w:pPr>
              <w:jc w:val="center"/>
              <w:rPr>
                <w:rFonts w:ascii="Arial" w:hAnsi="Arial" w:cs="Arial"/>
                <w:sz w:val="20"/>
                <w:szCs w:val="20"/>
              </w:rPr>
            </w:pPr>
            <w:r>
              <w:rPr>
                <w:rFonts w:ascii="Arial" w:hAnsi="Arial" w:cs="Arial"/>
                <w:sz w:val="20"/>
                <w:szCs w:val="20"/>
              </w:rPr>
              <w:t>Ethylbenzene</w:t>
            </w:r>
          </w:p>
        </w:tc>
        <w:tc>
          <w:tcPr>
            <w:tcW w:w="3240" w:type="dxa"/>
            <w:vAlign w:val="center"/>
          </w:tcPr>
          <w:p w:rsidR="0027683C" w:rsidRDefault="0027683C">
            <w:pPr>
              <w:jc w:val="center"/>
              <w:rPr>
                <w:rFonts w:ascii="Arial" w:hAnsi="Arial" w:cs="Arial"/>
                <w:sz w:val="20"/>
                <w:szCs w:val="20"/>
              </w:rPr>
            </w:pPr>
            <w:r>
              <w:rPr>
                <w:rFonts w:ascii="Arial" w:hAnsi="Arial" w:cs="Arial"/>
                <w:sz w:val="20"/>
                <w:szCs w:val="20"/>
              </w:rPr>
              <w:t>Dibenzo(a,h)Anthracene</w:t>
            </w:r>
          </w:p>
        </w:tc>
        <w:tc>
          <w:tcPr>
            <w:tcW w:w="2430" w:type="dxa"/>
            <w:vAlign w:val="center"/>
          </w:tcPr>
          <w:p w:rsidR="0027683C" w:rsidRDefault="0027683C">
            <w:pPr>
              <w:jc w:val="center"/>
              <w:rPr>
                <w:rFonts w:ascii="Arial" w:hAnsi="Arial" w:cs="Arial"/>
                <w:sz w:val="20"/>
                <w:szCs w:val="20"/>
              </w:rPr>
            </w:pPr>
            <w:r>
              <w:rPr>
                <w:rFonts w:ascii="Arial" w:hAnsi="Arial" w:cs="Arial"/>
                <w:sz w:val="20"/>
                <w:szCs w:val="20"/>
              </w:rPr>
              <w:t>Mercury</w:t>
            </w:r>
          </w:p>
        </w:tc>
      </w:tr>
      <w:tr w:rsidR="0027683C">
        <w:trPr>
          <w:trHeight w:val="285"/>
          <w:jc w:val="center"/>
        </w:trPr>
        <w:tc>
          <w:tcPr>
            <w:tcW w:w="3348" w:type="dxa"/>
            <w:vAlign w:val="center"/>
          </w:tcPr>
          <w:p w:rsidR="0027683C" w:rsidRDefault="0027683C">
            <w:pPr>
              <w:jc w:val="center"/>
              <w:rPr>
                <w:rFonts w:ascii="Arial" w:hAnsi="Arial" w:cs="Arial"/>
                <w:sz w:val="20"/>
                <w:szCs w:val="20"/>
              </w:rPr>
            </w:pPr>
            <w:r>
              <w:rPr>
                <w:rFonts w:ascii="Arial" w:hAnsi="Arial" w:cs="Arial"/>
                <w:sz w:val="20"/>
                <w:szCs w:val="20"/>
              </w:rPr>
              <w:t>Tetrachloroethylene</w:t>
            </w:r>
          </w:p>
        </w:tc>
        <w:tc>
          <w:tcPr>
            <w:tcW w:w="3240" w:type="dxa"/>
            <w:vAlign w:val="center"/>
          </w:tcPr>
          <w:p w:rsidR="0027683C" w:rsidRDefault="0027683C">
            <w:pPr>
              <w:jc w:val="center"/>
              <w:rPr>
                <w:rFonts w:ascii="Arial" w:hAnsi="Arial" w:cs="Arial"/>
                <w:sz w:val="20"/>
                <w:szCs w:val="20"/>
              </w:rPr>
            </w:pPr>
            <w:r>
              <w:rPr>
                <w:rFonts w:ascii="Arial" w:hAnsi="Arial" w:cs="Arial"/>
                <w:sz w:val="20"/>
                <w:szCs w:val="20"/>
              </w:rPr>
              <w:t>Flouranthene</w:t>
            </w:r>
          </w:p>
        </w:tc>
        <w:tc>
          <w:tcPr>
            <w:tcW w:w="2430" w:type="dxa"/>
            <w:vAlign w:val="center"/>
          </w:tcPr>
          <w:p w:rsidR="0027683C" w:rsidRDefault="0027683C">
            <w:pPr>
              <w:jc w:val="center"/>
              <w:rPr>
                <w:rFonts w:ascii="Arial" w:hAnsi="Arial" w:cs="Arial"/>
                <w:sz w:val="20"/>
                <w:szCs w:val="20"/>
              </w:rPr>
            </w:pPr>
            <w:r>
              <w:rPr>
                <w:rFonts w:ascii="Arial" w:hAnsi="Arial" w:cs="Arial"/>
                <w:sz w:val="20"/>
                <w:szCs w:val="20"/>
              </w:rPr>
              <w:t>Nickel</w:t>
            </w:r>
          </w:p>
        </w:tc>
      </w:tr>
      <w:tr w:rsidR="0027683C">
        <w:trPr>
          <w:trHeight w:val="285"/>
          <w:jc w:val="center"/>
        </w:trPr>
        <w:tc>
          <w:tcPr>
            <w:tcW w:w="3348" w:type="dxa"/>
            <w:vAlign w:val="center"/>
          </w:tcPr>
          <w:p w:rsidR="0027683C" w:rsidRDefault="0027683C">
            <w:pPr>
              <w:jc w:val="center"/>
              <w:rPr>
                <w:rFonts w:ascii="Arial" w:hAnsi="Arial" w:cs="Arial"/>
                <w:sz w:val="20"/>
                <w:szCs w:val="20"/>
              </w:rPr>
            </w:pPr>
            <w:r>
              <w:rPr>
                <w:rFonts w:ascii="Arial" w:hAnsi="Arial" w:cs="Arial"/>
                <w:sz w:val="20"/>
                <w:szCs w:val="20"/>
              </w:rPr>
              <w:t>Toluene</w:t>
            </w:r>
          </w:p>
        </w:tc>
        <w:tc>
          <w:tcPr>
            <w:tcW w:w="3240" w:type="dxa"/>
            <w:vAlign w:val="center"/>
          </w:tcPr>
          <w:p w:rsidR="0027683C" w:rsidRDefault="0027683C">
            <w:pPr>
              <w:jc w:val="center"/>
              <w:rPr>
                <w:rFonts w:ascii="Arial" w:hAnsi="Arial" w:cs="Arial"/>
                <w:sz w:val="20"/>
                <w:szCs w:val="20"/>
              </w:rPr>
            </w:pPr>
            <w:r>
              <w:rPr>
                <w:rFonts w:ascii="Arial" w:hAnsi="Arial" w:cs="Arial"/>
                <w:sz w:val="20"/>
                <w:szCs w:val="20"/>
              </w:rPr>
              <w:t>Flourene</w:t>
            </w:r>
          </w:p>
        </w:tc>
        <w:tc>
          <w:tcPr>
            <w:tcW w:w="2430" w:type="dxa"/>
            <w:vAlign w:val="center"/>
          </w:tcPr>
          <w:p w:rsidR="0027683C" w:rsidRDefault="0027683C">
            <w:pPr>
              <w:jc w:val="center"/>
              <w:rPr>
                <w:rFonts w:ascii="Arial" w:hAnsi="Arial" w:cs="Arial"/>
                <w:sz w:val="20"/>
                <w:szCs w:val="20"/>
              </w:rPr>
            </w:pPr>
            <w:r>
              <w:rPr>
                <w:rFonts w:ascii="Arial" w:hAnsi="Arial" w:cs="Arial"/>
                <w:sz w:val="20"/>
                <w:szCs w:val="20"/>
              </w:rPr>
              <w:t>Selenium</w:t>
            </w:r>
          </w:p>
        </w:tc>
      </w:tr>
      <w:tr w:rsidR="0027683C">
        <w:trPr>
          <w:trHeight w:val="285"/>
          <w:jc w:val="center"/>
        </w:trPr>
        <w:tc>
          <w:tcPr>
            <w:tcW w:w="3348" w:type="dxa"/>
            <w:vAlign w:val="center"/>
          </w:tcPr>
          <w:p w:rsidR="0027683C" w:rsidRDefault="0027683C">
            <w:pPr>
              <w:jc w:val="center"/>
              <w:rPr>
                <w:rFonts w:ascii="Arial" w:hAnsi="Arial" w:cs="Arial"/>
                <w:sz w:val="20"/>
                <w:szCs w:val="20"/>
              </w:rPr>
            </w:pPr>
            <w:proofErr w:type="spellStart"/>
            <w:r>
              <w:rPr>
                <w:rFonts w:ascii="Arial" w:hAnsi="Arial" w:cs="Arial"/>
                <w:sz w:val="20"/>
                <w:szCs w:val="20"/>
              </w:rPr>
              <w:t>Dichloroeth</w:t>
            </w:r>
            <w:r w:rsidR="005317D6">
              <w:rPr>
                <w:rFonts w:ascii="Arial" w:hAnsi="Arial" w:cs="Arial"/>
                <w:sz w:val="20"/>
                <w:szCs w:val="20"/>
              </w:rPr>
              <w:t>yl</w:t>
            </w:r>
            <w:r>
              <w:rPr>
                <w:rFonts w:ascii="Arial" w:hAnsi="Arial" w:cs="Arial"/>
                <w:sz w:val="20"/>
                <w:szCs w:val="20"/>
              </w:rPr>
              <w:t>ene</w:t>
            </w:r>
            <w:proofErr w:type="spellEnd"/>
            <w:r>
              <w:rPr>
                <w:rFonts w:ascii="Arial" w:hAnsi="Arial" w:cs="Arial"/>
                <w:sz w:val="20"/>
                <w:szCs w:val="20"/>
              </w:rPr>
              <w:t xml:space="preserve"> Trans</w:t>
            </w:r>
            <w:r w:rsidR="001F5981">
              <w:rPr>
                <w:rFonts w:ascii="Arial" w:hAnsi="Arial" w:cs="Arial"/>
                <w:sz w:val="20"/>
                <w:szCs w:val="20"/>
              </w:rPr>
              <w:t xml:space="preserve"> </w:t>
            </w:r>
            <w:r>
              <w:rPr>
                <w:rFonts w:ascii="Arial" w:hAnsi="Arial" w:cs="Arial"/>
                <w:sz w:val="20"/>
                <w:szCs w:val="20"/>
              </w:rPr>
              <w:t>1,2</w:t>
            </w:r>
          </w:p>
        </w:tc>
        <w:tc>
          <w:tcPr>
            <w:tcW w:w="3240" w:type="dxa"/>
            <w:vAlign w:val="center"/>
          </w:tcPr>
          <w:p w:rsidR="0027683C" w:rsidRDefault="0027683C">
            <w:pPr>
              <w:jc w:val="center"/>
              <w:rPr>
                <w:rFonts w:ascii="Arial" w:hAnsi="Arial" w:cs="Arial"/>
                <w:sz w:val="20"/>
                <w:szCs w:val="20"/>
              </w:rPr>
            </w:pPr>
            <w:r>
              <w:rPr>
                <w:rFonts w:ascii="Arial" w:hAnsi="Arial" w:cs="Arial"/>
                <w:sz w:val="20"/>
                <w:szCs w:val="20"/>
              </w:rPr>
              <w:t>Indeno(1,2,3-Cd) Pyrene</w:t>
            </w:r>
          </w:p>
        </w:tc>
        <w:tc>
          <w:tcPr>
            <w:tcW w:w="2430" w:type="dxa"/>
            <w:vAlign w:val="center"/>
          </w:tcPr>
          <w:p w:rsidR="0027683C" w:rsidRDefault="0027683C">
            <w:pPr>
              <w:jc w:val="center"/>
              <w:rPr>
                <w:rFonts w:ascii="Arial" w:hAnsi="Arial" w:cs="Arial"/>
                <w:sz w:val="20"/>
                <w:szCs w:val="20"/>
              </w:rPr>
            </w:pPr>
            <w:r>
              <w:rPr>
                <w:rFonts w:ascii="Arial" w:hAnsi="Arial" w:cs="Arial"/>
                <w:sz w:val="20"/>
                <w:szCs w:val="20"/>
              </w:rPr>
              <w:t>Silver</w:t>
            </w:r>
          </w:p>
        </w:tc>
      </w:tr>
      <w:tr w:rsidR="0027683C">
        <w:trPr>
          <w:trHeight w:val="285"/>
          <w:jc w:val="center"/>
        </w:trPr>
        <w:tc>
          <w:tcPr>
            <w:tcW w:w="3348" w:type="dxa"/>
            <w:vAlign w:val="center"/>
          </w:tcPr>
          <w:p w:rsidR="0027683C" w:rsidRDefault="0027683C">
            <w:pPr>
              <w:jc w:val="center"/>
              <w:rPr>
                <w:rFonts w:ascii="Arial" w:hAnsi="Arial" w:cs="Arial"/>
                <w:sz w:val="20"/>
                <w:szCs w:val="20"/>
              </w:rPr>
            </w:pPr>
            <w:r>
              <w:rPr>
                <w:rFonts w:ascii="Arial" w:hAnsi="Arial" w:cs="Arial"/>
                <w:sz w:val="20"/>
                <w:szCs w:val="20"/>
              </w:rPr>
              <w:t>Trichloroethylene</w:t>
            </w:r>
          </w:p>
        </w:tc>
        <w:tc>
          <w:tcPr>
            <w:tcW w:w="3240" w:type="dxa"/>
            <w:vAlign w:val="center"/>
          </w:tcPr>
          <w:p w:rsidR="0027683C" w:rsidRDefault="0027683C">
            <w:pPr>
              <w:jc w:val="center"/>
              <w:rPr>
                <w:rFonts w:ascii="Arial" w:hAnsi="Arial" w:cs="Arial"/>
                <w:sz w:val="20"/>
                <w:szCs w:val="20"/>
              </w:rPr>
            </w:pPr>
            <w:r>
              <w:rPr>
                <w:rFonts w:ascii="Arial" w:hAnsi="Arial" w:cs="Arial"/>
                <w:sz w:val="20"/>
                <w:szCs w:val="20"/>
              </w:rPr>
              <w:t>Pyrene</w:t>
            </w:r>
          </w:p>
        </w:tc>
        <w:tc>
          <w:tcPr>
            <w:tcW w:w="2430" w:type="dxa"/>
            <w:vAlign w:val="center"/>
          </w:tcPr>
          <w:p w:rsidR="0027683C" w:rsidRDefault="0027683C">
            <w:pPr>
              <w:jc w:val="center"/>
              <w:rPr>
                <w:rFonts w:ascii="Arial" w:hAnsi="Arial" w:cs="Arial"/>
                <w:sz w:val="20"/>
                <w:szCs w:val="20"/>
              </w:rPr>
            </w:pPr>
            <w:r>
              <w:rPr>
                <w:rFonts w:ascii="Arial" w:hAnsi="Arial" w:cs="Arial"/>
                <w:sz w:val="20"/>
                <w:szCs w:val="20"/>
              </w:rPr>
              <w:t>Zinc</w:t>
            </w:r>
          </w:p>
        </w:tc>
      </w:tr>
      <w:tr w:rsidR="0027683C" w:rsidTr="00F86B94">
        <w:trPr>
          <w:trHeight w:val="285"/>
          <w:jc w:val="center"/>
        </w:trPr>
        <w:tc>
          <w:tcPr>
            <w:tcW w:w="3348" w:type="dxa"/>
            <w:vAlign w:val="center"/>
          </w:tcPr>
          <w:p w:rsidR="0027683C" w:rsidRDefault="0027683C">
            <w:pPr>
              <w:jc w:val="center"/>
              <w:rPr>
                <w:rFonts w:ascii="Arial" w:hAnsi="Arial" w:cs="Arial"/>
                <w:sz w:val="20"/>
                <w:szCs w:val="20"/>
              </w:rPr>
            </w:pPr>
            <w:r>
              <w:rPr>
                <w:rFonts w:ascii="Arial" w:hAnsi="Arial" w:cs="Arial"/>
                <w:sz w:val="20"/>
                <w:szCs w:val="20"/>
              </w:rPr>
              <w:t>Vinyl chloride</w:t>
            </w:r>
          </w:p>
        </w:tc>
        <w:tc>
          <w:tcPr>
            <w:tcW w:w="3240" w:type="dxa"/>
            <w:shd w:val="clear" w:color="auto" w:fill="D9D9D9" w:themeFill="background1" w:themeFillShade="D9"/>
            <w:vAlign w:val="center"/>
          </w:tcPr>
          <w:p w:rsidR="0027683C" w:rsidRDefault="0027683C">
            <w:pPr>
              <w:jc w:val="center"/>
              <w:rPr>
                <w:rFonts w:ascii="Arial" w:hAnsi="Arial" w:cs="Arial"/>
                <w:color w:val="000000"/>
                <w:sz w:val="20"/>
                <w:szCs w:val="20"/>
              </w:rPr>
            </w:pPr>
          </w:p>
        </w:tc>
        <w:tc>
          <w:tcPr>
            <w:tcW w:w="2430" w:type="dxa"/>
            <w:shd w:val="clear" w:color="auto" w:fill="D9D9D9" w:themeFill="background1" w:themeFillShade="D9"/>
            <w:vAlign w:val="center"/>
          </w:tcPr>
          <w:p w:rsidR="0027683C" w:rsidRDefault="0027683C">
            <w:pPr>
              <w:jc w:val="center"/>
              <w:rPr>
                <w:rFonts w:ascii="Arial" w:hAnsi="Arial" w:cs="Arial"/>
                <w:sz w:val="20"/>
                <w:szCs w:val="20"/>
              </w:rPr>
            </w:pPr>
          </w:p>
        </w:tc>
      </w:tr>
      <w:tr w:rsidR="005317D6" w:rsidTr="00014C7B">
        <w:trPr>
          <w:trHeight w:val="285"/>
          <w:jc w:val="center"/>
        </w:trPr>
        <w:tc>
          <w:tcPr>
            <w:tcW w:w="9018" w:type="dxa"/>
            <w:gridSpan w:val="3"/>
            <w:vAlign w:val="center"/>
          </w:tcPr>
          <w:p w:rsidR="005317D6" w:rsidRPr="005317D6" w:rsidRDefault="005317D6" w:rsidP="00136B40">
            <w:pPr>
              <w:jc w:val="center"/>
              <w:rPr>
                <w:rFonts w:ascii="Arial" w:hAnsi="Arial" w:cs="Arial"/>
                <w:sz w:val="18"/>
                <w:szCs w:val="18"/>
              </w:rPr>
            </w:pPr>
            <w:r w:rsidRPr="005317D6">
              <w:rPr>
                <w:rFonts w:ascii="Arial" w:hAnsi="Arial" w:cs="Arial"/>
                <w:sz w:val="18"/>
                <w:szCs w:val="18"/>
              </w:rPr>
              <w:t>Note: The names</w:t>
            </w:r>
            <w:r>
              <w:rPr>
                <w:rFonts w:ascii="Arial" w:hAnsi="Arial" w:cs="Arial"/>
                <w:sz w:val="18"/>
                <w:szCs w:val="18"/>
              </w:rPr>
              <w:t xml:space="preserve"> use</w:t>
            </w:r>
            <w:r w:rsidR="00136B40">
              <w:rPr>
                <w:rFonts w:ascii="Arial" w:hAnsi="Arial" w:cs="Arial"/>
                <w:sz w:val="18"/>
                <w:szCs w:val="18"/>
              </w:rPr>
              <w:t>d</w:t>
            </w:r>
            <w:r>
              <w:rPr>
                <w:rFonts w:ascii="Arial" w:hAnsi="Arial" w:cs="Arial"/>
                <w:sz w:val="18"/>
                <w:szCs w:val="18"/>
              </w:rPr>
              <w:t xml:space="preserve"> for each of these</w:t>
            </w:r>
            <w:r w:rsidRPr="005317D6">
              <w:rPr>
                <w:rFonts w:ascii="Arial" w:hAnsi="Arial" w:cs="Arial"/>
                <w:sz w:val="18"/>
                <w:szCs w:val="18"/>
              </w:rPr>
              <w:t xml:space="preserve"> pollutants </w:t>
            </w:r>
            <w:r>
              <w:rPr>
                <w:rFonts w:ascii="Arial" w:hAnsi="Arial" w:cs="Arial"/>
                <w:sz w:val="18"/>
                <w:szCs w:val="18"/>
              </w:rPr>
              <w:t>are from</w:t>
            </w:r>
            <w:r w:rsidRPr="005317D6">
              <w:rPr>
                <w:rFonts w:ascii="Arial" w:hAnsi="Arial" w:cs="Arial"/>
                <w:sz w:val="18"/>
                <w:szCs w:val="18"/>
              </w:rPr>
              <w:t xml:space="preserve"> </w:t>
            </w:r>
            <w:r w:rsidR="00136B40">
              <w:rPr>
                <w:rFonts w:ascii="Arial" w:hAnsi="Arial" w:cs="Arial"/>
                <w:sz w:val="18"/>
                <w:szCs w:val="18"/>
              </w:rPr>
              <w:t xml:space="preserve">the water quality toxic criteria tables in </w:t>
            </w:r>
            <w:r w:rsidRPr="005317D6">
              <w:rPr>
                <w:rFonts w:ascii="Arial" w:hAnsi="Arial" w:cs="Arial"/>
                <w:sz w:val="18"/>
                <w:szCs w:val="18"/>
              </w:rPr>
              <w:t xml:space="preserve">Oregon Administrative Rule 340-041. </w:t>
            </w:r>
          </w:p>
        </w:tc>
      </w:tr>
    </w:tbl>
    <w:p w:rsidR="0027683C" w:rsidRDefault="0027683C">
      <w:pPr>
        <w:tabs>
          <w:tab w:val="left" w:pos="-720"/>
          <w:tab w:val="left" w:pos="342"/>
          <w:tab w:val="left" w:pos="1692"/>
          <w:tab w:val="left" w:leader="dot" w:pos="8550"/>
        </w:tabs>
        <w:suppressAutoHyphens/>
        <w:ind w:left="342" w:right="36"/>
        <w:rPr>
          <w:rFonts w:cs="Times New Roman"/>
          <w:sz w:val="22"/>
          <w:szCs w:val="22"/>
        </w:rPr>
      </w:pPr>
    </w:p>
    <w:p w:rsidR="0027683C" w:rsidRDefault="0027683C" w:rsidP="00A43072">
      <w:pPr>
        <w:tabs>
          <w:tab w:val="left" w:pos="-720"/>
          <w:tab w:val="left" w:pos="342"/>
          <w:tab w:val="left" w:pos="1692"/>
          <w:tab w:val="left" w:leader="dot" w:pos="8550"/>
        </w:tabs>
        <w:suppressAutoHyphens/>
        <w:ind w:left="-18" w:right="36"/>
        <w:jc w:val="left"/>
        <w:rPr>
          <w:rFonts w:cs="Times New Roman"/>
          <w:sz w:val="22"/>
          <w:szCs w:val="22"/>
        </w:rPr>
      </w:pPr>
      <w:r>
        <w:rPr>
          <w:rFonts w:cs="Times New Roman"/>
          <w:sz w:val="22"/>
          <w:szCs w:val="22"/>
        </w:rPr>
        <w:t xml:space="preserve">Because the groundwater treatment system cannot begin discharging wastewater until an NPDES permit has been issued, no direct effluent data are </w:t>
      </w:r>
      <w:r w:rsidR="001947A6">
        <w:rPr>
          <w:rFonts w:cs="Times New Roman"/>
          <w:sz w:val="22"/>
          <w:szCs w:val="22"/>
        </w:rPr>
        <w:t xml:space="preserve">currently </w:t>
      </w:r>
      <w:r>
        <w:rPr>
          <w:rFonts w:cs="Times New Roman"/>
          <w:sz w:val="22"/>
          <w:szCs w:val="22"/>
        </w:rPr>
        <w:t xml:space="preserve">available for this site.  However, </w:t>
      </w:r>
      <w:r w:rsidR="00F86B94">
        <w:rPr>
          <w:rFonts w:cs="Times New Roman"/>
          <w:sz w:val="22"/>
          <w:szCs w:val="22"/>
        </w:rPr>
        <w:t xml:space="preserve">as mentioned in previous sections of this report, </w:t>
      </w:r>
      <w:r>
        <w:rPr>
          <w:rFonts w:cs="Times New Roman"/>
          <w:sz w:val="22"/>
          <w:szCs w:val="22"/>
        </w:rPr>
        <w:t>a large-scale pilot groundwater treatment system was operated for approximately 5 weeks in the summer of 2009.  The effluent from this pilot system (which was discharged to the City of Portland’s sanitary sewer system) was sampled and analyzed for the pollutants of concern.  Since the design of the pilot system was very similar to that of the final treatment system, the effluent provides a reasonable estimate of the final system’s effluent quality.  Therefore, data collected during the operation of the pilot treatment system were used in the water quality analyses described below.  It should be noted that during the operation of the pilot treatment system effluent samples were taken separately for the treated groundwater from the Gasco site and also from the Siltronic site.  Both of these data sets were used in the analyses.</w:t>
      </w:r>
    </w:p>
    <w:p w:rsidR="0027683C" w:rsidRDefault="0027683C">
      <w:pPr>
        <w:tabs>
          <w:tab w:val="left" w:pos="-720"/>
          <w:tab w:val="left" w:pos="342"/>
          <w:tab w:val="left" w:pos="1692"/>
          <w:tab w:val="left" w:leader="dot" w:pos="8550"/>
        </w:tabs>
        <w:suppressAutoHyphens/>
        <w:ind w:left="-18" w:right="36"/>
        <w:rPr>
          <w:rFonts w:ascii="Arial" w:hAnsi="Arial" w:cs="Arial"/>
          <w:b/>
          <w:bCs/>
          <w:sz w:val="22"/>
          <w:szCs w:val="22"/>
        </w:rPr>
      </w:pPr>
      <w:bookmarkStart w:id="38" w:name="_Toc197758212"/>
    </w:p>
    <w:p w:rsidR="0027683C" w:rsidRDefault="0027683C">
      <w:pPr>
        <w:tabs>
          <w:tab w:val="left" w:pos="-720"/>
          <w:tab w:val="left" w:pos="342"/>
          <w:tab w:val="left" w:pos="1692"/>
          <w:tab w:val="left" w:leader="dot" w:pos="8550"/>
        </w:tabs>
        <w:suppressAutoHyphens/>
        <w:ind w:left="-18" w:right="36"/>
        <w:rPr>
          <w:rFonts w:ascii="Arial" w:hAnsi="Arial" w:cs="Arial"/>
          <w:b/>
          <w:bCs/>
        </w:rPr>
      </w:pPr>
      <w:r>
        <w:rPr>
          <w:rFonts w:ascii="Arial" w:hAnsi="Arial" w:cs="Arial"/>
          <w:b/>
          <w:bCs/>
        </w:rPr>
        <w:t xml:space="preserve">4.3.2 Water Quality Analysis </w:t>
      </w:r>
    </w:p>
    <w:p w:rsidR="0027683C" w:rsidRDefault="0027683C" w:rsidP="00A43072">
      <w:pPr>
        <w:tabs>
          <w:tab w:val="left" w:pos="-720"/>
          <w:tab w:val="left" w:pos="342"/>
          <w:tab w:val="left" w:pos="1692"/>
          <w:tab w:val="left" w:leader="dot" w:pos="8550"/>
        </w:tabs>
        <w:suppressAutoHyphens/>
        <w:spacing w:before="120"/>
        <w:ind w:left="-14" w:right="43"/>
        <w:jc w:val="left"/>
        <w:rPr>
          <w:rFonts w:cs="Times New Roman"/>
          <w:sz w:val="22"/>
          <w:szCs w:val="22"/>
        </w:rPr>
      </w:pPr>
      <w:r>
        <w:rPr>
          <w:rFonts w:cs="Times New Roman"/>
          <w:sz w:val="22"/>
          <w:szCs w:val="22"/>
        </w:rPr>
        <w:t>The following is an analysis of the potential water quality impacts for each of the pollutants of concern.  If warranted by a determination of reasonable potential to exceed a water quality criterion, effluent limit</w:t>
      </w:r>
      <w:r w:rsidR="001947A6">
        <w:rPr>
          <w:rFonts w:cs="Times New Roman"/>
          <w:sz w:val="22"/>
          <w:szCs w:val="22"/>
        </w:rPr>
        <w:t>s</w:t>
      </w:r>
      <w:r>
        <w:rPr>
          <w:rFonts w:cs="Times New Roman"/>
          <w:sz w:val="22"/>
          <w:szCs w:val="22"/>
        </w:rPr>
        <w:t xml:space="preserve"> </w:t>
      </w:r>
      <w:r w:rsidR="001947A6">
        <w:rPr>
          <w:rFonts w:cs="Times New Roman"/>
          <w:sz w:val="22"/>
          <w:szCs w:val="22"/>
        </w:rPr>
        <w:t>are</w:t>
      </w:r>
      <w:r>
        <w:rPr>
          <w:rFonts w:cs="Times New Roman"/>
          <w:sz w:val="22"/>
          <w:szCs w:val="22"/>
        </w:rPr>
        <w:t xml:space="preserve"> also derived for </w:t>
      </w:r>
      <w:r w:rsidR="001947A6">
        <w:rPr>
          <w:rFonts w:cs="Times New Roman"/>
          <w:sz w:val="22"/>
          <w:szCs w:val="22"/>
        </w:rPr>
        <w:t>each</w:t>
      </w:r>
      <w:r>
        <w:rPr>
          <w:rFonts w:cs="Times New Roman"/>
          <w:sz w:val="22"/>
          <w:szCs w:val="22"/>
        </w:rPr>
        <w:t xml:space="preserve"> applicable pollutant.</w:t>
      </w:r>
    </w:p>
    <w:p w:rsidR="0027683C" w:rsidRDefault="0027683C">
      <w:pPr>
        <w:tabs>
          <w:tab w:val="left" w:pos="-720"/>
          <w:tab w:val="left" w:pos="342"/>
          <w:tab w:val="left" w:pos="1692"/>
          <w:tab w:val="left" w:leader="dot" w:pos="8550"/>
        </w:tabs>
        <w:suppressAutoHyphens/>
        <w:ind w:right="43"/>
        <w:rPr>
          <w:rFonts w:cs="Times New Roman"/>
          <w:sz w:val="22"/>
          <w:szCs w:val="22"/>
        </w:rPr>
      </w:pPr>
    </w:p>
    <w:p w:rsidR="0027683C" w:rsidRDefault="0027683C">
      <w:pPr>
        <w:tabs>
          <w:tab w:val="left" w:pos="-720"/>
          <w:tab w:val="left" w:pos="342"/>
          <w:tab w:val="left" w:pos="1692"/>
          <w:tab w:val="left" w:leader="dot" w:pos="8550"/>
        </w:tabs>
        <w:suppressAutoHyphens/>
        <w:ind w:left="-18" w:right="36"/>
        <w:rPr>
          <w:rFonts w:ascii="Arial" w:hAnsi="Arial" w:cs="Arial"/>
          <w:b/>
          <w:bCs/>
          <w:sz w:val="22"/>
          <w:szCs w:val="22"/>
        </w:rPr>
      </w:pPr>
      <w:r>
        <w:rPr>
          <w:rFonts w:ascii="Arial" w:hAnsi="Arial" w:cs="Arial"/>
          <w:b/>
          <w:bCs/>
          <w:sz w:val="22"/>
          <w:szCs w:val="22"/>
        </w:rPr>
        <w:t>4.3.2.1 pH</w:t>
      </w:r>
    </w:p>
    <w:p w:rsidR="0027683C" w:rsidRDefault="0027683C" w:rsidP="00A43072">
      <w:pPr>
        <w:tabs>
          <w:tab w:val="left" w:pos="-720"/>
          <w:tab w:val="left" w:pos="342"/>
          <w:tab w:val="left" w:pos="1692"/>
          <w:tab w:val="left" w:leader="dot" w:pos="8550"/>
        </w:tabs>
        <w:suppressAutoHyphens/>
        <w:ind w:right="43"/>
        <w:jc w:val="left"/>
        <w:rPr>
          <w:rFonts w:cs="Times New Roman"/>
          <w:sz w:val="22"/>
          <w:szCs w:val="22"/>
        </w:rPr>
      </w:pPr>
      <w:r>
        <w:rPr>
          <w:rFonts w:cs="Times New Roman"/>
          <w:sz w:val="22"/>
          <w:szCs w:val="22"/>
        </w:rPr>
        <w:t xml:space="preserve">As </w:t>
      </w:r>
      <w:r>
        <w:rPr>
          <w:rFonts w:cs="Times New Roman"/>
          <w:color w:val="000000"/>
          <w:sz w:val="22"/>
          <w:szCs w:val="22"/>
        </w:rPr>
        <w:t xml:space="preserve">noted in </w:t>
      </w:r>
      <w:r w:rsidRPr="001947A6">
        <w:rPr>
          <w:rFonts w:cs="Times New Roman"/>
          <w:iCs/>
          <w:color w:val="000000"/>
          <w:sz w:val="22"/>
          <w:szCs w:val="22"/>
        </w:rPr>
        <w:t>Section 3.1</w:t>
      </w:r>
      <w:r w:rsidR="001947A6">
        <w:rPr>
          <w:rFonts w:cs="Times New Roman"/>
          <w:iCs/>
          <w:color w:val="000000"/>
          <w:sz w:val="22"/>
          <w:szCs w:val="22"/>
        </w:rPr>
        <w:t xml:space="preserve"> of this report (</w:t>
      </w:r>
      <w:r>
        <w:rPr>
          <w:rFonts w:cs="Times New Roman"/>
          <w:i/>
          <w:iCs/>
          <w:color w:val="000000"/>
          <w:sz w:val="22"/>
          <w:szCs w:val="22"/>
        </w:rPr>
        <w:t>Water Quality Standards</w:t>
      </w:r>
      <w:r w:rsidR="001947A6">
        <w:rPr>
          <w:rFonts w:cs="Times New Roman"/>
          <w:i/>
          <w:iCs/>
          <w:color w:val="000000"/>
          <w:sz w:val="22"/>
          <w:szCs w:val="22"/>
        </w:rPr>
        <w:t>)</w:t>
      </w:r>
      <w:r>
        <w:rPr>
          <w:rFonts w:cs="Times New Roman"/>
          <w:color w:val="000000"/>
          <w:sz w:val="22"/>
          <w:szCs w:val="22"/>
        </w:rPr>
        <w:t>, the water quality standard for pH for the Willamette Basin is 6.5 – 8.5</w:t>
      </w:r>
      <w:r w:rsidR="00DF3A2F">
        <w:rPr>
          <w:rFonts w:cs="Times New Roman"/>
          <w:color w:val="000000"/>
          <w:sz w:val="22"/>
          <w:szCs w:val="22"/>
        </w:rPr>
        <w:t xml:space="preserve"> standard units (S.U.)</w:t>
      </w:r>
      <w:r>
        <w:rPr>
          <w:rFonts w:cs="Times New Roman"/>
          <w:color w:val="000000"/>
          <w:sz w:val="22"/>
          <w:szCs w:val="22"/>
        </w:rPr>
        <w:t>.  No mixing zone for pH is proposed for this discharge, therefore a pH effluent limit of 6.5 – 8.5</w:t>
      </w:r>
      <w:r w:rsidR="00DF3A2F">
        <w:rPr>
          <w:rFonts w:cs="Times New Roman"/>
          <w:color w:val="000000"/>
          <w:sz w:val="22"/>
          <w:szCs w:val="22"/>
        </w:rPr>
        <w:t xml:space="preserve"> S.U.</w:t>
      </w:r>
      <w:r>
        <w:rPr>
          <w:rFonts w:cs="Times New Roman"/>
          <w:color w:val="000000"/>
          <w:sz w:val="22"/>
          <w:szCs w:val="22"/>
        </w:rPr>
        <w:t xml:space="preserve"> is included in the proposed permit.</w:t>
      </w:r>
    </w:p>
    <w:p w:rsidR="0027683C" w:rsidRDefault="0027683C">
      <w:pPr>
        <w:tabs>
          <w:tab w:val="left" w:pos="-720"/>
          <w:tab w:val="left" w:pos="342"/>
          <w:tab w:val="left" w:pos="720"/>
          <w:tab w:val="left" w:leader="dot" w:pos="8550"/>
        </w:tabs>
        <w:suppressAutoHyphens/>
        <w:ind w:left="-18" w:right="36"/>
        <w:rPr>
          <w:rFonts w:cs="Times New Roman"/>
          <w:sz w:val="22"/>
          <w:szCs w:val="22"/>
        </w:rPr>
      </w:pPr>
    </w:p>
    <w:p w:rsidR="0027683C" w:rsidRDefault="0027683C">
      <w:pPr>
        <w:jc w:val="left"/>
        <w:rPr>
          <w:rFonts w:ascii="Arial" w:hAnsi="Arial" w:cs="Arial"/>
          <w:b/>
          <w:bCs/>
          <w:sz w:val="22"/>
          <w:szCs w:val="22"/>
        </w:rPr>
      </w:pPr>
      <w:r>
        <w:rPr>
          <w:rFonts w:ascii="Arial" w:hAnsi="Arial" w:cs="Arial"/>
          <w:b/>
          <w:bCs/>
          <w:sz w:val="22"/>
          <w:szCs w:val="22"/>
        </w:rPr>
        <w:t>4.3.2.2 Temperature</w:t>
      </w:r>
    </w:p>
    <w:p w:rsidR="0027683C" w:rsidRDefault="0027683C" w:rsidP="00A43072">
      <w:pPr>
        <w:tabs>
          <w:tab w:val="left" w:pos="-720"/>
          <w:tab w:val="left" w:pos="342"/>
          <w:tab w:val="left" w:pos="1692"/>
        </w:tabs>
        <w:suppressAutoHyphens/>
        <w:ind w:left="-18"/>
        <w:jc w:val="left"/>
        <w:rPr>
          <w:rFonts w:cs="Times New Roman"/>
          <w:sz w:val="22"/>
          <w:szCs w:val="22"/>
        </w:rPr>
      </w:pPr>
      <w:r>
        <w:rPr>
          <w:rFonts w:cs="Times New Roman"/>
          <w:sz w:val="22"/>
          <w:szCs w:val="22"/>
        </w:rPr>
        <w:t>This segment of the Willamette River serves as a migration corridor for salmonids.  OAR 340-041-0028(4)(d) states that the 7-day average maximum temperature of a stream identified as a migration corridor may not exceed 20 ºC (68 ºF).  For streams that do not meet water quality standards, OAR 340-041-0028(12) states the following:</w:t>
      </w:r>
    </w:p>
    <w:p w:rsidR="0027683C" w:rsidRDefault="0027683C" w:rsidP="00D27855">
      <w:pPr>
        <w:tabs>
          <w:tab w:val="left" w:pos="-720"/>
          <w:tab w:val="left" w:pos="342"/>
          <w:tab w:val="left" w:pos="1692"/>
          <w:tab w:val="left" w:leader="dot" w:pos="8550"/>
        </w:tabs>
        <w:suppressAutoHyphens/>
        <w:ind w:left="-18" w:right="36"/>
        <w:rPr>
          <w:rFonts w:cs="Times New Roman"/>
          <w:sz w:val="22"/>
          <w:szCs w:val="22"/>
        </w:rPr>
      </w:pPr>
    </w:p>
    <w:p w:rsidR="0027683C" w:rsidRDefault="0027683C" w:rsidP="00A43072">
      <w:pPr>
        <w:tabs>
          <w:tab w:val="left" w:pos="-720"/>
          <w:tab w:val="left" w:pos="342"/>
          <w:tab w:val="left" w:leader="dot" w:pos="8550"/>
        </w:tabs>
        <w:suppressAutoHyphens/>
        <w:ind w:left="360" w:right="36"/>
        <w:jc w:val="left"/>
        <w:rPr>
          <w:rFonts w:cs="Times New Roman"/>
          <w:sz w:val="22"/>
          <w:szCs w:val="22"/>
        </w:rPr>
      </w:pPr>
      <w:r>
        <w:rPr>
          <w:rFonts w:cs="Times New Roman"/>
          <w:sz w:val="22"/>
          <w:szCs w:val="22"/>
        </w:rPr>
        <w:t>“Following a temperature TMDL or other cumulative effects analysis, waste load and load allocations will restrict all NPDES point sources and nonpoint sources to a cumulative increase of no greater than 0.3 degrees Celsius (0.5 Fahrenheit) above the applicable criteria after complete mixing in the water body, and at the point of maximum impact.”</w:t>
      </w:r>
    </w:p>
    <w:p w:rsidR="0027683C" w:rsidRDefault="0027683C" w:rsidP="00A43072">
      <w:pPr>
        <w:tabs>
          <w:tab w:val="left" w:pos="-720"/>
          <w:tab w:val="left" w:pos="342"/>
          <w:tab w:val="left" w:pos="1692"/>
        </w:tabs>
        <w:suppressAutoHyphens/>
        <w:ind w:left="-18" w:right="-90"/>
        <w:jc w:val="left"/>
        <w:rPr>
          <w:rFonts w:cs="Times New Roman"/>
          <w:sz w:val="22"/>
          <w:szCs w:val="22"/>
        </w:rPr>
      </w:pPr>
      <w:r>
        <w:rPr>
          <w:rFonts w:cs="Times New Roman"/>
          <w:sz w:val="22"/>
          <w:szCs w:val="22"/>
        </w:rPr>
        <w:lastRenderedPageBreak/>
        <w:t xml:space="preserve">Since a temperature TMDL has been completed for the Willamette River, the above provision from OAR 340-041-0028(12) applies.  The TMDL gave a “bubble allocation” to existing and future smaller point sources in the middle and lower reach of the Willamette River (RM 50 to 0).  Individual allocations were not assigned to sources under the bubble allocation.  Rather, the TMDL allows the smaller sources to discharge and the Department will track the total </w:t>
      </w:r>
      <w:r w:rsidR="006851C8">
        <w:rPr>
          <w:rFonts w:cs="Times New Roman"/>
          <w:sz w:val="22"/>
          <w:szCs w:val="22"/>
        </w:rPr>
        <w:t>excess thermal</w:t>
      </w:r>
      <w:r>
        <w:rPr>
          <w:rFonts w:cs="Times New Roman"/>
          <w:sz w:val="22"/>
          <w:szCs w:val="22"/>
        </w:rPr>
        <w:t xml:space="preserve"> load used under the bubble allocation limit.    </w:t>
      </w:r>
    </w:p>
    <w:p w:rsidR="0027683C" w:rsidRDefault="0027683C" w:rsidP="00A43072">
      <w:pPr>
        <w:tabs>
          <w:tab w:val="left" w:pos="-720"/>
          <w:tab w:val="left" w:pos="342"/>
          <w:tab w:val="left" w:pos="1692"/>
        </w:tabs>
        <w:suppressAutoHyphens/>
        <w:ind w:left="-18" w:right="-90"/>
        <w:jc w:val="left"/>
        <w:rPr>
          <w:rFonts w:cs="Times New Roman"/>
          <w:sz w:val="22"/>
          <w:szCs w:val="22"/>
        </w:rPr>
      </w:pPr>
    </w:p>
    <w:p w:rsidR="0027683C" w:rsidRDefault="0027683C" w:rsidP="00A43072">
      <w:pPr>
        <w:tabs>
          <w:tab w:val="left" w:pos="-720"/>
          <w:tab w:val="left" w:pos="342"/>
          <w:tab w:val="left" w:pos="1692"/>
        </w:tabs>
        <w:suppressAutoHyphens/>
        <w:ind w:left="-18" w:right="-90"/>
        <w:jc w:val="left"/>
        <w:rPr>
          <w:rFonts w:cs="Times New Roman"/>
          <w:sz w:val="22"/>
          <w:szCs w:val="22"/>
        </w:rPr>
      </w:pPr>
      <w:r>
        <w:rPr>
          <w:rFonts w:cs="Times New Roman"/>
          <w:sz w:val="22"/>
          <w:szCs w:val="22"/>
        </w:rPr>
        <w:t>The discharge from the NW Natural site will be composed of groundwater which is expected to be relatively cool (approximately 13 ºC), but will gain heat from ambient air within the treatment system.  During operation of the pilot treatment system, the highest 7-day average maximum temperature</w:t>
      </w:r>
      <w:r w:rsidR="006851C8">
        <w:rPr>
          <w:rFonts w:cs="Times New Roman"/>
          <w:sz w:val="22"/>
          <w:szCs w:val="22"/>
        </w:rPr>
        <w:t xml:space="preserve"> of the effluent</w:t>
      </w:r>
      <w:r>
        <w:rPr>
          <w:rFonts w:cs="Times New Roman"/>
          <w:sz w:val="22"/>
          <w:szCs w:val="22"/>
        </w:rPr>
        <w:t xml:space="preserve"> was below 20 ºC.  This occurred during August, which represents a period where temperatures </w:t>
      </w:r>
      <w:r w:rsidR="00212CD6">
        <w:rPr>
          <w:rFonts w:cs="Times New Roman"/>
          <w:sz w:val="22"/>
          <w:szCs w:val="22"/>
        </w:rPr>
        <w:t>are</w:t>
      </w:r>
      <w:r>
        <w:rPr>
          <w:rFonts w:cs="Times New Roman"/>
          <w:sz w:val="22"/>
          <w:szCs w:val="22"/>
        </w:rPr>
        <w:t xml:space="preserve"> </w:t>
      </w:r>
      <w:r w:rsidR="00212CD6">
        <w:rPr>
          <w:rFonts w:cs="Times New Roman"/>
          <w:sz w:val="22"/>
          <w:szCs w:val="22"/>
        </w:rPr>
        <w:t xml:space="preserve">at or </w:t>
      </w:r>
      <w:r>
        <w:rPr>
          <w:rFonts w:cs="Times New Roman"/>
          <w:sz w:val="22"/>
          <w:szCs w:val="22"/>
        </w:rPr>
        <w:t>near the maximum</w:t>
      </w:r>
      <w:r w:rsidR="00212CD6">
        <w:rPr>
          <w:rFonts w:cs="Times New Roman"/>
          <w:sz w:val="22"/>
          <w:szCs w:val="22"/>
        </w:rPr>
        <w:t xml:space="preserve"> expected temperatures</w:t>
      </w:r>
      <w:r>
        <w:rPr>
          <w:rFonts w:cs="Times New Roman"/>
          <w:sz w:val="22"/>
          <w:szCs w:val="22"/>
        </w:rPr>
        <w:t xml:space="preserve">.  </w:t>
      </w:r>
      <w:r w:rsidR="00212CD6">
        <w:rPr>
          <w:rFonts w:cs="Times New Roman"/>
          <w:sz w:val="22"/>
          <w:szCs w:val="22"/>
        </w:rPr>
        <w:t xml:space="preserve">Based on this information, it was determined that this discharge does not have a reasonable potential to exceed the applicable biologically-based temperature criterion (20 ºC as a 7-day average of the maximum temperatures).  </w:t>
      </w:r>
      <w:r w:rsidR="007F7688">
        <w:rPr>
          <w:rFonts w:cs="Times New Roman"/>
          <w:sz w:val="22"/>
          <w:szCs w:val="22"/>
        </w:rPr>
        <w:t>Also, s</w:t>
      </w:r>
      <w:r w:rsidR="006851C8">
        <w:rPr>
          <w:rFonts w:cs="Times New Roman"/>
          <w:sz w:val="22"/>
          <w:szCs w:val="22"/>
        </w:rPr>
        <w:t xml:space="preserve">ince the expected discharge is below the criterion, the </w:t>
      </w:r>
      <w:r w:rsidR="007F7688">
        <w:rPr>
          <w:rFonts w:cs="Times New Roman"/>
          <w:sz w:val="22"/>
          <w:szCs w:val="22"/>
        </w:rPr>
        <w:t xml:space="preserve">expected maximum </w:t>
      </w:r>
      <w:r w:rsidR="006851C8">
        <w:rPr>
          <w:rFonts w:cs="Times New Roman"/>
          <w:sz w:val="22"/>
          <w:szCs w:val="22"/>
        </w:rPr>
        <w:t xml:space="preserve">excess thermal load </w:t>
      </w:r>
      <w:r w:rsidR="007F7688">
        <w:rPr>
          <w:rFonts w:cs="Times New Roman"/>
          <w:sz w:val="22"/>
          <w:szCs w:val="22"/>
        </w:rPr>
        <w:t>of the discharge is zero</w:t>
      </w:r>
      <w:r w:rsidR="007F7688">
        <w:rPr>
          <w:rStyle w:val="FootnoteReference"/>
          <w:sz w:val="22"/>
          <w:szCs w:val="22"/>
        </w:rPr>
        <w:footnoteReference w:id="4"/>
      </w:r>
      <w:r w:rsidR="007F7688">
        <w:rPr>
          <w:rFonts w:cs="Times New Roman"/>
          <w:sz w:val="22"/>
          <w:szCs w:val="22"/>
        </w:rPr>
        <w:t xml:space="preserve">.   </w:t>
      </w:r>
    </w:p>
    <w:p w:rsidR="0027683C" w:rsidRDefault="0027683C" w:rsidP="00A43072">
      <w:pPr>
        <w:tabs>
          <w:tab w:val="left" w:pos="-720"/>
          <w:tab w:val="left" w:pos="342"/>
          <w:tab w:val="left" w:pos="1692"/>
        </w:tabs>
        <w:suppressAutoHyphens/>
        <w:ind w:left="-18" w:right="-90"/>
        <w:jc w:val="left"/>
        <w:rPr>
          <w:rFonts w:cs="Times New Roman"/>
          <w:sz w:val="22"/>
          <w:szCs w:val="22"/>
        </w:rPr>
      </w:pPr>
    </w:p>
    <w:p w:rsidR="0027683C" w:rsidRDefault="007F7688" w:rsidP="00A43072">
      <w:pPr>
        <w:tabs>
          <w:tab w:val="left" w:pos="-720"/>
          <w:tab w:val="left" w:pos="342"/>
          <w:tab w:val="left" w:pos="1692"/>
        </w:tabs>
        <w:suppressAutoHyphens/>
        <w:ind w:left="-18" w:right="-90"/>
        <w:jc w:val="left"/>
        <w:rPr>
          <w:rFonts w:cs="Times New Roman"/>
          <w:sz w:val="22"/>
          <w:szCs w:val="22"/>
        </w:rPr>
      </w:pPr>
      <w:r>
        <w:rPr>
          <w:rFonts w:cs="Times New Roman"/>
          <w:sz w:val="22"/>
          <w:szCs w:val="22"/>
        </w:rPr>
        <w:t xml:space="preserve">Since the discharge has no reasonable potential to exceed the </w:t>
      </w:r>
      <w:r w:rsidR="00772F91">
        <w:rPr>
          <w:rFonts w:cs="Times New Roman"/>
          <w:sz w:val="22"/>
          <w:szCs w:val="22"/>
        </w:rPr>
        <w:t xml:space="preserve">biologically-based </w:t>
      </w:r>
      <w:r>
        <w:rPr>
          <w:rFonts w:cs="Times New Roman"/>
          <w:sz w:val="22"/>
          <w:szCs w:val="22"/>
        </w:rPr>
        <w:t>temperature criterion</w:t>
      </w:r>
      <w:r w:rsidR="00212CD6">
        <w:rPr>
          <w:rFonts w:cs="Times New Roman"/>
          <w:sz w:val="22"/>
          <w:szCs w:val="22"/>
        </w:rPr>
        <w:t xml:space="preserve"> and is consistent with the TMDL</w:t>
      </w:r>
      <w:r>
        <w:rPr>
          <w:rFonts w:cs="Times New Roman"/>
          <w:sz w:val="22"/>
          <w:szCs w:val="22"/>
        </w:rPr>
        <w:t>, t</w:t>
      </w:r>
      <w:r w:rsidR="0027683C">
        <w:rPr>
          <w:rFonts w:cs="Times New Roman"/>
          <w:sz w:val="22"/>
          <w:szCs w:val="22"/>
        </w:rPr>
        <w:t>he proposed permit does not include a temperature effluent limit</w:t>
      </w:r>
      <w:r>
        <w:rPr>
          <w:rFonts w:cs="Times New Roman"/>
          <w:sz w:val="22"/>
          <w:szCs w:val="22"/>
        </w:rPr>
        <w:t>.  The permit does, however,</w:t>
      </w:r>
      <w:r w:rsidR="0027683C">
        <w:rPr>
          <w:rFonts w:cs="Times New Roman"/>
          <w:sz w:val="22"/>
          <w:szCs w:val="22"/>
        </w:rPr>
        <w:t xml:space="preserve"> require the facility to monitor the effluent temperature and flow.  This will allow the Department to further evaluate thermal impacts during </w:t>
      </w:r>
      <w:r w:rsidR="00212CD6">
        <w:rPr>
          <w:rFonts w:cs="Times New Roman"/>
          <w:sz w:val="22"/>
          <w:szCs w:val="22"/>
        </w:rPr>
        <w:t>future permit renewals.</w:t>
      </w:r>
    </w:p>
    <w:p w:rsidR="0027683C" w:rsidRDefault="0027683C" w:rsidP="00A43072">
      <w:pPr>
        <w:tabs>
          <w:tab w:val="left" w:pos="-720"/>
          <w:tab w:val="left" w:pos="342"/>
          <w:tab w:val="left" w:pos="1692"/>
          <w:tab w:val="left" w:leader="dot" w:pos="8550"/>
        </w:tabs>
        <w:suppressAutoHyphens/>
        <w:ind w:left="-18" w:right="36"/>
        <w:jc w:val="left"/>
        <w:rPr>
          <w:rFonts w:cs="Times New Roman"/>
          <w:sz w:val="22"/>
          <w:szCs w:val="22"/>
        </w:rPr>
      </w:pPr>
    </w:p>
    <w:p w:rsidR="0027683C" w:rsidRDefault="0027683C" w:rsidP="00A43072">
      <w:pPr>
        <w:pStyle w:val="BlockText"/>
        <w:jc w:val="left"/>
        <w:rPr>
          <w:sz w:val="22"/>
          <w:szCs w:val="22"/>
          <w:u w:val="single"/>
        </w:rPr>
      </w:pPr>
      <w:r>
        <w:rPr>
          <w:sz w:val="22"/>
          <w:szCs w:val="22"/>
          <w:u w:val="single"/>
        </w:rPr>
        <w:t>Thermal Plume Criteria</w:t>
      </w:r>
    </w:p>
    <w:p w:rsidR="0027683C" w:rsidRDefault="0027683C" w:rsidP="00A43072">
      <w:pPr>
        <w:pStyle w:val="BlockText"/>
        <w:jc w:val="left"/>
        <w:rPr>
          <w:sz w:val="22"/>
          <w:szCs w:val="22"/>
        </w:rPr>
      </w:pPr>
      <w:r>
        <w:rPr>
          <w:sz w:val="22"/>
          <w:szCs w:val="22"/>
        </w:rPr>
        <w:t>In addition to the temperature standard discussed above, the Department’s water quality standards also include temperature thermal plume limitations in OAR 340-041-0053(d).  This section of the rules contains criteria to prevent potential adverse impacts that may result from thermal plumes.  The criteria as they apply to the NW Natural discharge are discussed below:</w:t>
      </w:r>
    </w:p>
    <w:p w:rsidR="0027683C" w:rsidRPr="00302738" w:rsidRDefault="0027683C">
      <w:pPr>
        <w:pStyle w:val="BlockText"/>
        <w:rPr>
          <w:sz w:val="16"/>
          <w:szCs w:val="16"/>
        </w:rPr>
      </w:pPr>
    </w:p>
    <w:p w:rsidR="0027683C" w:rsidRDefault="005B4B8D" w:rsidP="00A43072">
      <w:pPr>
        <w:pStyle w:val="BlockText"/>
        <w:numPr>
          <w:ilvl w:val="0"/>
          <w:numId w:val="2"/>
        </w:numPr>
        <w:jc w:val="left"/>
        <w:rPr>
          <w:sz w:val="22"/>
          <w:szCs w:val="22"/>
        </w:rPr>
      </w:pPr>
      <w:r w:rsidRPr="005B4B8D">
        <w:rPr>
          <w:i/>
          <w:sz w:val="22"/>
        </w:rPr>
        <w:t>OAR 340-041-0053(d</w:t>
      </w:r>
      <w:proofErr w:type="gramStart"/>
      <w:r w:rsidRPr="005B4B8D">
        <w:rPr>
          <w:i/>
          <w:sz w:val="22"/>
        </w:rPr>
        <w:t>)(</w:t>
      </w:r>
      <w:proofErr w:type="gramEnd"/>
      <w:r w:rsidRPr="005B4B8D">
        <w:rPr>
          <w:i/>
          <w:sz w:val="22"/>
        </w:rPr>
        <w:t xml:space="preserve">A): </w:t>
      </w:r>
      <w:r w:rsidR="00F42085">
        <w:rPr>
          <w:sz w:val="22"/>
          <w:szCs w:val="22"/>
        </w:rPr>
        <w:t xml:space="preserve"> </w:t>
      </w:r>
      <w:r w:rsidR="0027683C">
        <w:rPr>
          <w:i/>
          <w:iCs/>
          <w:sz w:val="22"/>
          <w:szCs w:val="22"/>
        </w:rPr>
        <w:t>Impairment of an active salmonid spawning area where spawning redds are located or likely to be located.</w:t>
      </w:r>
    </w:p>
    <w:p w:rsidR="0027683C" w:rsidRPr="00EF4E1D" w:rsidRDefault="0027683C" w:rsidP="00A43072">
      <w:pPr>
        <w:pStyle w:val="BlockText"/>
        <w:ind w:left="420"/>
        <w:jc w:val="left"/>
        <w:rPr>
          <w:sz w:val="8"/>
          <w:szCs w:val="8"/>
        </w:rPr>
      </w:pPr>
    </w:p>
    <w:p w:rsidR="0027683C" w:rsidRDefault="0027683C" w:rsidP="00A43072">
      <w:pPr>
        <w:pStyle w:val="BlockText"/>
        <w:ind w:left="810"/>
        <w:jc w:val="left"/>
        <w:rPr>
          <w:sz w:val="22"/>
          <w:szCs w:val="22"/>
        </w:rPr>
      </w:pPr>
      <w:r>
        <w:rPr>
          <w:sz w:val="22"/>
          <w:szCs w:val="22"/>
        </w:rPr>
        <w:t xml:space="preserve">NW Natural discharge: </w:t>
      </w:r>
      <w:r w:rsidR="00F42085">
        <w:rPr>
          <w:sz w:val="22"/>
          <w:szCs w:val="22"/>
        </w:rPr>
        <w:t xml:space="preserve"> </w:t>
      </w:r>
      <w:r>
        <w:rPr>
          <w:sz w:val="22"/>
          <w:szCs w:val="22"/>
        </w:rPr>
        <w:t>There is no salmonid spawning in this segment of the Willamette River.  This segment of the Willamette River serves as a migration corridor for salmonids.</w:t>
      </w:r>
    </w:p>
    <w:p w:rsidR="0027683C" w:rsidRPr="00302738" w:rsidRDefault="0027683C" w:rsidP="00A43072">
      <w:pPr>
        <w:pStyle w:val="BlockText"/>
        <w:ind w:left="810"/>
        <w:jc w:val="left"/>
        <w:rPr>
          <w:sz w:val="12"/>
          <w:szCs w:val="12"/>
        </w:rPr>
      </w:pPr>
    </w:p>
    <w:p w:rsidR="0027683C" w:rsidRDefault="005B4B8D" w:rsidP="00A43072">
      <w:pPr>
        <w:pStyle w:val="BlockText"/>
        <w:numPr>
          <w:ilvl w:val="0"/>
          <w:numId w:val="2"/>
        </w:numPr>
        <w:jc w:val="left"/>
        <w:rPr>
          <w:sz w:val="22"/>
          <w:szCs w:val="22"/>
        </w:rPr>
      </w:pPr>
      <w:r w:rsidRPr="005B4B8D">
        <w:rPr>
          <w:i/>
          <w:sz w:val="22"/>
        </w:rPr>
        <w:t>OAR 340-041-0053(d</w:t>
      </w:r>
      <w:proofErr w:type="gramStart"/>
      <w:r w:rsidRPr="005B4B8D">
        <w:rPr>
          <w:i/>
          <w:sz w:val="22"/>
        </w:rPr>
        <w:t>)(</w:t>
      </w:r>
      <w:proofErr w:type="gramEnd"/>
      <w:r w:rsidRPr="005B4B8D">
        <w:rPr>
          <w:i/>
          <w:sz w:val="22"/>
        </w:rPr>
        <w:t>B):</w:t>
      </w:r>
      <w:r w:rsidR="0027683C">
        <w:rPr>
          <w:sz w:val="22"/>
          <w:szCs w:val="22"/>
        </w:rPr>
        <w:t xml:space="preserve">  </w:t>
      </w:r>
      <w:r w:rsidR="0027683C">
        <w:rPr>
          <w:i/>
          <w:iCs/>
          <w:sz w:val="22"/>
          <w:szCs w:val="22"/>
        </w:rPr>
        <w:t>Acute impairment or instantaneous lethality is prevented or minimized by limiting potential fish exposure to temperatures of 32 ºC or more to less than 2 seconds.</w:t>
      </w:r>
    </w:p>
    <w:p w:rsidR="0027683C" w:rsidRPr="00EF4E1D" w:rsidRDefault="0027683C" w:rsidP="00A43072">
      <w:pPr>
        <w:pStyle w:val="BlockText"/>
        <w:ind w:left="420"/>
        <w:jc w:val="left"/>
        <w:rPr>
          <w:sz w:val="8"/>
          <w:szCs w:val="8"/>
        </w:rPr>
      </w:pPr>
    </w:p>
    <w:p w:rsidR="0027683C" w:rsidRDefault="0027683C" w:rsidP="00A43072">
      <w:pPr>
        <w:tabs>
          <w:tab w:val="left" w:pos="-720"/>
          <w:tab w:val="left" w:leader="dot" w:pos="8550"/>
        </w:tabs>
        <w:suppressAutoHyphens/>
        <w:ind w:left="810" w:right="252"/>
        <w:jc w:val="left"/>
        <w:rPr>
          <w:rFonts w:cs="Times New Roman"/>
          <w:sz w:val="22"/>
          <w:szCs w:val="22"/>
        </w:rPr>
      </w:pPr>
      <w:r>
        <w:rPr>
          <w:rFonts w:cs="Times New Roman"/>
          <w:sz w:val="22"/>
          <w:szCs w:val="22"/>
        </w:rPr>
        <w:t xml:space="preserve">NW Natural discharge: </w:t>
      </w:r>
      <w:r w:rsidR="00F42085">
        <w:rPr>
          <w:rFonts w:cs="Times New Roman"/>
          <w:sz w:val="22"/>
          <w:szCs w:val="22"/>
        </w:rPr>
        <w:t xml:space="preserve"> </w:t>
      </w:r>
      <w:r>
        <w:rPr>
          <w:rFonts w:cs="Times New Roman"/>
          <w:sz w:val="22"/>
          <w:szCs w:val="22"/>
        </w:rPr>
        <w:t xml:space="preserve">The maximum expected effluent temperature from the site is expected to be well below 32ºC, so this discharge is not expected to cause an acute impairment or instantaneous lethality.  </w:t>
      </w:r>
    </w:p>
    <w:p w:rsidR="0027683C" w:rsidRPr="00302738" w:rsidRDefault="0027683C" w:rsidP="00A43072">
      <w:pPr>
        <w:tabs>
          <w:tab w:val="left" w:pos="-720"/>
          <w:tab w:val="left" w:leader="dot" w:pos="8550"/>
        </w:tabs>
        <w:suppressAutoHyphens/>
        <w:ind w:left="810" w:right="252"/>
        <w:jc w:val="left"/>
        <w:rPr>
          <w:rFonts w:cs="Times New Roman"/>
          <w:i/>
          <w:iCs/>
          <w:sz w:val="12"/>
          <w:szCs w:val="12"/>
        </w:rPr>
      </w:pPr>
    </w:p>
    <w:p w:rsidR="0027683C" w:rsidRDefault="0027683C" w:rsidP="00A43072">
      <w:pPr>
        <w:pStyle w:val="BlockText"/>
        <w:numPr>
          <w:ilvl w:val="0"/>
          <w:numId w:val="2"/>
        </w:numPr>
        <w:jc w:val="left"/>
        <w:rPr>
          <w:i/>
          <w:iCs/>
          <w:sz w:val="22"/>
          <w:szCs w:val="22"/>
        </w:rPr>
      </w:pPr>
      <w:r>
        <w:rPr>
          <w:i/>
          <w:iCs/>
          <w:sz w:val="22"/>
          <w:szCs w:val="22"/>
        </w:rPr>
        <w:t>OAR 340-041-0053(d</w:t>
      </w:r>
      <w:proofErr w:type="gramStart"/>
      <w:r>
        <w:rPr>
          <w:i/>
          <w:iCs/>
          <w:sz w:val="22"/>
          <w:szCs w:val="22"/>
        </w:rPr>
        <w:t>)(</w:t>
      </w:r>
      <w:proofErr w:type="gramEnd"/>
      <w:r>
        <w:rPr>
          <w:i/>
          <w:iCs/>
          <w:sz w:val="22"/>
          <w:szCs w:val="22"/>
        </w:rPr>
        <w:t>C): Thermal shock caused by a sudden increase in water temperature is prevented or minimized by limiting potential fish exposure to temperatures of 25 ºC or more to less than 5% of the cross-section of 100% of the 7Q10 flow of the waterbody.</w:t>
      </w:r>
    </w:p>
    <w:p w:rsidR="0027683C" w:rsidRPr="00EF4E1D" w:rsidRDefault="0027683C" w:rsidP="00A43072">
      <w:pPr>
        <w:pStyle w:val="BlockText"/>
        <w:ind w:left="420"/>
        <w:jc w:val="left"/>
        <w:rPr>
          <w:i/>
          <w:iCs/>
          <w:sz w:val="8"/>
          <w:szCs w:val="8"/>
        </w:rPr>
      </w:pPr>
    </w:p>
    <w:p w:rsidR="0027683C" w:rsidRDefault="0027683C" w:rsidP="00A43072">
      <w:pPr>
        <w:autoSpaceDE w:val="0"/>
        <w:autoSpaceDN w:val="0"/>
        <w:adjustRightInd w:val="0"/>
        <w:ind w:left="720"/>
        <w:jc w:val="left"/>
        <w:rPr>
          <w:rFonts w:cs="Times New Roman"/>
          <w:sz w:val="22"/>
          <w:szCs w:val="22"/>
        </w:rPr>
      </w:pPr>
      <w:r>
        <w:rPr>
          <w:rFonts w:cs="Times New Roman"/>
          <w:sz w:val="22"/>
          <w:szCs w:val="22"/>
        </w:rPr>
        <w:t>NW Natural discharge:  The maximum expected effluent temperature from the site is expected to be below 25ºC</w:t>
      </w:r>
      <w:r w:rsidR="00212CD6">
        <w:rPr>
          <w:rFonts w:cs="Times New Roman"/>
          <w:sz w:val="22"/>
          <w:szCs w:val="22"/>
        </w:rPr>
        <w:t>;</w:t>
      </w:r>
      <w:r>
        <w:rPr>
          <w:rFonts w:cs="Times New Roman"/>
          <w:sz w:val="22"/>
          <w:szCs w:val="22"/>
        </w:rPr>
        <w:t xml:space="preserve"> this discharge will not result in thermal shock.  </w:t>
      </w:r>
    </w:p>
    <w:p w:rsidR="0027683C" w:rsidRPr="00302738" w:rsidRDefault="0027683C" w:rsidP="00A43072">
      <w:pPr>
        <w:jc w:val="left"/>
        <w:rPr>
          <w:rFonts w:cs="Times New Roman"/>
          <w:sz w:val="12"/>
          <w:szCs w:val="12"/>
        </w:rPr>
      </w:pPr>
    </w:p>
    <w:p w:rsidR="0027683C" w:rsidRDefault="0027683C" w:rsidP="00A43072">
      <w:pPr>
        <w:pStyle w:val="BlockText"/>
        <w:numPr>
          <w:ilvl w:val="0"/>
          <w:numId w:val="2"/>
        </w:numPr>
        <w:jc w:val="left"/>
        <w:rPr>
          <w:i/>
          <w:iCs/>
          <w:sz w:val="22"/>
          <w:szCs w:val="22"/>
        </w:rPr>
      </w:pPr>
      <w:r>
        <w:rPr>
          <w:i/>
          <w:iCs/>
          <w:sz w:val="22"/>
          <w:szCs w:val="22"/>
        </w:rPr>
        <w:t xml:space="preserve">OAR 340-041-0053(d)(D): Unless ambient temperature is 21 ºC or greater, migration blockage is prevented or minimized by limiting potential fish exposure to temperatures of 21 ºC or more to less than 25% of the cross-section of 100% of the 7Q10 flow of the waterbody. </w:t>
      </w:r>
    </w:p>
    <w:p w:rsidR="0027683C" w:rsidRPr="00EF4E1D" w:rsidRDefault="0027683C" w:rsidP="00A43072">
      <w:pPr>
        <w:pStyle w:val="BlockText"/>
        <w:ind w:left="420"/>
        <w:jc w:val="left"/>
        <w:rPr>
          <w:i/>
          <w:iCs/>
          <w:sz w:val="8"/>
          <w:szCs w:val="8"/>
        </w:rPr>
      </w:pPr>
    </w:p>
    <w:p w:rsidR="0027683C" w:rsidRDefault="0027683C" w:rsidP="00A43072">
      <w:pPr>
        <w:autoSpaceDE w:val="0"/>
        <w:autoSpaceDN w:val="0"/>
        <w:adjustRightInd w:val="0"/>
        <w:ind w:left="720"/>
        <w:jc w:val="left"/>
        <w:rPr>
          <w:rFonts w:cs="Times New Roman"/>
          <w:sz w:val="22"/>
          <w:szCs w:val="22"/>
        </w:rPr>
      </w:pPr>
      <w:r>
        <w:rPr>
          <w:rFonts w:cs="Times New Roman"/>
          <w:sz w:val="22"/>
          <w:szCs w:val="22"/>
        </w:rPr>
        <w:t>NW Natural discharge:  The limited volume and temperature of this discharge will not lead to conditions resulting in migration blockage conditions as described above.</w:t>
      </w:r>
    </w:p>
    <w:p w:rsidR="00302738" w:rsidRPr="00302738" w:rsidRDefault="00302738" w:rsidP="00A43072">
      <w:pPr>
        <w:autoSpaceDE w:val="0"/>
        <w:autoSpaceDN w:val="0"/>
        <w:adjustRightInd w:val="0"/>
        <w:ind w:left="720"/>
        <w:jc w:val="left"/>
        <w:rPr>
          <w:rFonts w:cs="Times New Roman"/>
          <w:sz w:val="16"/>
          <w:szCs w:val="16"/>
        </w:rPr>
      </w:pPr>
    </w:p>
    <w:p w:rsidR="0027683C" w:rsidRDefault="0027683C" w:rsidP="00A43072">
      <w:pPr>
        <w:tabs>
          <w:tab w:val="left" w:pos="-720"/>
          <w:tab w:val="left" w:leader="dot" w:pos="8550"/>
        </w:tabs>
        <w:suppressAutoHyphens/>
        <w:ind w:right="252"/>
        <w:jc w:val="left"/>
        <w:rPr>
          <w:rFonts w:cs="Times New Roman"/>
          <w:sz w:val="22"/>
          <w:szCs w:val="22"/>
        </w:rPr>
      </w:pPr>
      <w:r>
        <w:rPr>
          <w:rFonts w:cs="Times New Roman"/>
          <w:sz w:val="22"/>
          <w:szCs w:val="22"/>
        </w:rPr>
        <w:t>Thus, the analysis indicates that the discharge from the NW Natural facility meets the temperature thermal plume limitations in OAR 340-041-0053(d).</w:t>
      </w:r>
    </w:p>
    <w:p w:rsidR="0027683C" w:rsidRDefault="0027683C">
      <w:pPr>
        <w:jc w:val="left"/>
        <w:rPr>
          <w:rFonts w:ascii="Arial" w:hAnsi="Arial" w:cs="Arial"/>
          <w:b/>
          <w:bCs/>
          <w:color w:val="000000"/>
          <w:sz w:val="22"/>
          <w:szCs w:val="22"/>
        </w:rPr>
      </w:pPr>
      <w:r>
        <w:rPr>
          <w:rFonts w:ascii="Arial" w:hAnsi="Arial" w:cs="Arial"/>
          <w:b/>
          <w:bCs/>
          <w:sz w:val="22"/>
          <w:szCs w:val="22"/>
        </w:rPr>
        <w:lastRenderedPageBreak/>
        <w:t xml:space="preserve">4.3.2.1 </w:t>
      </w:r>
      <w:r>
        <w:rPr>
          <w:rFonts w:ascii="Arial" w:hAnsi="Arial" w:cs="Arial"/>
          <w:b/>
          <w:bCs/>
          <w:color w:val="000000"/>
          <w:sz w:val="22"/>
          <w:szCs w:val="22"/>
        </w:rPr>
        <w:t>Toxic Pollutants</w:t>
      </w:r>
    </w:p>
    <w:p w:rsidR="0027683C" w:rsidRDefault="0027683C" w:rsidP="00A43072">
      <w:pPr>
        <w:tabs>
          <w:tab w:val="left" w:pos="-720"/>
          <w:tab w:val="left" w:pos="342"/>
          <w:tab w:val="left" w:pos="720"/>
          <w:tab w:val="left" w:leader="dot" w:pos="8550"/>
        </w:tabs>
        <w:suppressAutoHyphens/>
        <w:spacing w:before="60"/>
        <w:ind w:left="-14" w:right="43"/>
        <w:jc w:val="left"/>
        <w:rPr>
          <w:rFonts w:cs="Times New Roman"/>
          <w:sz w:val="22"/>
          <w:szCs w:val="22"/>
        </w:rPr>
      </w:pPr>
      <w:r>
        <w:rPr>
          <w:rFonts w:cs="Times New Roman"/>
          <w:sz w:val="22"/>
          <w:szCs w:val="22"/>
        </w:rPr>
        <w:t>For each of the toxic pollutants of concern that were found at detectable levels in the pilot treatment plan</w:t>
      </w:r>
      <w:r w:rsidR="00772F91">
        <w:rPr>
          <w:rFonts w:cs="Times New Roman"/>
          <w:sz w:val="22"/>
          <w:szCs w:val="22"/>
        </w:rPr>
        <w:t>t</w:t>
      </w:r>
      <w:r>
        <w:rPr>
          <w:rFonts w:cs="Times New Roman"/>
          <w:sz w:val="22"/>
          <w:szCs w:val="22"/>
        </w:rPr>
        <w:t xml:space="preserve"> effluent,  an analysis of the potential to exceed ambient water quality criteria has been performed.   These analyses, described below, resulted in the determination that several of the pollutants have the potential to exceed ambient water quality standards and are therefore required to be regulated with effluent limits in the proposed permit.  It is expected that the full-scale treatment plant to be constructed at the site will be able to treat each of these pol</w:t>
      </w:r>
      <w:r w:rsidR="00212CD6">
        <w:rPr>
          <w:rFonts w:cs="Times New Roman"/>
          <w:sz w:val="22"/>
          <w:szCs w:val="22"/>
        </w:rPr>
        <w:t>lutants, with the exception of total c</w:t>
      </w:r>
      <w:r>
        <w:rPr>
          <w:rFonts w:cs="Times New Roman"/>
          <w:sz w:val="22"/>
          <w:szCs w:val="22"/>
        </w:rPr>
        <w:t xml:space="preserve">yanide, to levels sufficient to meet the water quality criteria without taking into account the assimilative capacity of the river (i.e., without the use of a mixing zone).  </w:t>
      </w:r>
    </w:p>
    <w:p w:rsidR="0027683C" w:rsidRDefault="0027683C">
      <w:pPr>
        <w:tabs>
          <w:tab w:val="left" w:pos="-720"/>
          <w:tab w:val="left" w:pos="342"/>
          <w:tab w:val="left" w:pos="720"/>
          <w:tab w:val="left" w:leader="dot" w:pos="8550"/>
        </w:tabs>
        <w:suppressAutoHyphens/>
        <w:spacing w:before="60"/>
        <w:ind w:left="-14" w:right="43"/>
        <w:rPr>
          <w:rFonts w:cs="Times New Roman"/>
          <w:sz w:val="22"/>
          <w:szCs w:val="22"/>
        </w:rPr>
      </w:pPr>
    </w:p>
    <w:p w:rsidR="0027683C" w:rsidRDefault="0027683C" w:rsidP="00A43072">
      <w:pPr>
        <w:pStyle w:val="BlockText"/>
        <w:jc w:val="left"/>
        <w:rPr>
          <w:sz w:val="22"/>
          <w:szCs w:val="22"/>
          <w:u w:val="single"/>
        </w:rPr>
      </w:pPr>
      <w:r>
        <w:rPr>
          <w:sz w:val="22"/>
          <w:szCs w:val="22"/>
          <w:u w:val="single"/>
        </w:rPr>
        <w:t>Detectable Toxic Pollutants of Concern</w:t>
      </w:r>
    </w:p>
    <w:p w:rsidR="0027683C" w:rsidRDefault="0027683C" w:rsidP="00A43072">
      <w:pPr>
        <w:tabs>
          <w:tab w:val="left" w:pos="-720"/>
          <w:tab w:val="left" w:pos="342"/>
          <w:tab w:val="left" w:pos="720"/>
          <w:tab w:val="left" w:leader="dot" w:pos="8550"/>
        </w:tabs>
        <w:suppressAutoHyphens/>
        <w:spacing w:before="60"/>
        <w:ind w:left="-14" w:right="43"/>
        <w:jc w:val="left"/>
        <w:rPr>
          <w:rFonts w:cs="Times New Roman"/>
          <w:color w:val="000000"/>
          <w:sz w:val="22"/>
          <w:szCs w:val="22"/>
        </w:rPr>
      </w:pPr>
      <w:r>
        <w:rPr>
          <w:rFonts w:cs="Times New Roman"/>
          <w:color w:val="000000"/>
          <w:sz w:val="22"/>
          <w:szCs w:val="22"/>
        </w:rPr>
        <w:t xml:space="preserve">As noted in Section 4.3.1 above, the toxic pollutants of concern in the discharge are specific </w:t>
      </w:r>
      <w:proofErr w:type="gramStart"/>
      <w:r>
        <w:rPr>
          <w:rFonts w:cs="Times New Roman"/>
          <w:color w:val="000000"/>
          <w:sz w:val="22"/>
          <w:szCs w:val="22"/>
        </w:rPr>
        <w:t>phenols,</w:t>
      </w:r>
      <w:proofErr w:type="gramEnd"/>
      <w:r>
        <w:rPr>
          <w:rFonts w:cs="Times New Roman"/>
          <w:color w:val="000000"/>
          <w:sz w:val="22"/>
          <w:szCs w:val="22"/>
        </w:rPr>
        <w:t xml:space="preserve"> PAHs, metals, VOCs, and cyanide (see Table 5).  The effluent from the pilot treatment system was sampled for these parameters and detectable levels of the toxic pollutants listed in Table 6 (below) were observed.</w:t>
      </w:r>
    </w:p>
    <w:p w:rsidR="0027683C" w:rsidRDefault="0027683C">
      <w:pPr>
        <w:tabs>
          <w:tab w:val="left" w:pos="-720"/>
          <w:tab w:val="left" w:pos="342"/>
          <w:tab w:val="left" w:pos="720"/>
          <w:tab w:val="left" w:leader="dot" w:pos="8550"/>
        </w:tabs>
        <w:suppressAutoHyphens/>
        <w:ind w:left="-18" w:right="36"/>
        <w:rPr>
          <w:rFonts w:cs="Times New Roman"/>
          <w:color w:val="000000"/>
          <w:sz w:val="22"/>
          <w:szCs w:val="22"/>
        </w:rPr>
      </w:pPr>
    </w:p>
    <w:tbl>
      <w:tblPr>
        <w:tblW w:w="7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88"/>
        <w:gridCol w:w="3870"/>
      </w:tblGrid>
      <w:tr w:rsidR="0027683C">
        <w:trPr>
          <w:trHeight w:val="285"/>
          <w:jc w:val="center"/>
        </w:trPr>
        <w:tc>
          <w:tcPr>
            <w:tcW w:w="7758" w:type="dxa"/>
            <w:gridSpan w:val="2"/>
            <w:shd w:val="clear" w:color="auto" w:fill="D9D9D9"/>
          </w:tcPr>
          <w:p w:rsidR="0027683C" w:rsidRDefault="0027683C">
            <w:pPr>
              <w:spacing w:before="60" w:after="60"/>
              <w:jc w:val="center"/>
              <w:rPr>
                <w:rFonts w:cs="Times New Roman"/>
                <w:sz w:val="20"/>
                <w:szCs w:val="20"/>
              </w:rPr>
            </w:pPr>
            <w:r>
              <w:rPr>
                <w:rFonts w:ascii="Arial" w:hAnsi="Arial" w:cs="Arial"/>
                <w:b/>
                <w:bCs/>
                <w:sz w:val="22"/>
                <w:szCs w:val="22"/>
              </w:rPr>
              <w:t>Table 6: Detectable Toxic Pollutants of Concern in Pilot Plant Effluent</w:t>
            </w:r>
          </w:p>
        </w:tc>
      </w:tr>
      <w:tr w:rsidR="0027683C">
        <w:trPr>
          <w:trHeight w:val="285"/>
          <w:jc w:val="center"/>
        </w:trPr>
        <w:tc>
          <w:tcPr>
            <w:tcW w:w="3888" w:type="dxa"/>
            <w:vAlign w:val="center"/>
          </w:tcPr>
          <w:p w:rsidR="0027683C" w:rsidRDefault="0027683C">
            <w:pPr>
              <w:jc w:val="center"/>
              <w:rPr>
                <w:rFonts w:ascii="Arial" w:hAnsi="Arial" w:cs="Arial"/>
                <w:sz w:val="20"/>
                <w:szCs w:val="20"/>
              </w:rPr>
            </w:pPr>
            <w:r>
              <w:rPr>
                <w:rFonts w:ascii="Arial" w:hAnsi="Arial" w:cs="Arial"/>
                <w:sz w:val="20"/>
                <w:szCs w:val="20"/>
              </w:rPr>
              <w:t>Total Cyanide</w:t>
            </w:r>
          </w:p>
        </w:tc>
        <w:tc>
          <w:tcPr>
            <w:tcW w:w="3870" w:type="dxa"/>
            <w:shd w:val="clear" w:color="auto" w:fill="D9D9D9"/>
            <w:vAlign w:val="center"/>
          </w:tcPr>
          <w:p w:rsidR="0027683C" w:rsidRDefault="0027683C">
            <w:pPr>
              <w:jc w:val="center"/>
              <w:rPr>
                <w:rFonts w:ascii="Arial" w:hAnsi="Arial" w:cs="Arial"/>
                <w:sz w:val="20"/>
                <w:szCs w:val="20"/>
                <w:u w:val="single"/>
              </w:rPr>
            </w:pPr>
            <w:r>
              <w:rPr>
                <w:rFonts w:ascii="Arial" w:hAnsi="Arial" w:cs="Arial"/>
                <w:sz w:val="20"/>
                <w:szCs w:val="20"/>
                <w:u w:val="single"/>
              </w:rPr>
              <w:t>Metals</w:t>
            </w:r>
          </w:p>
        </w:tc>
      </w:tr>
      <w:tr w:rsidR="0027683C">
        <w:trPr>
          <w:trHeight w:val="285"/>
          <w:jc w:val="center"/>
        </w:trPr>
        <w:tc>
          <w:tcPr>
            <w:tcW w:w="3888" w:type="dxa"/>
            <w:vAlign w:val="center"/>
          </w:tcPr>
          <w:p w:rsidR="0027683C" w:rsidRDefault="0027683C">
            <w:pPr>
              <w:jc w:val="center"/>
              <w:rPr>
                <w:rFonts w:ascii="Arial" w:hAnsi="Arial" w:cs="Arial"/>
                <w:sz w:val="20"/>
                <w:szCs w:val="20"/>
              </w:rPr>
            </w:pPr>
            <w:r>
              <w:rPr>
                <w:rFonts w:ascii="Arial" w:hAnsi="Arial" w:cs="Arial"/>
                <w:sz w:val="20"/>
                <w:szCs w:val="20"/>
              </w:rPr>
              <w:t>Phenol</w:t>
            </w:r>
          </w:p>
        </w:tc>
        <w:tc>
          <w:tcPr>
            <w:tcW w:w="3870" w:type="dxa"/>
            <w:vAlign w:val="center"/>
          </w:tcPr>
          <w:p w:rsidR="0027683C" w:rsidRDefault="0027683C">
            <w:pPr>
              <w:jc w:val="center"/>
              <w:rPr>
                <w:rFonts w:ascii="Arial" w:hAnsi="Arial" w:cs="Arial"/>
                <w:sz w:val="20"/>
                <w:szCs w:val="20"/>
              </w:rPr>
            </w:pPr>
            <w:r>
              <w:rPr>
                <w:rFonts w:ascii="Arial" w:hAnsi="Arial" w:cs="Arial"/>
                <w:sz w:val="20"/>
                <w:szCs w:val="20"/>
              </w:rPr>
              <w:t>Arsenic</w:t>
            </w:r>
          </w:p>
        </w:tc>
      </w:tr>
      <w:tr w:rsidR="00A80659">
        <w:trPr>
          <w:trHeight w:val="285"/>
          <w:jc w:val="center"/>
        </w:trPr>
        <w:tc>
          <w:tcPr>
            <w:tcW w:w="3888" w:type="dxa"/>
            <w:shd w:val="clear" w:color="auto" w:fill="D9D9D9"/>
            <w:vAlign w:val="center"/>
          </w:tcPr>
          <w:p w:rsidR="00A80659" w:rsidRDefault="00A80659">
            <w:pPr>
              <w:jc w:val="center"/>
              <w:rPr>
                <w:rFonts w:ascii="Arial" w:hAnsi="Arial" w:cs="Arial"/>
                <w:sz w:val="20"/>
                <w:szCs w:val="20"/>
                <w:u w:val="single"/>
              </w:rPr>
            </w:pPr>
            <w:r>
              <w:rPr>
                <w:rFonts w:ascii="Arial" w:hAnsi="Arial" w:cs="Arial"/>
                <w:sz w:val="20"/>
                <w:szCs w:val="20"/>
                <w:u w:val="single"/>
              </w:rPr>
              <w:t>PAHs</w:t>
            </w:r>
          </w:p>
        </w:tc>
        <w:tc>
          <w:tcPr>
            <w:tcW w:w="3870" w:type="dxa"/>
            <w:vAlign w:val="center"/>
          </w:tcPr>
          <w:p w:rsidR="00A80659" w:rsidRDefault="00A80659" w:rsidP="00614D7A">
            <w:pPr>
              <w:jc w:val="center"/>
              <w:rPr>
                <w:rFonts w:ascii="Arial" w:hAnsi="Arial" w:cs="Arial"/>
                <w:sz w:val="20"/>
                <w:szCs w:val="20"/>
              </w:rPr>
            </w:pPr>
            <w:r>
              <w:rPr>
                <w:rFonts w:ascii="Arial" w:hAnsi="Arial" w:cs="Arial"/>
                <w:sz w:val="20"/>
                <w:szCs w:val="20"/>
              </w:rPr>
              <w:t>Chromium III</w:t>
            </w:r>
          </w:p>
        </w:tc>
      </w:tr>
      <w:tr w:rsidR="00A80659">
        <w:trPr>
          <w:trHeight w:val="285"/>
          <w:jc w:val="center"/>
        </w:trPr>
        <w:tc>
          <w:tcPr>
            <w:tcW w:w="3888" w:type="dxa"/>
            <w:vAlign w:val="center"/>
          </w:tcPr>
          <w:p w:rsidR="00A80659" w:rsidRDefault="00A80659">
            <w:pPr>
              <w:jc w:val="center"/>
              <w:rPr>
                <w:rFonts w:ascii="Arial" w:hAnsi="Arial" w:cs="Arial"/>
                <w:sz w:val="20"/>
                <w:szCs w:val="20"/>
              </w:rPr>
            </w:pPr>
            <w:r>
              <w:rPr>
                <w:rFonts w:ascii="Arial" w:hAnsi="Arial" w:cs="Arial"/>
                <w:sz w:val="20"/>
                <w:szCs w:val="20"/>
              </w:rPr>
              <w:t>Anthracene</w:t>
            </w:r>
          </w:p>
        </w:tc>
        <w:tc>
          <w:tcPr>
            <w:tcW w:w="3870" w:type="dxa"/>
            <w:vAlign w:val="center"/>
          </w:tcPr>
          <w:p w:rsidR="00A80659" w:rsidRDefault="00A80659" w:rsidP="00614D7A">
            <w:pPr>
              <w:jc w:val="center"/>
              <w:rPr>
                <w:rFonts w:ascii="Arial" w:hAnsi="Arial" w:cs="Arial"/>
                <w:sz w:val="20"/>
                <w:szCs w:val="20"/>
              </w:rPr>
            </w:pPr>
            <w:r>
              <w:rPr>
                <w:rFonts w:ascii="Arial" w:hAnsi="Arial" w:cs="Arial"/>
                <w:sz w:val="20"/>
                <w:szCs w:val="20"/>
              </w:rPr>
              <w:t>Chromium VI*</w:t>
            </w:r>
          </w:p>
        </w:tc>
      </w:tr>
      <w:tr w:rsidR="00A80659">
        <w:trPr>
          <w:trHeight w:val="285"/>
          <w:jc w:val="center"/>
        </w:trPr>
        <w:tc>
          <w:tcPr>
            <w:tcW w:w="3888" w:type="dxa"/>
            <w:vAlign w:val="center"/>
          </w:tcPr>
          <w:p w:rsidR="00A80659" w:rsidRDefault="00A80659">
            <w:pPr>
              <w:jc w:val="center"/>
              <w:rPr>
                <w:rFonts w:ascii="Arial" w:hAnsi="Arial" w:cs="Arial"/>
                <w:sz w:val="20"/>
                <w:szCs w:val="20"/>
              </w:rPr>
            </w:pPr>
            <w:r>
              <w:rPr>
                <w:rFonts w:ascii="Arial" w:hAnsi="Arial" w:cs="Arial"/>
                <w:sz w:val="20"/>
                <w:szCs w:val="20"/>
              </w:rPr>
              <w:t>Benzo(a)Anthracene</w:t>
            </w:r>
          </w:p>
        </w:tc>
        <w:tc>
          <w:tcPr>
            <w:tcW w:w="3870" w:type="dxa"/>
            <w:vAlign w:val="center"/>
          </w:tcPr>
          <w:p w:rsidR="00A80659" w:rsidRDefault="00A80659" w:rsidP="00614D7A">
            <w:pPr>
              <w:jc w:val="center"/>
              <w:rPr>
                <w:rFonts w:ascii="Arial" w:hAnsi="Arial" w:cs="Arial"/>
                <w:sz w:val="20"/>
                <w:szCs w:val="20"/>
              </w:rPr>
            </w:pPr>
            <w:r>
              <w:rPr>
                <w:rFonts w:ascii="Arial" w:hAnsi="Arial" w:cs="Arial"/>
                <w:sz w:val="20"/>
                <w:szCs w:val="20"/>
              </w:rPr>
              <w:t>Copper</w:t>
            </w:r>
          </w:p>
        </w:tc>
      </w:tr>
      <w:tr w:rsidR="00A80659">
        <w:trPr>
          <w:trHeight w:val="285"/>
          <w:jc w:val="center"/>
        </w:trPr>
        <w:tc>
          <w:tcPr>
            <w:tcW w:w="3888" w:type="dxa"/>
            <w:vAlign w:val="center"/>
          </w:tcPr>
          <w:p w:rsidR="00A80659" w:rsidRDefault="00A80659">
            <w:pPr>
              <w:jc w:val="center"/>
              <w:rPr>
                <w:rFonts w:ascii="Arial" w:hAnsi="Arial" w:cs="Arial"/>
                <w:sz w:val="20"/>
                <w:szCs w:val="20"/>
              </w:rPr>
            </w:pPr>
            <w:r>
              <w:rPr>
                <w:rFonts w:ascii="Arial" w:hAnsi="Arial" w:cs="Arial"/>
                <w:sz w:val="20"/>
                <w:szCs w:val="20"/>
              </w:rPr>
              <w:t>Benzo(a)Pyrene</w:t>
            </w:r>
          </w:p>
        </w:tc>
        <w:tc>
          <w:tcPr>
            <w:tcW w:w="3870" w:type="dxa"/>
            <w:vAlign w:val="center"/>
          </w:tcPr>
          <w:p w:rsidR="00A80659" w:rsidRDefault="00A80659" w:rsidP="00614D7A">
            <w:pPr>
              <w:jc w:val="center"/>
              <w:rPr>
                <w:rFonts w:ascii="Arial" w:hAnsi="Arial" w:cs="Arial"/>
                <w:sz w:val="20"/>
                <w:szCs w:val="20"/>
              </w:rPr>
            </w:pPr>
            <w:r>
              <w:rPr>
                <w:rFonts w:ascii="Arial" w:hAnsi="Arial" w:cs="Arial"/>
                <w:sz w:val="20"/>
                <w:szCs w:val="20"/>
              </w:rPr>
              <w:t>Iron</w:t>
            </w:r>
          </w:p>
        </w:tc>
      </w:tr>
      <w:tr w:rsidR="00A80659">
        <w:trPr>
          <w:trHeight w:val="285"/>
          <w:jc w:val="center"/>
        </w:trPr>
        <w:tc>
          <w:tcPr>
            <w:tcW w:w="3888" w:type="dxa"/>
            <w:vAlign w:val="center"/>
          </w:tcPr>
          <w:p w:rsidR="00A80659" w:rsidRDefault="00A80659">
            <w:pPr>
              <w:jc w:val="center"/>
              <w:rPr>
                <w:rFonts w:ascii="Arial" w:hAnsi="Arial" w:cs="Arial"/>
                <w:sz w:val="20"/>
                <w:szCs w:val="20"/>
              </w:rPr>
            </w:pPr>
            <w:r>
              <w:rPr>
                <w:rFonts w:ascii="Arial" w:hAnsi="Arial" w:cs="Arial"/>
                <w:sz w:val="20"/>
                <w:szCs w:val="20"/>
              </w:rPr>
              <w:t>Dibenzo(a,h)Anthracene</w:t>
            </w:r>
          </w:p>
        </w:tc>
        <w:tc>
          <w:tcPr>
            <w:tcW w:w="3870" w:type="dxa"/>
            <w:vAlign w:val="center"/>
          </w:tcPr>
          <w:p w:rsidR="00A80659" w:rsidRDefault="00A80659" w:rsidP="00614D7A">
            <w:pPr>
              <w:jc w:val="center"/>
              <w:rPr>
                <w:rFonts w:ascii="Arial" w:hAnsi="Arial" w:cs="Arial"/>
                <w:sz w:val="20"/>
                <w:szCs w:val="20"/>
              </w:rPr>
            </w:pPr>
            <w:r>
              <w:rPr>
                <w:rFonts w:ascii="Arial" w:hAnsi="Arial" w:cs="Arial"/>
                <w:sz w:val="20"/>
                <w:szCs w:val="20"/>
              </w:rPr>
              <w:t>Lead</w:t>
            </w:r>
          </w:p>
        </w:tc>
      </w:tr>
      <w:tr w:rsidR="00A80659">
        <w:trPr>
          <w:trHeight w:val="285"/>
          <w:jc w:val="center"/>
        </w:trPr>
        <w:tc>
          <w:tcPr>
            <w:tcW w:w="3888" w:type="dxa"/>
            <w:vAlign w:val="center"/>
          </w:tcPr>
          <w:p w:rsidR="00A80659" w:rsidRDefault="00A80659">
            <w:pPr>
              <w:jc w:val="center"/>
              <w:rPr>
                <w:rFonts w:ascii="Arial" w:hAnsi="Arial" w:cs="Arial"/>
                <w:sz w:val="20"/>
                <w:szCs w:val="20"/>
              </w:rPr>
            </w:pPr>
            <w:r>
              <w:rPr>
                <w:rFonts w:ascii="Arial" w:hAnsi="Arial" w:cs="Arial"/>
                <w:sz w:val="20"/>
                <w:szCs w:val="20"/>
              </w:rPr>
              <w:t>Flouranthene</w:t>
            </w:r>
          </w:p>
        </w:tc>
        <w:tc>
          <w:tcPr>
            <w:tcW w:w="3870" w:type="dxa"/>
            <w:vAlign w:val="center"/>
          </w:tcPr>
          <w:p w:rsidR="00A80659" w:rsidRDefault="00A80659" w:rsidP="00614D7A">
            <w:pPr>
              <w:jc w:val="center"/>
              <w:rPr>
                <w:rFonts w:ascii="Arial" w:hAnsi="Arial" w:cs="Arial"/>
                <w:sz w:val="20"/>
                <w:szCs w:val="20"/>
              </w:rPr>
            </w:pPr>
            <w:r>
              <w:rPr>
                <w:rFonts w:ascii="Arial" w:hAnsi="Arial" w:cs="Arial"/>
                <w:sz w:val="20"/>
                <w:szCs w:val="20"/>
              </w:rPr>
              <w:t>Mercury</w:t>
            </w:r>
          </w:p>
        </w:tc>
      </w:tr>
      <w:tr w:rsidR="00A80659">
        <w:trPr>
          <w:trHeight w:val="285"/>
          <w:jc w:val="center"/>
        </w:trPr>
        <w:tc>
          <w:tcPr>
            <w:tcW w:w="3888" w:type="dxa"/>
            <w:vAlign w:val="center"/>
          </w:tcPr>
          <w:p w:rsidR="00A80659" w:rsidRDefault="00A80659">
            <w:pPr>
              <w:jc w:val="center"/>
              <w:rPr>
                <w:rFonts w:ascii="Arial" w:hAnsi="Arial" w:cs="Arial"/>
                <w:sz w:val="20"/>
                <w:szCs w:val="20"/>
              </w:rPr>
            </w:pPr>
            <w:r>
              <w:rPr>
                <w:rFonts w:ascii="Arial" w:hAnsi="Arial" w:cs="Arial"/>
                <w:sz w:val="20"/>
                <w:szCs w:val="20"/>
              </w:rPr>
              <w:t>Indeno(1,2,3-Cd)Pyrene</w:t>
            </w:r>
          </w:p>
        </w:tc>
        <w:tc>
          <w:tcPr>
            <w:tcW w:w="3870" w:type="dxa"/>
            <w:vAlign w:val="center"/>
          </w:tcPr>
          <w:p w:rsidR="00A80659" w:rsidRDefault="00A80659" w:rsidP="00614D7A">
            <w:pPr>
              <w:jc w:val="center"/>
              <w:rPr>
                <w:rFonts w:ascii="Arial" w:hAnsi="Arial" w:cs="Arial"/>
                <w:sz w:val="20"/>
                <w:szCs w:val="20"/>
              </w:rPr>
            </w:pPr>
            <w:r>
              <w:rPr>
                <w:rFonts w:ascii="Arial" w:hAnsi="Arial" w:cs="Arial"/>
                <w:sz w:val="20"/>
                <w:szCs w:val="20"/>
              </w:rPr>
              <w:t>Nickel</w:t>
            </w:r>
          </w:p>
        </w:tc>
      </w:tr>
      <w:tr w:rsidR="00A80659">
        <w:trPr>
          <w:trHeight w:val="285"/>
          <w:jc w:val="center"/>
        </w:trPr>
        <w:tc>
          <w:tcPr>
            <w:tcW w:w="3888" w:type="dxa"/>
            <w:vAlign w:val="center"/>
          </w:tcPr>
          <w:p w:rsidR="00A80659" w:rsidRDefault="00A80659">
            <w:pPr>
              <w:jc w:val="center"/>
              <w:rPr>
                <w:rFonts w:ascii="Arial" w:hAnsi="Arial" w:cs="Arial"/>
                <w:sz w:val="20"/>
                <w:szCs w:val="20"/>
              </w:rPr>
            </w:pPr>
            <w:r>
              <w:rPr>
                <w:rFonts w:ascii="Arial" w:hAnsi="Arial" w:cs="Arial"/>
                <w:sz w:val="20"/>
                <w:szCs w:val="20"/>
              </w:rPr>
              <w:t>Pyrene</w:t>
            </w:r>
          </w:p>
        </w:tc>
        <w:tc>
          <w:tcPr>
            <w:tcW w:w="3870" w:type="dxa"/>
            <w:vAlign w:val="center"/>
          </w:tcPr>
          <w:p w:rsidR="00A80659" w:rsidRDefault="00A80659" w:rsidP="00614D7A">
            <w:pPr>
              <w:jc w:val="center"/>
              <w:rPr>
                <w:rFonts w:ascii="Arial" w:hAnsi="Arial" w:cs="Arial"/>
                <w:sz w:val="20"/>
                <w:szCs w:val="20"/>
              </w:rPr>
            </w:pPr>
            <w:r>
              <w:rPr>
                <w:rFonts w:ascii="Arial" w:hAnsi="Arial" w:cs="Arial"/>
                <w:sz w:val="20"/>
                <w:szCs w:val="20"/>
              </w:rPr>
              <w:t>Selenium</w:t>
            </w:r>
          </w:p>
        </w:tc>
      </w:tr>
      <w:tr w:rsidR="00A80659" w:rsidTr="00A80659">
        <w:trPr>
          <w:cantSplit/>
          <w:trHeight w:val="285"/>
          <w:jc w:val="center"/>
        </w:trPr>
        <w:tc>
          <w:tcPr>
            <w:tcW w:w="3888" w:type="dxa"/>
            <w:shd w:val="clear" w:color="auto" w:fill="D9D9D9" w:themeFill="background1" w:themeFillShade="D9"/>
            <w:vAlign w:val="center"/>
          </w:tcPr>
          <w:p w:rsidR="00A80659" w:rsidRDefault="00A80659">
            <w:pPr>
              <w:jc w:val="center"/>
              <w:rPr>
                <w:rFonts w:ascii="Arial" w:hAnsi="Arial" w:cs="Arial"/>
                <w:sz w:val="20"/>
                <w:szCs w:val="20"/>
              </w:rPr>
            </w:pPr>
          </w:p>
        </w:tc>
        <w:tc>
          <w:tcPr>
            <w:tcW w:w="3870" w:type="dxa"/>
            <w:vAlign w:val="center"/>
          </w:tcPr>
          <w:p w:rsidR="00A80659" w:rsidRDefault="00A80659" w:rsidP="00614D7A">
            <w:pPr>
              <w:jc w:val="center"/>
              <w:rPr>
                <w:rFonts w:ascii="Arial" w:hAnsi="Arial" w:cs="Arial"/>
                <w:sz w:val="20"/>
                <w:szCs w:val="20"/>
              </w:rPr>
            </w:pPr>
            <w:r>
              <w:rPr>
                <w:rFonts w:ascii="Arial" w:hAnsi="Arial" w:cs="Arial"/>
                <w:sz w:val="20"/>
                <w:szCs w:val="20"/>
              </w:rPr>
              <w:t>Zinc</w:t>
            </w:r>
          </w:p>
        </w:tc>
      </w:tr>
    </w:tbl>
    <w:p w:rsidR="003C55D9" w:rsidRDefault="0027683C" w:rsidP="008D04A1">
      <w:pPr>
        <w:tabs>
          <w:tab w:val="left" w:pos="-720"/>
          <w:tab w:val="left" w:pos="342"/>
          <w:tab w:val="left" w:pos="720"/>
          <w:tab w:val="left" w:leader="dot" w:pos="8460"/>
        </w:tabs>
        <w:suppressAutoHyphens/>
        <w:ind w:left="1260" w:right="36"/>
        <w:jc w:val="left"/>
        <w:rPr>
          <w:rFonts w:ascii="Arial" w:hAnsi="Arial" w:cs="Arial"/>
          <w:color w:val="000000"/>
          <w:sz w:val="18"/>
          <w:szCs w:val="18"/>
        </w:rPr>
      </w:pPr>
      <w:r w:rsidRPr="000161B5">
        <w:rPr>
          <w:rFonts w:ascii="Arial" w:hAnsi="Arial" w:cs="Arial"/>
          <w:color w:val="000000"/>
          <w:sz w:val="18"/>
          <w:szCs w:val="18"/>
        </w:rPr>
        <w:t>* Note: Chromium (VI) w</w:t>
      </w:r>
      <w:r w:rsidR="003C55D9">
        <w:rPr>
          <w:rFonts w:ascii="Arial" w:hAnsi="Arial" w:cs="Arial"/>
          <w:color w:val="000000"/>
          <w:sz w:val="18"/>
          <w:szCs w:val="18"/>
        </w:rPr>
        <w:t>as</w:t>
      </w:r>
      <w:r w:rsidRPr="000161B5">
        <w:rPr>
          <w:rFonts w:ascii="Arial" w:hAnsi="Arial" w:cs="Arial"/>
          <w:color w:val="000000"/>
          <w:sz w:val="18"/>
          <w:szCs w:val="18"/>
        </w:rPr>
        <w:t xml:space="preserve"> not detectable in the effluent.  However,</w:t>
      </w:r>
      <w:r w:rsidR="003C55D9">
        <w:rPr>
          <w:rFonts w:ascii="Arial" w:hAnsi="Arial" w:cs="Arial"/>
          <w:color w:val="000000"/>
          <w:sz w:val="18"/>
          <w:szCs w:val="18"/>
        </w:rPr>
        <w:t xml:space="preserve"> it was</w:t>
      </w:r>
      <w:r w:rsidR="008D04A1" w:rsidRPr="000161B5">
        <w:rPr>
          <w:rFonts w:ascii="Arial" w:hAnsi="Arial" w:cs="Arial"/>
          <w:color w:val="000000"/>
          <w:sz w:val="18"/>
          <w:szCs w:val="18"/>
        </w:rPr>
        <w:t xml:space="preserve"> included on this list</w:t>
      </w:r>
    </w:p>
    <w:p w:rsidR="0027683C" w:rsidRPr="000161B5" w:rsidRDefault="008D04A1" w:rsidP="008D04A1">
      <w:pPr>
        <w:tabs>
          <w:tab w:val="left" w:pos="-720"/>
          <w:tab w:val="left" w:pos="342"/>
          <w:tab w:val="left" w:pos="720"/>
          <w:tab w:val="left" w:leader="dot" w:pos="8460"/>
        </w:tabs>
        <w:suppressAutoHyphens/>
        <w:ind w:left="1260" w:right="36"/>
        <w:jc w:val="left"/>
        <w:rPr>
          <w:rFonts w:ascii="Arial" w:hAnsi="Arial" w:cs="Arial"/>
          <w:color w:val="000000"/>
          <w:sz w:val="18"/>
          <w:szCs w:val="18"/>
        </w:rPr>
      </w:pPr>
      <w:r w:rsidRPr="000161B5">
        <w:rPr>
          <w:rFonts w:ascii="Arial" w:hAnsi="Arial" w:cs="Arial"/>
          <w:color w:val="000000"/>
          <w:sz w:val="18"/>
          <w:szCs w:val="18"/>
        </w:rPr>
        <w:t xml:space="preserve"> </w:t>
      </w:r>
      <w:proofErr w:type="gramStart"/>
      <w:r w:rsidRPr="000161B5">
        <w:rPr>
          <w:rFonts w:ascii="Arial" w:hAnsi="Arial" w:cs="Arial"/>
          <w:color w:val="000000"/>
          <w:sz w:val="18"/>
          <w:szCs w:val="18"/>
        </w:rPr>
        <w:t>because</w:t>
      </w:r>
      <w:proofErr w:type="gramEnd"/>
      <w:r w:rsidRPr="000161B5">
        <w:rPr>
          <w:rFonts w:ascii="Arial" w:hAnsi="Arial" w:cs="Arial"/>
          <w:color w:val="000000"/>
          <w:sz w:val="18"/>
          <w:szCs w:val="18"/>
        </w:rPr>
        <w:t xml:space="preserve"> </w:t>
      </w:r>
      <w:r w:rsidR="0027683C" w:rsidRPr="000161B5">
        <w:rPr>
          <w:rFonts w:ascii="Arial" w:hAnsi="Arial" w:cs="Arial"/>
          <w:color w:val="000000"/>
          <w:sz w:val="18"/>
          <w:szCs w:val="18"/>
        </w:rPr>
        <w:t>the</w:t>
      </w:r>
      <w:r w:rsidR="00664BFB">
        <w:rPr>
          <w:rFonts w:ascii="Arial" w:hAnsi="Arial" w:cs="Arial"/>
          <w:color w:val="000000"/>
          <w:sz w:val="18"/>
          <w:szCs w:val="18"/>
        </w:rPr>
        <w:t xml:space="preserve"> data</w:t>
      </w:r>
      <w:r w:rsidR="0027683C" w:rsidRPr="000161B5">
        <w:rPr>
          <w:rFonts w:ascii="Arial" w:hAnsi="Arial" w:cs="Arial"/>
          <w:color w:val="000000"/>
          <w:sz w:val="18"/>
          <w:szCs w:val="18"/>
        </w:rPr>
        <w:t xml:space="preserve"> detection limit</w:t>
      </w:r>
      <w:r w:rsidR="00664BFB">
        <w:rPr>
          <w:rFonts w:ascii="Arial" w:hAnsi="Arial" w:cs="Arial"/>
          <w:color w:val="000000"/>
          <w:sz w:val="18"/>
          <w:szCs w:val="18"/>
        </w:rPr>
        <w:t>s</w:t>
      </w:r>
      <w:r w:rsidR="0027683C" w:rsidRPr="000161B5">
        <w:rPr>
          <w:rFonts w:ascii="Arial" w:hAnsi="Arial" w:cs="Arial"/>
          <w:color w:val="000000"/>
          <w:sz w:val="18"/>
          <w:szCs w:val="18"/>
        </w:rPr>
        <w:t xml:space="preserve"> were higher than acceptable values.</w:t>
      </w:r>
    </w:p>
    <w:p w:rsidR="0027683C" w:rsidRDefault="0027683C">
      <w:pPr>
        <w:tabs>
          <w:tab w:val="left" w:pos="-720"/>
          <w:tab w:val="left" w:pos="342"/>
          <w:tab w:val="left" w:pos="720"/>
          <w:tab w:val="left" w:leader="dot" w:pos="8550"/>
        </w:tabs>
        <w:suppressAutoHyphens/>
        <w:ind w:left="-18" w:right="36"/>
        <w:jc w:val="center"/>
        <w:rPr>
          <w:rFonts w:cs="Times New Roman"/>
          <w:b/>
          <w:bCs/>
          <w:color w:val="000000"/>
          <w:sz w:val="22"/>
          <w:szCs w:val="22"/>
        </w:rPr>
      </w:pPr>
    </w:p>
    <w:p w:rsidR="0027683C" w:rsidRDefault="0027683C" w:rsidP="00A43072">
      <w:pPr>
        <w:pStyle w:val="BlockText"/>
        <w:jc w:val="left"/>
        <w:rPr>
          <w:sz w:val="22"/>
          <w:szCs w:val="22"/>
          <w:u w:val="single"/>
        </w:rPr>
      </w:pPr>
      <w:r>
        <w:rPr>
          <w:sz w:val="22"/>
          <w:szCs w:val="22"/>
          <w:u w:val="single"/>
        </w:rPr>
        <w:t>Toxics Reasonable Potential Analysis</w:t>
      </w:r>
    </w:p>
    <w:p w:rsidR="0027683C" w:rsidRDefault="0027683C" w:rsidP="00A43072">
      <w:pPr>
        <w:tabs>
          <w:tab w:val="left" w:pos="-720"/>
          <w:tab w:val="left" w:pos="342"/>
          <w:tab w:val="left" w:pos="1692"/>
          <w:tab w:val="left" w:leader="dot" w:pos="8550"/>
        </w:tabs>
        <w:suppressAutoHyphens/>
        <w:spacing w:before="60"/>
        <w:ind w:left="-14" w:right="43"/>
        <w:jc w:val="left"/>
        <w:rPr>
          <w:rFonts w:cs="Times New Roman"/>
          <w:color w:val="000000"/>
          <w:sz w:val="22"/>
          <w:szCs w:val="22"/>
        </w:rPr>
      </w:pPr>
      <w:r>
        <w:rPr>
          <w:rFonts w:cs="Times New Roman"/>
          <w:color w:val="000000"/>
          <w:sz w:val="22"/>
          <w:szCs w:val="22"/>
        </w:rPr>
        <w:t xml:space="preserve">To determine whether the discharge has a reasonable potential to exceed water quality standards for the </w:t>
      </w:r>
      <w:r w:rsidR="00772F91">
        <w:rPr>
          <w:rFonts w:cs="Times New Roman"/>
          <w:color w:val="000000"/>
          <w:sz w:val="22"/>
          <w:szCs w:val="22"/>
        </w:rPr>
        <w:t xml:space="preserve">toxic </w:t>
      </w:r>
      <w:r>
        <w:rPr>
          <w:rFonts w:cs="Times New Roman"/>
          <w:color w:val="000000"/>
          <w:sz w:val="22"/>
          <w:szCs w:val="22"/>
        </w:rPr>
        <w:t xml:space="preserve">pollutants of concern found at detectable levels, spreadsheets that simulate the approach in EPA’s </w:t>
      </w:r>
      <w:r>
        <w:rPr>
          <w:rFonts w:cs="Times New Roman"/>
          <w:i/>
          <w:iCs/>
          <w:color w:val="000000"/>
          <w:sz w:val="22"/>
          <w:szCs w:val="22"/>
        </w:rPr>
        <w:t xml:space="preserve">Technical Support Document for Water Quality Based Toxics Control </w:t>
      </w:r>
      <w:r>
        <w:rPr>
          <w:rFonts w:cs="Times New Roman"/>
          <w:color w:val="000000"/>
          <w:sz w:val="22"/>
          <w:szCs w:val="22"/>
        </w:rPr>
        <w:t>(EPA</w:t>
      </w:r>
      <w:r w:rsidR="00772F91">
        <w:rPr>
          <w:rFonts w:cs="Times New Roman"/>
          <w:color w:val="000000"/>
          <w:sz w:val="22"/>
          <w:szCs w:val="22"/>
        </w:rPr>
        <w:t>,</w:t>
      </w:r>
      <w:r>
        <w:rPr>
          <w:rFonts w:cs="Times New Roman"/>
          <w:color w:val="000000"/>
          <w:sz w:val="22"/>
          <w:szCs w:val="22"/>
        </w:rPr>
        <w:t xml:space="preserve"> March 1991) were used.  Pilot plant effluent data and Oregon water quality criteria were used to determine whether the discharge has a reasonable potential to exceed the criteria.  The analyses used the hardness of the discharge </w:t>
      </w:r>
      <w:r w:rsidR="00212CD6">
        <w:rPr>
          <w:rFonts w:cs="Times New Roman"/>
          <w:color w:val="000000"/>
          <w:sz w:val="22"/>
          <w:szCs w:val="22"/>
        </w:rPr>
        <w:t>in the calculation of</w:t>
      </w:r>
      <w:r>
        <w:rPr>
          <w:rFonts w:cs="Times New Roman"/>
          <w:color w:val="000000"/>
          <w:sz w:val="22"/>
          <w:szCs w:val="22"/>
        </w:rPr>
        <w:t xml:space="preserve"> water quality criteria for pollutants that have hardness dependent criteria (some metals).  </w:t>
      </w:r>
      <w:r w:rsidR="00302738">
        <w:rPr>
          <w:rFonts w:cs="Times New Roman"/>
          <w:color w:val="000000"/>
          <w:sz w:val="22"/>
          <w:szCs w:val="22"/>
        </w:rPr>
        <w:t xml:space="preserve">(An additional analysis was performed to assess the impact of these metals as the effluent plume mixes with the lower hardness of the Willamette River water.  This analysis determined that the effluent as characterized and when meeting the permit effluent limits will not cause or contribute to metals criteria </w:t>
      </w:r>
      <w:proofErr w:type="spellStart"/>
      <w:r w:rsidR="00302738">
        <w:rPr>
          <w:rFonts w:cs="Times New Roman"/>
          <w:color w:val="000000"/>
          <w:sz w:val="22"/>
          <w:szCs w:val="22"/>
        </w:rPr>
        <w:t>exceedances</w:t>
      </w:r>
      <w:proofErr w:type="spellEnd"/>
      <w:r w:rsidR="00302738">
        <w:rPr>
          <w:rFonts w:cs="Times New Roman"/>
          <w:color w:val="000000"/>
          <w:sz w:val="22"/>
          <w:szCs w:val="22"/>
        </w:rPr>
        <w:t xml:space="preserve">.)  </w:t>
      </w:r>
      <w:r>
        <w:rPr>
          <w:rFonts w:cs="Times New Roman"/>
          <w:color w:val="000000"/>
          <w:sz w:val="22"/>
          <w:szCs w:val="22"/>
        </w:rPr>
        <w:t xml:space="preserve">To address the limited amount of data from the pilot system, multipliers were applied to the data to estimate the maximum </w:t>
      </w:r>
      <w:r w:rsidR="00772F91">
        <w:rPr>
          <w:rFonts w:cs="Times New Roman"/>
          <w:color w:val="000000"/>
          <w:sz w:val="22"/>
          <w:szCs w:val="22"/>
        </w:rPr>
        <w:t xml:space="preserve">potential </w:t>
      </w:r>
      <w:r>
        <w:rPr>
          <w:rFonts w:cs="Times New Roman"/>
          <w:color w:val="000000"/>
          <w:sz w:val="22"/>
          <w:szCs w:val="22"/>
        </w:rPr>
        <w:t>values of the pollutant concentrations in the effluent of the final treatment plant.</w:t>
      </w:r>
    </w:p>
    <w:p w:rsidR="0027683C" w:rsidRDefault="0027683C" w:rsidP="00A43072">
      <w:pPr>
        <w:tabs>
          <w:tab w:val="left" w:pos="-720"/>
          <w:tab w:val="left" w:pos="342"/>
          <w:tab w:val="left" w:pos="720"/>
          <w:tab w:val="left" w:leader="dot" w:pos="8550"/>
        </w:tabs>
        <w:suppressAutoHyphens/>
        <w:ind w:left="-18" w:right="36"/>
        <w:jc w:val="left"/>
        <w:rPr>
          <w:rFonts w:cs="Times New Roman"/>
          <w:color w:val="000000"/>
          <w:sz w:val="22"/>
          <w:szCs w:val="22"/>
        </w:rPr>
      </w:pPr>
    </w:p>
    <w:p w:rsidR="0027683C" w:rsidRPr="00302738" w:rsidRDefault="0027683C" w:rsidP="00A43072">
      <w:pPr>
        <w:tabs>
          <w:tab w:val="left" w:pos="-720"/>
          <w:tab w:val="left" w:pos="342"/>
          <w:tab w:val="left" w:pos="720"/>
          <w:tab w:val="left" w:leader="dot" w:pos="8550"/>
        </w:tabs>
        <w:suppressAutoHyphens/>
        <w:ind w:left="-18" w:right="36"/>
        <w:jc w:val="left"/>
        <w:rPr>
          <w:rFonts w:cs="Times New Roman"/>
          <w:color w:val="000000" w:themeColor="text1"/>
          <w:sz w:val="22"/>
          <w:szCs w:val="22"/>
        </w:rPr>
      </w:pPr>
      <w:r>
        <w:rPr>
          <w:rFonts w:cs="Times New Roman"/>
          <w:color w:val="000000"/>
          <w:sz w:val="22"/>
          <w:szCs w:val="22"/>
        </w:rPr>
        <w:t xml:space="preserve">The results of these analyses are presented in Attachment A for aquatic life criteria and Attachment B for human health criteria.  </w:t>
      </w:r>
      <w:r w:rsidRPr="00302738">
        <w:rPr>
          <w:rFonts w:cs="Times New Roman"/>
          <w:color w:val="000000" w:themeColor="text1"/>
          <w:sz w:val="22"/>
          <w:szCs w:val="22"/>
        </w:rPr>
        <w:t>These results indicate that the discharge has</w:t>
      </w:r>
      <w:r w:rsidR="00212CD6" w:rsidRPr="00302738">
        <w:rPr>
          <w:rFonts w:cs="Times New Roman"/>
          <w:color w:val="000000" w:themeColor="text1"/>
          <w:sz w:val="22"/>
          <w:szCs w:val="22"/>
        </w:rPr>
        <w:t xml:space="preserve"> a</w:t>
      </w:r>
      <w:r w:rsidRPr="00302738">
        <w:rPr>
          <w:rFonts w:cs="Times New Roman"/>
          <w:color w:val="000000" w:themeColor="text1"/>
          <w:sz w:val="22"/>
          <w:szCs w:val="22"/>
        </w:rPr>
        <w:t xml:space="preserve"> reasonable potential to exceed water quality criteria for </w:t>
      </w:r>
      <w:proofErr w:type="spellStart"/>
      <w:r w:rsidRPr="00302738">
        <w:rPr>
          <w:rFonts w:cs="Times New Roman"/>
          <w:color w:val="000000" w:themeColor="text1"/>
          <w:sz w:val="22"/>
          <w:szCs w:val="22"/>
        </w:rPr>
        <w:t>benzo</w:t>
      </w:r>
      <w:proofErr w:type="spellEnd"/>
      <w:r w:rsidRPr="00302738">
        <w:rPr>
          <w:rFonts w:cs="Times New Roman"/>
          <w:color w:val="000000" w:themeColor="text1"/>
          <w:sz w:val="22"/>
          <w:szCs w:val="22"/>
        </w:rPr>
        <w:t>(a)</w:t>
      </w:r>
      <w:proofErr w:type="spellStart"/>
      <w:r w:rsidRPr="00302738">
        <w:rPr>
          <w:rFonts w:cs="Times New Roman"/>
          <w:color w:val="000000" w:themeColor="text1"/>
          <w:sz w:val="22"/>
          <w:szCs w:val="22"/>
        </w:rPr>
        <w:t>anthracene</w:t>
      </w:r>
      <w:proofErr w:type="spellEnd"/>
      <w:r w:rsidRPr="00302738">
        <w:rPr>
          <w:rFonts w:cs="Times New Roman"/>
          <w:color w:val="000000" w:themeColor="text1"/>
          <w:sz w:val="22"/>
          <w:szCs w:val="22"/>
        </w:rPr>
        <w:t xml:space="preserve">, </w:t>
      </w:r>
      <w:proofErr w:type="spellStart"/>
      <w:r w:rsidRPr="00302738">
        <w:rPr>
          <w:rFonts w:cs="Times New Roman"/>
          <w:color w:val="000000" w:themeColor="text1"/>
          <w:sz w:val="22"/>
          <w:szCs w:val="22"/>
        </w:rPr>
        <w:t>benzo</w:t>
      </w:r>
      <w:proofErr w:type="spellEnd"/>
      <w:r w:rsidRPr="00302738">
        <w:rPr>
          <w:rFonts w:cs="Times New Roman"/>
          <w:color w:val="000000" w:themeColor="text1"/>
          <w:sz w:val="22"/>
          <w:szCs w:val="22"/>
        </w:rPr>
        <w:t>(a)</w:t>
      </w:r>
      <w:proofErr w:type="spellStart"/>
      <w:r w:rsidRPr="00302738">
        <w:rPr>
          <w:rFonts w:cs="Times New Roman"/>
          <w:color w:val="000000" w:themeColor="text1"/>
          <w:sz w:val="22"/>
          <w:szCs w:val="22"/>
        </w:rPr>
        <w:t>pyren</w:t>
      </w:r>
      <w:r w:rsidR="00A80659" w:rsidRPr="00302738">
        <w:rPr>
          <w:rFonts w:cs="Times New Roman"/>
          <w:color w:val="000000" w:themeColor="text1"/>
          <w:sz w:val="22"/>
          <w:szCs w:val="22"/>
        </w:rPr>
        <w:t>e</w:t>
      </w:r>
      <w:proofErr w:type="spellEnd"/>
      <w:r w:rsidR="00717D80" w:rsidRPr="00302738">
        <w:rPr>
          <w:rFonts w:cs="Times New Roman"/>
          <w:color w:val="000000" w:themeColor="text1"/>
          <w:sz w:val="22"/>
          <w:szCs w:val="22"/>
        </w:rPr>
        <w:t xml:space="preserve">, </w:t>
      </w:r>
      <w:r w:rsidRPr="00302738">
        <w:rPr>
          <w:rFonts w:cs="Times New Roman"/>
          <w:color w:val="000000" w:themeColor="text1"/>
          <w:sz w:val="22"/>
          <w:szCs w:val="22"/>
        </w:rPr>
        <w:t xml:space="preserve">copper, </w:t>
      </w:r>
      <w:proofErr w:type="spellStart"/>
      <w:r w:rsidRPr="00302738">
        <w:rPr>
          <w:rFonts w:cs="Times New Roman"/>
          <w:color w:val="000000" w:themeColor="text1"/>
          <w:sz w:val="22"/>
          <w:szCs w:val="22"/>
        </w:rPr>
        <w:t>dibenzo</w:t>
      </w:r>
      <w:proofErr w:type="spellEnd"/>
      <w:r w:rsidRPr="00302738">
        <w:rPr>
          <w:rFonts w:cs="Times New Roman"/>
          <w:color w:val="000000" w:themeColor="text1"/>
          <w:sz w:val="22"/>
          <w:szCs w:val="22"/>
        </w:rPr>
        <w:t>(</w:t>
      </w:r>
      <w:proofErr w:type="spellStart"/>
      <w:r w:rsidRPr="00302738">
        <w:rPr>
          <w:rFonts w:cs="Times New Roman"/>
          <w:color w:val="000000" w:themeColor="text1"/>
          <w:sz w:val="22"/>
          <w:szCs w:val="22"/>
        </w:rPr>
        <w:t>a,h</w:t>
      </w:r>
      <w:proofErr w:type="spellEnd"/>
      <w:r w:rsidRPr="00302738">
        <w:rPr>
          <w:rFonts w:cs="Times New Roman"/>
          <w:color w:val="000000" w:themeColor="text1"/>
          <w:sz w:val="22"/>
          <w:szCs w:val="22"/>
        </w:rPr>
        <w:t>)</w:t>
      </w:r>
      <w:proofErr w:type="spellStart"/>
      <w:r w:rsidRPr="00302738">
        <w:rPr>
          <w:rFonts w:cs="Times New Roman"/>
          <w:color w:val="000000" w:themeColor="text1"/>
          <w:sz w:val="22"/>
          <w:szCs w:val="22"/>
        </w:rPr>
        <w:t>anthracene</w:t>
      </w:r>
      <w:proofErr w:type="spellEnd"/>
      <w:r w:rsidRPr="00302738">
        <w:rPr>
          <w:rFonts w:cs="Times New Roman"/>
          <w:color w:val="000000" w:themeColor="text1"/>
          <w:sz w:val="22"/>
          <w:szCs w:val="22"/>
        </w:rPr>
        <w:t xml:space="preserve">, </w:t>
      </w:r>
      <w:proofErr w:type="spellStart"/>
      <w:r w:rsidRPr="00302738">
        <w:rPr>
          <w:rFonts w:cs="Times New Roman"/>
          <w:color w:val="000000" w:themeColor="text1"/>
          <w:sz w:val="22"/>
          <w:szCs w:val="22"/>
        </w:rPr>
        <w:t>inden</w:t>
      </w:r>
      <w:r w:rsidR="00D87098" w:rsidRPr="00302738">
        <w:rPr>
          <w:rFonts w:cs="Times New Roman"/>
          <w:color w:val="000000" w:themeColor="text1"/>
          <w:sz w:val="22"/>
          <w:szCs w:val="22"/>
        </w:rPr>
        <w:t>o</w:t>
      </w:r>
      <w:proofErr w:type="spellEnd"/>
      <w:r w:rsidR="00D87098" w:rsidRPr="00302738">
        <w:rPr>
          <w:rFonts w:cs="Times New Roman"/>
          <w:color w:val="000000" w:themeColor="text1"/>
          <w:sz w:val="22"/>
          <w:szCs w:val="22"/>
        </w:rPr>
        <w:t>(1,2,3-cd)</w:t>
      </w:r>
      <w:proofErr w:type="spellStart"/>
      <w:r w:rsidR="00D87098" w:rsidRPr="00302738">
        <w:rPr>
          <w:rFonts w:cs="Times New Roman"/>
          <w:color w:val="000000" w:themeColor="text1"/>
          <w:sz w:val="22"/>
          <w:szCs w:val="22"/>
        </w:rPr>
        <w:t>pyrene</w:t>
      </w:r>
      <w:proofErr w:type="spellEnd"/>
      <w:r w:rsidR="00D87098" w:rsidRPr="00302738">
        <w:rPr>
          <w:rFonts w:cs="Times New Roman"/>
          <w:color w:val="000000" w:themeColor="text1"/>
          <w:sz w:val="22"/>
          <w:szCs w:val="22"/>
        </w:rPr>
        <w:t xml:space="preserve">,  iron,  lead, </w:t>
      </w:r>
      <w:r w:rsidRPr="00302738">
        <w:rPr>
          <w:rFonts w:cs="Times New Roman"/>
          <w:color w:val="000000" w:themeColor="text1"/>
          <w:sz w:val="22"/>
          <w:szCs w:val="22"/>
        </w:rPr>
        <w:t>mercury</w:t>
      </w:r>
      <w:r w:rsidR="00D87098" w:rsidRPr="00302738">
        <w:rPr>
          <w:rFonts w:cs="Times New Roman"/>
          <w:color w:val="000000" w:themeColor="text1"/>
          <w:sz w:val="22"/>
          <w:szCs w:val="22"/>
        </w:rPr>
        <w:t xml:space="preserve"> and total cyanide</w:t>
      </w:r>
      <w:r w:rsidRPr="00302738">
        <w:rPr>
          <w:rFonts w:cs="Times New Roman"/>
          <w:color w:val="000000" w:themeColor="text1"/>
          <w:sz w:val="22"/>
          <w:szCs w:val="22"/>
        </w:rPr>
        <w:t xml:space="preserve">.       </w:t>
      </w:r>
    </w:p>
    <w:p w:rsidR="00176503" w:rsidRDefault="00176503">
      <w:pPr>
        <w:jc w:val="left"/>
        <w:rPr>
          <w:rFonts w:cs="Times New Roman"/>
          <w:color w:val="000000"/>
          <w:sz w:val="22"/>
          <w:szCs w:val="22"/>
        </w:rPr>
      </w:pPr>
      <w:r w:rsidRPr="00302738">
        <w:rPr>
          <w:rFonts w:cs="Times New Roman"/>
          <w:color w:val="000000" w:themeColor="text1"/>
          <w:sz w:val="22"/>
          <w:szCs w:val="22"/>
        </w:rPr>
        <w:br w:type="page"/>
      </w:r>
    </w:p>
    <w:p w:rsidR="0027683C" w:rsidRDefault="0027683C" w:rsidP="00A43072">
      <w:pPr>
        <w:pStyle w:val="BlockText"/>
        <w:jc w:val="left"/>
        <w:rPr>
          <w:sz w:val="22"/>
          <w:szCs w:val="22"/>
          <w:u w:val="single"/>
        </w:rPr>
      </w:pPr>
      <w:r>
        <w:rPr>
          <w:sz w:val="22"/>
          <w:szCs w:val="22"/>
          <w:u w:val="single"/>
        </w:rPr>
        <w:lastRenderedPageBreak/>
        <w:t>Toxics Effluent Limit</w:t>
      </w:r>
      <w:r w:rsidR="00B85451">
        <w:rPr>
          <w:sz w:val="22"/>
          <w:szCs w:val="22"/>
          <w:u w:val="single"/>
        </w:rPr>
        <w:t>ation</w:t>
      </w:r>
      <w:r>
        <w:rPr>
          <w:sz w:val="22"/>
          <w:szCs w:val="22"/>
          <w:u w:val="single"/>
        </w:rPr>
        <w:t xml:space="preserve">s </w:t>
      </w:r>
    </w:p>
    <w:p w:rsidR="0027683C" w:rsidRDefault="0027683C" w:rsidP="00A43072">
      <w:pPr>
        <w:tabs>
          <w:tab w:val="left" w:pos="-720"/>
          <w:tab w:val="left" w:pos="342"/>
          <w:tab w:val="left" w:pos="720"/>
          <w:tab w:val="left" w:leader="dot" w:pos="8550"/>
        </w:tabs>
        <w:suppressAutoHyphens/>
        <w:spacing w:before="60"/>
        <w:ind w:left="-14" w:right="43"/>
        <w:jc w:val="left"/>
        <w:rPr>
          <w:rFonts w:cs="Times New Roman"/>
          <w:color w:val="000000"/>
          <w:sz w:val="22"/>
          <w:szCs w:val="22"/>
        </w:rPr>
      </w:pPr>
      <w:r>
        <w:rPr>
          <w:rFonts w:cs="Times New Roman"/>
          <w:color w:val="000000"/>
          <w:sz w:val="22"/>
          <w:szCs w:val="22"/>
        </w:rPr>
        <w:t>For the parameters that have a reasonable potential to exceed water quality standards, effluent limi</w:t>
      </w:r>
      <w:r w:rsidR="00B85451">
        <w:rPr>
          <w:rFonts w:cs="Times New Roman"/>
          <w:color w:val="000000"/>
          <w:sz w:val="22"/>
          <w:szCs w:val="22"/>
        </w:rPr>
        <w:t>tation</w:t>
      </w:r>
      <w:r>
        <w:rPr>
          <w:rFonts w:cs="Times New Roman"/>
          <w:color w:val="000000"/>
          <w:sz w:val="22"/>
          <w:szCs w:val="22"/>
        </w:rPr>
        <w:t>s were calculated using another spreadsheet that uses the approach</w:t>
      </w:r>
      <w:r w:rsidR="00772F91">
        <w:rPr>
          <w:rFonts w:cs="Times New Roman"/>
          <w:color w:val="000000"/>
          <w:sz w:val="22"/>
          <w:szCs w:val="22"/>
        </w:rPr>
        <w:t xml:space="preserve"> outlined</w:t>
      </w:r>
      <w:r>
        <w:rPr>
          <w:rFonts w:cs="Times New Roman"/>
          <w:color w:val="000000"/>
          <w:sz w:val="22"/>
          <w:szCs w:val="22"/>
        </w:rPr>
        <w:t xml:space="preserve"> in EPA’s </w:t>
      </w:r>
      <w:r>
        <w:rPr>
          <w:rFonts w:cs="Times New Roman"/>
          <w:i/>
          <w:iCs/>
          <w:color w:val="000000"/>
          <w:sz w:val="22"/>
          <w:szCs w:val="22"/>
        </w:rPr>
        <w:t>Technical Support Document for Water Quality Based Toxics</w:t>
      </w:r>
      <w:r>
        <w:rPr>
          <w:rFonts w:cs="Times New Roman"/>
          <w:color w:val="000000"/>
          <w:sz w:val="22"/>
          <w:szCs w:val="22"/>
        </w:rPr>
        <w:t xml:space="preserve"> (EPA March 1991).  </w:t>
      </w:r>
      <w:r w:rsidRPr="00772F91">
        <w:rPr>
          <w:rFonts w:cs="Times New Roman"/>
          <w:sz w:val="22"/>
          <w:szCs w:val="22"/>
        </w:rPr>
        <w:t>Attachment</w:t>
      </w:r>
      <w:r w:rsidR="00F0558B">
        <w:rPr>
          <w:rFonts w:cs="Times New Roman"/>
          <w:sz w:val="22"/>
          <w:szCs w:val="22"/>
        </w:rPr>
        <w:t>s</w:t>
      </w:r>
      <w:r w:rsidRPr="00772F91">
        <w:rPr>
          <w:rFonts w:cs="Times New Roman"/>
          <w:sz w:val="22"/>
          <w:szCs w:val="22"/>
        </w:rPr>
        <w:t xml:space="preserve"> C</w:t>
      </w:r>
      <w:r w:rsidR="00F0558B">
        <w:rPr>
          <w:rFonts w:cs="Times New Roman"/>
          <w:sz w:val="22"/>
          <w:szCs w:val="22"/>
        </w:rPr>
        <w:t xml:space="preserve"> &amp; D</w:t>
      </w:r>
      <w:r>
        <w:rPr>
          <w:rFonts w:cs="Times New Roman"/>
          <w:color w:val="000000"/>
          <w:sz w:val="22"/>
          <w:szCs w:val="22"/>
        </w:rPr>
        <w:t xml:space="preserve"> include the spreadsheet</w:t>
      </w:r>
      <w:r w:rsidR="00F0558B">
        <w:rPr>
          <w:rFonts w:cs="Times New Roman"/>
          <w:color w:val="000000"/>
          <w:sz w:val="22"/>
          <w:szCs w:val="22"/>
        </w:rPr>
        <w:t>s</w:t>
      </w:r>
      <w:r>
        <w:rPr>
          <w:rFonts w:cs="Times New Roman"/>
          <w:color w:val="000000"/>
          <w:sz w:val="22"/>
          <w:szCs w:val="22"/>
        </w:rPr>
        <w:t xml:space="preserve"> that calculate the effluent limits for these parameters.  </w:t>
      </w:r>
      <w:r w:rsidR="00D87098">
        <w:rPr>
          <w:rFonts w:cs="Times New Roman"/>
          <w:color w:val="000000"/>
          <w:sz w:val="22"/>
          <w:szCs w:val="22"/>
        </w:rPr>
        <w:t>The calculated effluent limits, with the exception of the limits for total cyanide, are listed in Table 7, below</w:t>
      </w:r>
      <w:r w:rsidR="00D14681">
        <w:rPr>
          <w:rFonts w:cs="Times New Roman"/>
          <w:color w:val="000000"/>
          <w:sz w:val="22"/>
          <w:szCs w:val="22"/>
        </w:rPr>
        <w:t>.</w:t>
      </w:r>
      <w:r w:rsidR="00D14681" w:rsidRPr="00D14681">
        <w:rPr>
          <w:rFonts w:cs="Times New Roman"/>
          <w:color w:val="000000"/>
          <w:sz w:val="22"/>
          <w:szCs w:val="22"/>
        </w:rPr>
        <w:t xml:space="preserve"> </w:t>
      </w:r>
      <w:r w:rsidR="00C57EB6">
        <w:rPr>
          <w:rFonts w:cs="Times New Roman"/>
          <w:color w:val="000000"/>
          <w:sz w:val="22"/>
          <w:szCs w:val="22"/>
        </w:rPr>
        <w:t>(</w:t>
      </w:r>
      <w:r w:rsidR="00D14681">
        <w:rPr>
          <w:rFonts w:cs="Times New Roman"/>
          <w:color w:val="000000"/>
          <w:sz w:val="22"/>
          <w:szCs w:val="22"/>
        </w:rPr>
        <w:t>Total cyanide is discussed in the following section.</w:t>
      </w:r>
      <w:r w:rsidR="00C57EB6">
        <w:rPr>
          <w:rFonts w:cs="Times New Roman"/>
          <w:color w:val="000000"/>
          <w:sz w:val="22"/>
          <w:szCs w:val="22"/>
        </w:rPr>
        <w:t>)  It should be noted that several of these calculated limits are well below the ability of approved wastewater analytic methods to quantify.</w:t>
      </w:r>
      <w:r w:rsidR="00212CD6">
        <w:rPr>
          <w:rFonts w:cs="Times New Roman"/>
          <w:color w:val="000000"/>
          <w:sz w:val="22"/>
          <w:szCs w:val="22"/>
        </w:rPr>
        <w:t xml:space="preserve">  This issue is addressed in Section 6.2, below.</w:t>
      </w:r>
    </w:p>
    <w:p w:rsidR="00902B7C" w:rsidRDefault="00902B7C">
      <w:pPr>
        <w:tabs>
          <w:tab w:val="left" w:pos="-720"/>
          <w:tab w:val="left" w:pos="342"/>
          <w:tab w:val="left" w:pos="720"/>
          <w:tab w:val="left" w:leader="dot" w:pos="8550"/>
        </w:tabs>
        <w:suppressAutoHyphens/>
        <w:ind w:left="-18" w:right="36"/>
        <w:rPr>
          <w:rFonts w:cs="Times New Roman"/>
          <w:color w:val="000000"/>
          <w:sz w:val="20"/>
          <w:szCs w:val="20"/>
        </w:rPr>
      </w:pPr>
    </w:p>
    <w:tbl>
      <w:tblPr>
        <w:tblpPr w:leftFromText="180" w:rightFromText="180" w:vertAnchor="text" w:tblpXSpec="center" w:tblpY="1"/>
        <w:tblOverlap w:val="never"/>
        <w:tblW w:w="6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0"/>
        <w:gridCol w:w="2224"/>
        <w:gridCol w:w="2323"/>
      </w:tblGrid>
      <w:tr w:rsidR="0027683C" w:rsidTr="00902B7C">
        <w:tc>
          <w:tcPr>
            <w:tcW w:w="6987" w:type="dxa"/>
            <w:gridSpan w:val="3"/>
            <w:tcBorders>
              <w:bottom w:val="single" w:sz="4" w:space="0" w:color="auto"/>
            </w:tcBorders>
            <w:shd w:val="clear" w:color="auto" w:fill="D9D9D9"/>
          </w:tcPr>
          <w:p w:rsidR="0027683C" w:rsidRDefault="0027683C" w:rsidP="00B85451">
            <w:pPr>
              <w:spacing w:before="80" w:after="80"/>
              <w:jc w:val="center"/>
              <w:rPr>
                <w:rFonts w:ascii="Arial" w:hAnsi="Arial" w:cs="Arial"/>
                <w:b/>
                <w:bCs/>
              </w:rPr>
            </w:pPr>
            <w:r>
              <w:rPr>
                <w:rFonts w:ascii="Arial" w:hAnsi="Arial" w:cs="Arial"/>
                <w:b/>
                <w:bCs/>
                <w:sz w:val="22"/>
                <w:szCs w:val="22"/>
              </w:rPr>
              <w:t xml:space="preserve">Table 7: </w:t>
            </w:r>
            <w:r w:rsidR="00C57EB6">
              <w:rPr>
                <w:rFonts w:ascii="Arial" w:hAnsi="Arial" w:cs="Arial"/>
                <w:b/>
                <w:bCs/>
                <w:sz w:val="22"/>
                <w:szCs w:val="22"/>
              </w:rPr>
              <w:t>Calculated</w:t>
            </w:r>
            <w:r>
              <w:rPr>
                <w:rFonts w:ascii="Arial" w:hAnsi="Arial" w:cs="Arial"/>
                <w:b/>
                <w:bCs/>
                <w:sz w:val="22"/>
                <w:szCs w:val="22"/>
              </w:rPr>
              <w:t xml:space="preserve"> Toxics Effluent Limit</w:t>
            </w:r>
            <w:r w:rsidR="00B85451">
              <w:rPr>
                <w:rFonts w:ascii="Arial" w:hAnsi="Arial" w:cs="Arial"/>
                <w:b/>
                <w:bCs/>
                <w:sz w:val="22"/>
                <w:szCs w:val="22"/>
              </w:rPr>
              <w:t>s</w:t>
            </w:r>
          </w:p>
        </w:tc>
      </w:tr>
      <w:tr w:rsidR="0027683C" w:rsidTr="00902B7C">
        <w:tc>
          <w:tcPr>
            <w:tcW w:w="2440" w:type="dxa"/>
            <w:tcBorders>
              <w:top w:val="single" w:sz="4" w:space="0" w:color="auto"/>
              <w:right w:val="nil"/>
            </w:tcBorders>
            <w:shd w:val="clear" w:color="auto" w:fill="D9D9D9"/>
          </w:tcPr>
          <w:p w:rsidR="0027683C" w:rsidRDefault="0027683C">
            <w:pPr>
              <w:spacing w:before="80" w:after="80"/>
              <w:jc w:val="center"/>
              <w:rPr>
                <w:rFonts w:ascii="Arial" w:hAnsi="Arial" w:cs="Arial"/>
                <w:b/>
                <w:bCs/>
                <w:sz w:val="20"/>
                <w:szCs w:val="20"/>
                <w:u w:val="single"/>
              </w:rPr>
            </w:pPr>
            <w:r>
              <w:rPr>
                <w:rFonts w:ascii="Arial" w:hAnsi="Arial" w:cs="Arial"/>
                <w:b/>
                <w:bCs/>
                <w:sz w:val="20"/>
                <w:szCs w:val="20"/>
                <w:u w:val="single"/>
              </w:rPr>
              <w:t>Parameter</w:t>
            </w:r>
          </w:p>
        </w:tc>
        <w:tc>
          <w:tcPr>
            <w:tcW w:w="2224" w:type="dxa"/>
            <w:tcBorders>
              <w:top w:val="single" w:sz="4" w:space="0" w:color="auto"/>
              <w:left w:val="nil"/>
              <w:right w:val="nil"/>
            </w:tcBorders>
            <w:shd w:val="clear" w:color="auto" w:fill="D9D9D9"/>
          </w:tcPr>
          <w:p w:rsidR="0027683C" w:rsidRDefault="0027683C" w:rsidP="004C0693">
            <w:pPr>
              <w:spacing w:before="80" w:after="80"/>
              <w:jc w:val="center"/>
              <w:rPr>
                <w:rFonts w:ascii="Arial" w:hAnsi="Arial" w:cs="Arial"/>
                <w:b/>
                <w:bCs/>
                <w:sz w:val="20"/>
                <w:szCs w:val="20"/>
                <w:u w:val="single"/>
              </w:rPr>
            </w:pPr>
            <w:r>
              <w:rPr>
                <w:rFonts w:ascii="Arial" w:hAnsi="Arial" w:cs="Arial"/>
                <w:b/>
                <w:bCs/>
                <w:sz w:val="20"/>
                <w:szCs w:val="20"/>
                <w:u w:val="single"/>
              </w:rPr>
              <w:t>Monthly Ave. (</w:t>
            </w:r>
            <w:r w:rsidR="004C0693">
              <w:rPr>
                <w:rFonts w:ascii="Arial" w:hAnsi="Arial" w:cs="Arial"/>
                <w:b/>
                <w:bCs/>
                <w:sz w:val="20"/>
                <w:szCs w:val="20"/>
                <w:u w:val="single"/>
              </w:rPr>
              <w:t>µ</w:t>
            </w:r>
            <w:r>
              <w:rPr>
                <w:rFonts w:ascii="Arial" w:hAnsi="Arial" w:cs="Arial"/>
                <w:b/>
                <w:bCs/>
                <w:sz w:val="20"/>
                <w:szCs w:val="20"/>
                <w:u w:val="single"/>
              </w:rPr>
              <w:t>g/L)</w:t>
            </w:r>
          </w:p>
        </w:tc>
        <w:tc>
          <w:tcPr>
            <w:tcW w:w="2323" w:type="dxa"/>
            <w:tcBorders>
              <w:top w:val="single" w:sz="4" w:space="0" w:color="auto"/>
              <w:left w:val="nil"/>
            </w:tcBorders>
            <w:shd w:val="clear" w:color="auto" w:fill="D9D9D9"/>
          </w:tcPr>
          <w:p w:rsidR="0027683C" w:rsidRDefault="0027683C">
            <w:pPr>
              <w:spacing w:before="80" w:after="80"/>
              <w:jc w:val="center"/>
              <w:rPr>
                <w:rFonts w:ascii="Arial" w:hAnsi="Arial" w:cs="Arial"/>
                <w:b/>
                <w:bCs/>
                <w:sz w:val="20"/>
                <w:szCs w:val="20"/>
                <w:u w:val="single"/>
              </w:rPr>
            </w:pPr>
            <w:r>
              <w:rPr>
                <w:rFonts w:ascii="Arial" w:hAnsi="Arial" w:cs="Arial"/>
                <w:b/>
                <w:bCs/>
                <w:sz w:val="20"/>
                <w:szCs w:val="20"/>
                <w:u w:val="single"/>
              </w:rPr>
              <w:t>Daily Max (</w:t>
            </w:r>
            <w:r w:rsidR="004C0693">
              <w:rPr>
                <w:rFonts w:ascii="Arial" w:hAnsi="Arial" w:cs="Arial"/>
                <w:b/>
                <w:bCs/>
                <w:sz w:val="20"/>
                <w:szCs w:val="20"/>
                <w:u w:val="single"/>
              </w:rPr>
              <w:t>µ</w:t>
            </w:r>
            <w:r>
              <w:rPr>
                <w:rFonts w:ascii="Arial" w:hAnsi="Arial" w:cs="Arial"/>
                <w:b/>
                <w:bCs/>
                <w:sz w:val="20"/>
                <w:szCs w:val="20"/>
                <w:u w:val="single"/>
              </w:rPr>
              <w:t>g/L)</w:t>
            </w:r>
          </w:p>
        </w:tc>
      </w:tr>
      <w:tr w:rsidR="0027683C" w:rsidTr="006943FB">
        <w:tc>
          <w:tcPr>
            <w:tcW w:w="2440" w:type="dxa"/>
          </w:tcPr>
          <w:p w:rsidR="0027683C" w:rsidRDefault="0027683C">
            <w:pPr>
              <w:spacing w:before="40" w:after="40"/>
              <w:jc w:val="center"/>
              <w:rPr>
                <w:rFonts w:ascii="Arial" w:hAnsi="Arial" w:cs="Arial"/>
                <w:snapToGrid w:val="0"/>
                <w:color w:val="000000"/>
                <w:sz w:val="20"/>
                <w:szCs w:val="20"/>
              </w:rPr>
            </w:pPr>
            <w:r>
              <w:rPr>
                <w:rFonts w:ascii="Arial" w:hAnsi="Arial" w:cs="Arial"/>
                <w:color w:val="000000"/>
                <w:sz w:val="20"/>
                <w:szCs w:val="20"/>
              </w:rPr>
              <w:t>Benzo(a)anthracene</w:t>
            </w:r>
          </w:p>
        </w:tc>
        <w:tc>
          <w:tcPr>
            <w:tcW w:w="2224" w:type="dxa"/>
          </w:tcPr>
          <w:p w:rsidR="0027683C" w:rsidRDefault="0027683C">
            <w:pPr>
              <w:spacing w:before="40" w:after="40"/>
              <w:jc w:val="center"/>
              <w:rPr>
                <w:rFonts w:ascii="Arial" w:hAnsi="Arial" w:cs="Arial"/>
                <w:snapToGrid w:val="0"/>
                <w:color w:val="000000"/>
                <w:sz w:val="20"/>
                <w:szCs w:val="20"/>
              </w:rPr>
            </w:pPr>
            <w:r>
              <w:rPr>
                <w:rFonts w:ascii="Arial" w:hAnsi="Arial" w:cs="Arial"/>
                <w:snapToGrid w:val="0"/>
                <w:color w:val="000000"/>
                <w:sz w:val="20"/>
                <w:szCs w:val="20"/>
              </w:rPr>
              <w:t>0.0038</w:t>
            </w:r>
          </w:p>
        </w:tc>
        <w:tc>
          <w:tcPr>
            <w:tcW w:w="2323" w:type="dxa"/>
          </w:tcPr>
          <w:p w:rsidR="0027683C" w:rsidRDefault="0047220F">
            <w:pPr>
              <w:spacing w:before="40" w:after="40"/>
              <w:jc w:val="center"/>
              <w:rPr>
                <w:rFonts w:ascii="Arial" w:hAnsi="Arial" w:cs="Arial"/>
                <w:snapToGrid w:val="0"/>
                <w:color w:val="000000"/>
                <w:sz w:val="20"/>
                <w:szCs w:val="20"/>
              </w:rPr>
            </w:pPr>
            <w:r>
              <w:rPr>
                <w:rFonts w:ascii="Arial" w:hAnsi="Arial" w:cs="Arial"/>
                <w:snapToGrid w:val="0"/>
                <w:color w:val="000000"/>
                <w:sz w:val="20"/>
                <w:szCs w:val="20"/>
              </w:rPr>
              <w:t>0.007</w:t>
            </w:r>
            <w:r w:rsidR="0027683C">
              <w:rPr>
                <w:rFonts w:ascii="Arial" w:hAnsi="Arial" w:cs="Arial"/>
                <w:snapToGrid w:val="0"/>
                <w:color w:val="000000"/>
                <w:sz w:val="20"/>
                <w:szCs w:val="20"/>
              </w:rPr>
              <w:t>6</w:t>
            </w:r>
          </w:p>
        </w:tc>
      </w:tr>
      <w:tr w:rsidR="0027683C" w:rsidTr="006943FB">
        <w:tc>
          <w:tcPr>
            <w:tcW w:w="2440" w:type="dxa"/>
          </w:tcPr>
          <w:p w:rsidR="0027683C" w:rsidRDefault="0027683C">
            <w:pPr>
              <w:spacing w:before="40" w:after="40"/>
              <w:jc w:val="center"/>
              <w:rPr>
                <w:rFonts w:ascii="Arial" w:hAnsi="Arial" w:cs="Arial"/>
                <w:snapToGrid w:val="0"/>
                <w:color w:val="000000"/>
                <w:sz w:val="20"/>
                <w:szCs w:val="20"/>
              </w:rPr>
            </w:pPr>
            <w:r>
              <w:rPr>
                <w:rFonts w:ascii="Arial" w:hAnsi="Arial" w:cs="Arial"/>
                <w:color w:val="000000"/>
                <w:sz w:val="20"/>
                <w:szCs w:val="20"/>
              </w:rPr>
              <w:t>Benzo(a)pyrene</w:t>
            </w:r>
          </w:p>
        </w:tc>
        <w:tc>
          <w:tcPr>
            <w:tcW w:w="2224" w:type="dxa"/>
          </w:tcPr>
          <w:p w:rsidR="0027683C" w:rsidRDefault="0027683C">
            <w:pPr>
              <w:spacing w:before="40" w:after="40"/>
              <w:jc w:val="center"/>
              <w:rPr>
                <w:rFonts w:ascii="Arial" w:hAnsi="Arial" w:cs="Arial"/>
                <w:snapToGrid w:val="0"/>
                <w:color w:val="000000"/>
                <w:sz w:val="20"/>
                <w:szCs w:val="20"/>
              </w:rPr>
            </w:pPr>
            <w:r>
              <w:rPr>
                <w:rFonts w:ascii="Arial" w:hAnsi="Arial" w:cs="Arial"/>
                <w:snapToGrid w:val="0"/>
                <w:color w:val="000000"/>
                <w:sz w:val="20"/>
                <w:szCs w:val="20"/>
              </w:rPr>
              <w:t>0.0038</w:t>
            </w:r>
          </w:p>
        </w:tc>
        <w:tc>
          <w:tcPr>
            <w:tcW w:w="2323" w:type="dxa"/>
          </w:tcPr>
          <w:p w:rsidR="0027683C" w:rsidRDefault="0047220F">
            <w:pPr>
              <w:spacing w:before="40" w:after="40"/>
              <w:jc w:val="center"/>
              <w:rPr>
                <w:rFonts w:ascii="Arial" w:hAnsi="Arial" w:cs="Arial"/>
                <w:snapToGrid w:val="0"/>
                <w:color w:val="000000"/>
                <w:sz w:val="20"/>
                <w:szCs w:val="20"/>
              </w:rPr>
            </w:pPr>
            <w:r>
              <w:rPr>
                <w:rFonts w:ascii="Arial" w:hAnsi="Arial" w:cs="Arial"/>
                <w:snapToGrid w:val="0"/>
                <w:color w:val="000000"/>
                <w:sz w:val="20"/>
                <w:szCs w:val="20"/>
              </w:rPr>
              <w:t>0.007</w:t>
            </w:r>
            <w:r w:rsidR="0027683C">
              <w:rPr>
                <w:rFonts w:ascii="Arial" w:hAnsi="Arial" w:cs="Arial"/>
                <w:snapToGrid w:val="0"/>
                <w:color w:val="000000"/>
                <w:sz w:val="20"/>
                <w:szCs w:val="20"/>
              </w:rPr>
              <w:t>6</w:t>
            </w:r>
          </w:p>
        </w:tc>
      </w:tr>
      <w:tr w:rsidR="0027683C" w:rsidTr="006943FB">
        <w:tc>
          <w:tcPr>
            <w:tcW w:w="2440" w:type="dxa"/>
          </w:tcPr>
          <w:p w:rsidR="0027683C" w:rsidRDefault="0027683C">
            <w:pPr>
              <w:spacing w:before="40" w:after="40"/>
              <w:jc w:val="center"/>
              <w:rPr>
                <w:rFonts w:ascii="Arial" w:hAnsi="Arial" w:cs="Arial"/>
                <w:snapToGrid w:val="0"/>
                <w:color w:val="000000"/>
                <w:sz w:val="20"/>
                <w:szCs w:val="20"/>
              </w:rPr>
            </w:pPr>
            <w:r>
              <w:rPr>
                <w:rFonts w:ascii="Arial" w:hAnsi="Arial" w:cs="Arial"/>
                <w:color w:val="000000"/>
                <w:sz w:val="20"/>
                <w:szCs w:val="20"/>
              </w:rPr>
              <w:t>Copper</w:t>
            </w:r>
          </w:p>
        </w:tc>
        <w:tc>
          <w:tcPr>
            <w:tcW w:w="2224" w:type="dxa"/>
          </w:tcPr>
          <w:p w:rsidR="0027683C" w:rsidRPr="003C55D9" w:rsidRDefault="003C55D9">
            <w:pPr>
              <w:pStyle w:val="TableBody"/>
              <w:keepNext/>
              <w:spacing w:before="40" w:after="40"/>
              <w:rPr>
                <w:sz w:val="20"/>
                <w:szCs w:val="20"/>
              </w:rPr>
            </w:pPr>
            <w:r w:rsidRPr="003C55D9">
              <w:rPr>
                <w:sz w:val="20"/>
                <w:szCs w:val="20"/>
              </w:rPr>
              <w:t>15</w:t>
            </w:r>
          </w:p>
        </w:tc>
        <w:tc>
          <w:tcPr>
            <w:tcW w:w="2323" w:type="dxa"/>
          </w:tcPr>
          <w:p w:rsidR="0027683C" w:rsidRDefault="003C55D9">
            <w:pPr>
              <w:pStyle w:val="TableBody"/>
              <w:keepNext/>
              <w:spacing w:before="40" w:after="40"/>
              <w:rPr>
                <w:sz w:val="20"/>
                <w:szCs w:val="20"/>
              </w:rPr>
            </w:pPr>
            <w:r>
              <w:rPr>
                <w:sz w:val="20"/>
                <w:szCs w:val="20"/>
              </w:rPr>
              <w:t>30</w:t>
            </w:r>
          </w:p>
        </w:tc>
      </w:tr>
      <w:tr w:rsidR="0027683C" w:rsidTr="006943FB">
        <w:tc>
          <w:tcPr>
            <w:tcW w:w="2440" w:type="dxa"/>
          </w:tcPr>
          <w:p w:rsidR="0027683C" w:rsidRDefault="0027683C">
            <w:pPr>
              <w:spacing w:before="40" w:after="40"/>
              <w:jc w:val="center"/>
              <w:rPr>
                <w:rFonts w:ascii="Arial" w:hAnsi="Arial" w:cs="Arial"/>
                <w:snapToGrid w:val="0"/>
                <w:color w:val="000000"/>
                <w:sz w:val="20"/>
                <w:szCs w:val="20"/>
              </w:rPr>
            </w:pPr>
            <w:r>
              <w:rPr>
                <w:rFonts w:ascii="Arial" w:hAnsi="Arial" w:cs="Arial"/>
                <w:color w:val="000000"/>
                <w:sz w:val="20"/>
                <w:szCs w:val="20"/>
              </w:rPr>
              <w:t>Dibenzo(a,h)anthracene</w:t>
            </w:r>
          </w:p>
        </w:tc>
        <w:tc>
          <w:tcPr>
            <w:tcW w:w="2224" w:type="dxa"/>
          </w:tcPr>
          <w:p w:rsidR="0027683C" w:rsidRDefault="0027683C">
            <w:pPr>
              <w:spacing w:before="40" w:after="40"/>
              <w:jc w:val="center"/>
              <w:rPr>
                <w:rFonts w:ascii="Arial" w:hAnsi="Arial" w:cs="Arial"/>
                <w:snapToGrid w:val="0"/>
                <w:color w:val="000000"/>
                <w:sz w:val="20"/>
                <w:szCs w:val="20"/>
              </w:rPr>
            </w:pPr>
            <w:r>
              <w:rPr>
                <w:rFonts w:ascii="Arial" w:hAnsi="Arial" w:cs="Arial"/>
                <w:snapToGrid w:val="0"/>
                <w:color w:val="000000"/>
                <w:sz w:val="20"/>
                <w:szCs w:val="20"/>
              </w:rPr>
              <w:t>0.0038</w:t>
            </w:r>
          </w:p>
        </w:tc>
        <w:tc>
          <w:tcPr>
            <w:tcW w:w="2323" w:type="dxa"/>
          </w:tcPr>
          <w:p w:rsidR="0027683C" w:rsidRDefault="0047220F">
            <w:pPr>
              <w:spacing w:before="40" w:after="40"/>
              <w:jc w:val="center"/>
              <w:rPr>
                <w:rFonts w:ascii="Arial" w:hAnsi="Arial" w:cs="Arial"/>
                <w:snapToGrid w:val="0"/>
                <w:color w:val="000000"/>
                <w:sz w:val="20"/>
                <w:szCs w:val="20"/>
              </w:rPr>
            </w:pPr>
            <w:r>
              <w:rPr>
                <w:rFonts w:ascii="Arial" w:hAnsi="Arial" w:cs="Arial"/>
                <w:snapToGrid w:val="0"/>
                <w:color w:val="000000"/>
                <w:sz w:val="20"/>
                <w:szCs w:val="20"/>
              </w:rPr>
              <w:t>0.007</w:t>
            </w:r>
            <w:r w:rsidR="0027683C">
              <w:rPr>
                <w:rFonts w:ascii="Arial" w:hAnsi="Arial" w:cs="Arial"/>
                <w:snapToGrid w:val="0"/>
                <w:color w:val="000000"/>
                <w:sz w:val="20"/>
                <w:szCs w:val="20"/>
              </w:rPr>
              <w:t>6</w:t>
            </w:r>
          </w:p>
        </w:tc>
      </w:tr>
      <w:tr w:rsidR="0027683C" w:rsidTr="006943FB">
        <w:tc>
          <w:tcPr>
            <w:tcW w:w="2440" w:type="dxa"/>
          </w:tcPr>
          <w:p w:rsidR="0027683C" w:rsidRDefault="0027683C" w:rsidP="006943FB">
            <w:pPr>
              <w:spacing w:before="40" w:after="40"/>
              <w:jc w:val="center"/>
              <w:rPr>
                <w:rFonts w:ascii="Arial" w:hAnsi="Arial" w:cs="Arial"/>
                <w:snapToGrid w:val="0"/>
                <w:color w:val="000000"/>
                <w:sz w:val="20"/>
                <w:szCs w:val="20"/>
              </w:rPr>
            </w:pPr>
            <w:r>
              <w:rPr>
                <w:rFonts w:ascii="Arial" w:hAnsi="Arial" w:cs="Arial"/>
                <w:color w:val="000000"/>
                <w:sz w:val="20"/>
                <w:szCs w:val="20"/>
              </w:rPr>
              <w:t>Indeno(1,2,3-cd)pyrene</w:t>
            </w:r>
          </w:p>
        </w:tc>
        <w:tc>
          <w:tcPr>
            <w:tcW w:w="2224" w:type="dxa"/>
          </w:tcPr>
          <w:p w:rsidR="0027683C" w:rsidRDefault="0027683C">
            <w:pPr>
              <w:spacing w:before="40" w:after="40"/>
              <w:jc w:val="center"/>
              <w:rPr>
                <w:rFonts w:ascii="Arial" w:hAnsi="Arial" w:cs="Arial"/>
                <w:snapToGrid w:val="0"/>
                <w:color w:val="000000"/>
                <w:sz w:val="20"/>
                <w:szCs w:val="20"/>
              </w:rPr>
            </w:pPr>
            <w:r>
              <w:rPr>
                <w:rFonts w:ascii="Arial" w:hAnsi="Arial" w:cs="Arial"/>
                <w:snapToGrid w:val="0"/>
                <w:color w:val="000000"/>
                <w:sz w:val="20"/>
                <w:szCs w:val="20"/>
              </w:rPr>
              <w:t>0.0038</w:t>
            </w:r>
          </w:p>
        </w:tc>
        <w:tc>
          <w:tcPr>
            <w:tcW w:w="2323" w:type="dxa"/>
          </w:tcPr>
          <w:p w:rsidR="0027683C" w:rsidRDefault="0047220F">
            <w:pPr>
              <w:spacing w:before="40" w:after="40"/>
              <w:jc w:val="center"/>
              <w:rPr>
                <w:rFonts w:ascii="Arial" w:hAnsi="Arial" w:cs="Arial"/>
                <w:snapToGrid w:val="0"/>
                <w:color w:val="000000"/>
                <w:sz w:val="20"/>
                <w:szCs w:val="20"/>
              </w:rPr>
            </w:pPr>
            <w:r>
              <w:rPr>
                <w:rFonts w:ascii="Arial" w:hAnsi="Arial" w:cs="Arial"/>
                <w:snapToGrid w:val="0"/>
                <w:color w:val="000000"/>
                <w:sz w:val="20"/>
                <w:szCs w:val="20"/>
              </w:rPr>
              <w:t>0.007</w:t>
            </w:r>
            <w:r w:rsidR="0027683C">
              <w:rPr>
                <w:rFonts w:ascii="Arial" w:hAnsi="Arial" w:cs="Arial"/>
                <w:snapToGrid w:val="0"/>
                <w:color w:val="000000"/>
                <w:sz w:val="20"/>
                <w:szCs w:val="20"/>
              </w:rPr>
              <w:t>6</w:t>
            </w:r>
          </w:p>
        </w:tc>
      </w:tr>
      <w:tr w:rsidR="0027683C" w:rsidTr="006943FB">
        <w:tc>
          <w:tcPr>
            <w:tcW w:w="2440" w:type="dxa"/>
          </w:tcPr>
          <w:p w:rsidR="0027683C" w:rsidRDefault="0027683C">
            <w:pPr>
              <w:spacing w:before="40" w:after="40"/>
              <w:jc w:val="center"/>
              <w:rPr>
                <w:rFonts w:ascii="Arial" w:hAnsi="Arial" w:cs="Arial"/>
                <w:snapToGrid w:val="0"/>
                <w:color w:val="000000"/>
                <w:sz w:val="20"/>
                <w:szCs w:val="20"/>
              </w:rPr>
            </w:pPr>
            <w:r>
              <w:rPr>
                <w:rFonts w:ascii="Arial" w:hAnsi="Arial" w:cs="Arial"/>
                <w:color w:val="000000"/>
                <w:sz w:val="20"/>
                <w:szCs w:val="20"/>
              </w:rPr>
              <w:t>Iron</w:t>
            </w:r>
          </w:p>
        </w:tc>
        <w:tc>
          <w:tcPr>
            <w:tcW w:w="2224" w:type="dxa"/>
          </w:tcPr>
          <w:p w:rsidR="0027683C" w:rsidRDefault="0047220F">
            <w:pPr>
              <w:pStyle w:val="TableBody"/>
              <w:keepNext/>
              <w:spacing w:before="40" w:after="40"/>
              <w:rPr>
                <w:sz w:val="20"/>
                <w:szCs w:val="20"/>
              </w:rPr>
            </w:pPr>
            <w:r>
              <w:rPr>
                <w:sz w:val="20"/>
                <w:szCs w:val="20"/>
              </w:rPr>
              <w:t>820</w:t>
            </w:r>
          </w:p>
        </w:tc>
        <w:tc>
          <w:tcPr>
            <w:tcW w:w="2323" w:type="dxa"/>
          </w:tcPr>
          <w:p w:rsidR="0027683C" w:rsidRDefault="0027683C">
            <w:pPr>
              <w:pStyle w:val="TableBody"/>
              <w:keepNext/>
              <w:spacing w:before="40" w:after="40"/>
              <w:rPr>
                <w:sz w:val="20"/>
                <w:szCs w:val="20"/>
              </w:rPr>
            </w:pPr>
            <w:r>
              <w:rPr>
                <w:sz w:val="20"/>
                <w:szCs w:val="20"/>
              </w:rPr>
              <w:t>1600</w:t>
            </w:r>
          </w:p>
        </w:tc>
      </w:tr>
      <w:tr w:rsidR="0027683C" w:rsidTr="006943FB">
        <w:tc>
          <w:tcPr>
            <w:tcW w:w="2440" w:type="dxa"/>
          </w:tcPr>
          <w:p w:rsidR="0027683C" w:rsidRDefault="0027683C">
            <w:pPr>
              <w:spacing w:before="40" w:after="40"/>
              <w:jc w:val="center"/>
              <w:rPr>
                <w:rFonts w:ascii="Arial" w:hAnsi="Arial" w:cs="Arial"/>
                <w:snapToGrid w:val="0"/>
                <w:color w:val="000000"/>
                <w:sz w:val="20"/>
                <w:szCs w:val="20"/>
              </w:rPr>
            </w:pPr>
            <w:r>
              <w:rPr>
                <w:rFonts w:ascii="Arial" w:hAnsi="Arial" w:cs="Arial"/>
                <w:snapToGrid w:val="0"/>
                <w:color w:val="000000"/>
                <w:sz w:val="20"/>
                <w:szCs w:val="20"/>
              </w:rPr>
              <w:t xml:space="preserve">Lead </w:t>
            </w:r>
          </w:p>
        </w:tc>
        <w:tc>
          <w:tcPr>
            <w:tcW w:w="2224" w:type="dxa"/>
          </w:tcPr>
          <w:p w:rsidR="0027683C" w:rsidRPr="003C55D9" w:rsidRDefault="0047220F" w:rsidP="00A80659">
            <w:pPr>
              <w:pStyle w:val="TableBody"/>
              <w:keepNext/>
              <w:spacing w:before="40" w:after="40"/>
              <w:rPr>
                <w:sz w:val="20"/>
                <w:szCs w:val="20"/>
              </w:rPr>
            </w:pPr>
            <w:r>
              <w:rPr>
                <w:sz w:val="20"/>
                <w:szCs w:val="20"/>
              </w:rPr>
              <w:t>3.</w:t>
            </w:r>
            <w:r w:rsidR="003C55D9" w:rsidRPr="003C55D9">
              <w:rPr>
                <w:sz w:val="20"/>
                <w:szCs w:val="20"/>
              </w:rPr>
              <w:t>8</w:t>
            </w:r>
          </w:p>
        </w:tc>
        <w:tc>
          <w:tcPr>
            <w:tcW w:w="2323" w:type="dxa"/>
          </w:tcPr>
          <w:p w:rsidR="0027683C" w:rsidRDefault="0027683C" w:rsidP="00A80659">
            <w:pPr>
              <w:pStyle w:val="TableBody"/>
              <w:keepNext/>
              <w:spacing w:before="40" w:after="40"/>
              <w:rPr>
                <w:sz w:val="20"/>
                <w:szCs w:val="20"/>
              </w:rPr>
            </w:pPr>
            <w:r>
              <w:rPr>
                <w:sz w:val="20"/>
                <w:szCs w:val="20"/>
              </w:rPr>
              <w:t>7.</w:t>
            </w:r>
            <w:r w:rsidR="003C55D9">
              <w:rPr>
                <w:sz w:val="20"/>
                <w:szCs w:val="20"/>
              </w:rPr>
              <w:t>6</w:t>
            </w:r>
          </w:p>
        </w:tc>
      </w:tr>
      <w:tr w:rsidR="0027683C" w:rsidTr="006943FB">
        <w:tc>
          <w:tcPr>
            <w:tcW w:w="2440" w:type="dxa"/>
          </w:tcPr>
          <w:p w:rsidR="0027683C" w:rsidRDefault="0027683C">
            <w:pPr>
              <w:spacing w:before="40" w:after="40"/>
              <w:jc w:val="center"/>
              <w:rPr>
                <w:rFonts w:ascii="Arial" w:hAnsi="Arial" w:cs="Arial"/>
                <w:snapToGrid w:val="0"/>
                <w:color w:val="000000"/>
                <w:sz w:val="20"/>
                <w:szCs w:val="20"/>
              </w:rPr>
            </w:pPr>
            <w:r>
              <w:rPr>
                <w:rFonts w:ascii="Arial" w:hAnsi="Arial" w:cs="Arial"/>
                <w:snapToGrid w:val="0"/>
                <w:color w:val="000000"/>
                <w:sz w:val="20"/>
                <w:szCs w:val="20"/>
              </w:rPr>
              <w:t>Mercury</w:t>
            </w:r>
          </w:p>
        </w:tc>
        <w:tc>
          <w:tcPr>
            <w:tcW w:w="2224" w:type="dxa"/>
          </w:tcPr>
          <w:p w:rsidR="0027683C" w:rsidRDefault="0047220F">
            <w:pPr>
              <w:pStyle w:val="TableBody"/>
              <w:keepNext/>
              <w:spacing w:before="40" w:after="40"/>
              <w:rPr>
                <w:sz w:val="20"/>
                <w:szCs w:val="20"/>
              </w:rPr>
            </w:pPr>
            <w:r>
              <w:rPr>
                <w:sz w:val="20"/>
                <w:szCs w:val="20"/>
              </w:rPr>
              <w:t>0.01</w:t>
            </w:r>
            <w:r w:rsidR="000978DF">
              <w:rPr>
                <w:sz w:val="20"/>
                <w:szCs w:val="20"/>
              </w:rPr>
              <w:t>0</w:t>
            </w:r>
          </w:p>
        </w:tc>
        <w:tc>
          <w:tcPr>
            <w:tcW w:w="2323" w:type="dxa"/>
          </w:tcPr>
          <w:p w:rsidR="0027683C" w:rsidRDefault="0047220F">
            <w:pPr>
              <w:pStyle w:val="TableBody"/>
              <w:keepNext/>
              <w:spacing w:before="40" w:after="40"/>
              <w:rPr>
                <w:sz w:val="20"/>
                <w:szCs w:val="20"/>
              </w:rPr>
            </w:pPr>
            <w:r>
              <w:rPr>
                <w:sz w:val="20"/>
                <w:szCs w:val="20"/>
              </w:rPr>
              <w:t>0.02</w:t>
            </w:r>
            <w:r w:rsidR="000978DF">
              <w:rPr>
                <w:sz w:val="20"/>
                <w:szCs w:val="20"/>
              </w:rPr>
              <w:t>0</w:t>
            </w:r>
          </w:p>
        </w:tc>
      </w:tr>
    </w:tbl>
    <w:p w:rsidR="006943FB" w:rsidRDefault="0027683C">
      <w:pPr>
        <w:tabs>
          <w:tab w:val="left" w:pos="-720"/>
          <w:tab w:val="left" w:pos="342"/>
          <w:tab w:val="left" w:pos="720"/>
          <w:tab w:val="left" w:leader="dot" w:pos="8550"/>
        </w:tabs>
        <w:suppressAutoHyphens/>
        <w:ind w:left="-18" w:right="36"/>
        <w:jc w:val="center"/>
        <w:rPr>
          <w:rFonts w:ascii="Arial" w:hAnsi="Arial" w:cs="Arial"/>
          <w:color w:val="FF0000"/>
          <w:sz w:val="20"/>
          <w:szCs w:val="20"/>
        </w:rPr>
      </w:pPr>
      <w:r>
        <w:rPr>
          <w:rFonts w:cs="Times New Roman"/>
          <w:color w:val="000000"/>
          <w:sz w:val="22"/>
          <w:szCs w:val="22"/>
        </w:rPr>
        <w:br w:type="textWrapping" w:clear="all"/>
      </w:r>
    </w:p>
    <w:p w:rsidR="003C55D9" w:rsidRPr="003C55D9" w:rsidRDefault="003C55D9" w:rsidP="003C55D9">
      <w:pPr>
        <w:tabs>
          <w:tab w:val="left" w:pos="-720"/>
          <w:tab w:val="left" w:pos="342"/>
          <w:tab w:val="left" w:pos="720"/>
          <w:tab w:val="left" w:leader="dot" w:pos="8550"/>
        </w:tabs>
        <w:suppressAutoHyphens/>
        <w:ind w:left="-18" w:right="36"/>
        <w:jc w:val="left"/>
        <w:rPr>
          <w:rFonts w:cs="Times New Roman"/>
          <w:sz w:val="22"/>
          <w:szCs w:val="22"/>
        </w:rPr>
      </w:pPr>
      <w:r w:rsidRPr="003C55D9">
        <w:rPr>
          <w:rFonts w:cs="Times New Roman"/>
          <w:sz w:val="22"/>
          <w:szCs w:val="22"/>
        </w:rPr>
        <w:t xml:space="preserve">Since the lead water quality criterion is expressed as the dissolved metal, the lead limit presented in Table 7 is also given as the dissolved metal.  Under NPDES permitting regulations, </w:t>
      </w:r>
      <w:r w:rsidR="00B85451">
        <w:rPr>
          <w:rFonts w:cs="Times New Roman"/>
          <w:sz w:val="22"/>
          <w:szCs w:val="22"/>
        </w:rPr>
        <w:t xml:space="preserve">permit </w:t>
      </w:r>
      <w:r w:rsidRPr="003C55D9">
        <w:rPr>
          <w:rFonts w:cs="Times New Roman"/>
          <w:sz w:val="22"/>
          <w:szCs w:val="22"/>
        </w:rPr>
        <w:t>effluent limitation</w:t>
      </w:r>
      <w:r w:rsidR="00B85451">
        <w:rPr>
          <w:rFonts w:cs="Times New Roman"/>
          <w:sz w:val="22"/>
          <w:szCs w:val="22"/>
        </w:rPr>
        <w:t>s</w:t>
      </w:r>
      <w:r w:rsidRPr="003C55D9">
        <w:rPr>
          <w:rFonts w:cs="Times New Roman"/>
          <w:sz w:val="22"/>
          <w:szCs w:val="22"/>
        </w:rPr>
        <w:t xml:space="preserve"> (except in specific instances) are required to be expressed as the total recoverable metal.  </w:t>
      </w:r>
      <w:r w:rsidR="00615FB6">
        <w:rPr>
          <w:rFonts w:cs="Times New Roman"/>
          <w:sz w:val="22"/>
          <w:szCs w:val="22"/>
        </w:rPr>
        <w:t xml:space="preserve">A translator is </w:t>
      </w:r>
      <w:r w:rsidR="007449F4">
        <w:rPr>
          <w:rFonts w:cs="Times New Roman"/>
          <w:sz w:val="22"/>
          <w:szCs w:val="22"/>
        </w:rPr>
        <w:t xml:space="preserve">often used to calculate a total recoverable value from the dissolved value.  For this facility, we lack the necessary data that would allow a site-specific translator to be calculated.    A conservative default translator of “1” was used to develop the total recoverable lead effluent </w:t>
      </w:r>
      <w:r w:rsidR="007449F4" w:rsidRPr="007449F4">
        <w:rPr>
          <w:rFonts w:cs="Times New Roman"/>
          <w:sz w:val="22"/>
          <w:szCs w:val="22"/>
        </w:rPr>
        <w:t xml:space="preserve">limitations of </w:t>
      </w:r>
      <w:proofErr w:type="gramStart"/>
      <w:r w:rsidR="007449F4" w:rsidRPr="007449F4">
        <w:rPr>
          <w:rFonts w:cs="Times New Roman"/>
          <w:sz w:val="22"/>
          <w:szCs w:val="22"/>
        </w:rPr>
        <w:t xml:space="preserve">3.8 </w:t>
      </w:r>
      <w:r w:rsidR="007449F4" w:rsidRPr="007449F4">
        <w:rPr>
          <w:rFonts w:cs="Times New Roman"/>
          <w:bCs/>
          <w:sz w:val="22"/>
          <w:szCs w:val="22"/>
        </w:rPr>
        <w:t>µg/L (monthly average)</w:t>
      </w:r>
      <w:proofErr w:type="gramEnd"/>
      <w:r w:rsidR="007449F4" w:rsidRPr="007449F4">
        <w:rPr>
          <w:rFonts w:cs="Times New Roman"/>
          <w:bCs/>
          <w:sz w:val="22"/>
          <w:szCs w:val="22"/>
        </w:rPr>
        <w:t xml:space="preserve"> and 7.6 µg/L (daily maximum).</w:t>
      </w:r>
    </w:p>
    <w:p w:rsidR="003C55D9" w:rsidRDefault="003C55D9" w:rsidP="003C55D9">
      <w:pPr>
        <w:tabs>
          <w:tab w:val="left" w:pos="-720"/>
          <w:tab w:val="left" w:pos="342"/>
          <w:tab w:val="left" w:pos="720"/>
          <w:tab w:val="left" w:leader="dot" w:pos="8550"/>
        </w:tabs>
        <w:suppressAutoHyphens/>
        <w:ind w:left="-18" w:right="36"/>
        <w:jc w:val="left"/>
        <w:rPr>
          <w:rFonts w:ascii="Arial" w:hAnsi="Arial" w:cs="Arial"/>
          <w:color w:val="FF0000"/>
          <w:sz w:val="20"/>
          <w:szCs w:val="20"/>
        </w:rPr>
      </w:pPr>
      <w:r>
        <w:rPr>
          <w:rFonts w:ascii="Arial" w:hAnsi="Arial" w:cs="Arial"/>
          <w:color w:val="FF0000"/>
          <w:sz w:val="20"/>
          <w:szCs w:val="20"/>
        </w:rPr>
        <w:t xml:space="preserve">  </w:t>
      </w:r>
    </w:p>
    <w:p w:rsidR="0027683C" w:rsidRDefault="00EB1764" w:rsidP="00A43072">
      <w:pPr>
        <w:tabs>
          <w:tab w:val="left" w:pos="-720"/>
          <w:tab w:val="left" w:pos="342"/>
          <w:tab w:val="left" w:pos="720"/>
          <w:tab w:val="left" w:leader="dot" w:pos="8550"/>
        </w:tabs>
        <w:suppressAutoHyphens/>
        <w:ind w:left="-18" w:right="36"/>
        <w:jc w:val="left"/>
        <w:rPr>
          <w:rFonts w:cs="Times New Roman"/>
          <w:color w:val="000000"/>
          <w:sz w:val="22"/>
          <w:szCs w:val="22"/>
          <w:u w:val="single"/>
        </w:rPr>
      </w:pPr>
      <w:r>
        <w:rPr>
          <w:rFonts w:cs="Times New Roman"/>
          <w:color w:val="000000"/>
          <w:sz w:val="22"/>
          <w:szCs w:val="22"/>
          <w:u w:val="single"/>
        </w:rPr>
        <w:t xml:space="preserve">Total </w:t>
      </w:r>
      <w:r w:rsidR="00D14681" w:rsidRPr="00D14681">
        <w:rPr>
          <w:rFonts w:cs="Times New Roman"/>
          <w:color w:val="000000"/>
          <w:sz w:val="22"/>
          <w:szCs w:val="22"/>
          <w:u w:val="single"/>
        </w:rPr>
        <w:t>Cyanide</w:t>
      </w:r>
    </w:p>
    <w:p w:rsidR="00D14681" w:rsidRDefault="00902B7C" w:rsidP="00A43072">
      <w:pPr>
        <w:tabs>
          <w:tab w:val="left" w:pos="-720"/>
          <w:tab w:val="left" w:pos="342"/>
          <w:tab w:val="left" w:pos="720"/>
          <w:tab w:val="left" w:leader="dot" w:pos="8550"/>
        </w:tabs>
        <w:suppressAutoHyphens/>
        <w:spacing w:before="60"/>
        <w:ind w:left="-14" w:right="43"/>
        <w:jc w:val="left"/>
        <w:rPr>
          <w:rFonts w:cs="Times New Roman"/>
          <w:color w:val="000000"/>
          <w:sz w:val="22"/>
          <w:szCs w:val="22"/>
        </w:rPr>
      </w:pPr>
      <w:r>
        <w:rPr>
          <w:rFonts w:cs="Times New Roman"/>
          <w:sz w:val="22"/>
          <w:szCs w:val="22"/>
        </w:rPr>
        <w:t>As discussed in Section 3.4 of this report</w:t>
      </w:r>
      <w:r w:rsidR="00D14681">
        <w:rPr>
          <w:rFonts w:cs="Times New Roman"/>
          <w:color w:val="000000"/>
          <w:sz w:val="22"/>
          <w:szCs w:val="22"/>
        </w:rPr>
        <w:t>, there is the potential that the treated effluent, even after the treatment system has been fully optimized, may no</w:t>
      </w:r>
      <w:r w:rsidR="00772F91">
        <w:rPr>
          <w:rFonts w:cs="Times New Roman"/>
          <w:color w:val="000000"/>
          <w:sz w:val="22"/>
          <w:szCs w:val="22"/>
        </w:rPr>
        <w:t>t be able to consistently meet the</w:t>
      </w:r>
      <w:r w:rsidR="00D14681">
        <w:rPr>
          <w:rFonts w:cs="Times New Roman"/>
          <w:color w:val="000000"/>
          <w:sz w:val="22"/>
          <w:szCs w:val="22"/>
        </w:rPr>
        <w:t xml:space="preserve"> total cyanide limit calculated without a mixing zone.  </w:t>
      </w:r>
      <w:r>
        <w:rPr>
          <w:rFonts w:cs="Times New Roman"/>
          <w:color w:val="000000"/>
          <w:sz w:val="22"/>
          <w:szCs w:val="22"/>
        </w:rPr>
        <w:t xml:space="preserve">The proposed permit includes a </w:t>
      </w:r>
      <w:r w:rsidR="00772F91">
        <w:rPr>
          <w:rFonts w:cs="Times New Roman"/>
          <w:color w:val="000000"/>
          <w:sz w:val="22"/>
          <w:szCs w:val="22"/>
        </w:rPr>
        <w:t xml:space="preserve">conditional </w:t>
      </w:r>
      <w:r>
        <w:rPr>
          <w:rFonts w:cs="Times New Roman"/>
          <w:color w:val="000000"/>
          <w:sz w:val="22"/>
          <w:szCs w:val="22"/>
        </w:rPr>
        <w:t>mixing zone (further discussed in Section 6.2, below).  To account for the dilution occurring within the mixing zone, a second spreadsheet analysis</w:t>
      </w:r>
      <w:r w:rsidR="005F0C24">
        <w:rPr>
          <w:rFonts w:cs="Times New Roman"/>
          <w:color w:val="000000"/>
          <w:sz w:val="22"/>
          <w:szCs w:val="22"/>
        </w:rPr>
        <w:t xml:space="preserve"> (also in </w:t>
      </w:r>
      <w:r w:rsidR="005F0C24" w:rsidRPr="00772F91">
        <w:rPr>
          <w:rFonts w:cs="Times New Roman"/>
          <w:sz w:val="22"/>
          <w:szCs w:val="22"/>
        </w:rPr>
        <w:t xml:space="preserve">Attachment </w:t>
      </w:r>
      <w:r w:rsidR="00F0558B">
        <w:rPr>
          <w:rFonts w:cs="Times New Roman"/>
          <w:sz w:val="22"/>
          <w:szCs w:val="22"/>
        </w:rPr>
        <w:t>D</w:t>
      </w:r>
      <w:r w:rsidR="005F0C24" w:rsidRPr="00772F91">
        <w:rPr>
          <w:rFonts w:cs="Times New Roman"/>
          <w:sz w:val="22"/>
          <w:szCs w:val="22"/>
        </w:rPr>
        <w:t>)</w:t>
      </w:r>
      <w:r>
        <w:rPr>
          <w:rFonts w:cs="Times New Roman"/>
          <w:color w:val="000000"/>
          <w:sz w:val="22"/>
          <w:szCs w:val="22"/>
        </w:rPr>
        <w:t xml:space="preserve"> was utilized to determine the total cyanide limits that would apply when the mixing zone is effective.  The</w:t>
      </w:r>
      <w:r w:rsidR="00212CD6">
        <w:rPr>
          <w:rFonts w:cs="Times New Roman"/>
          <w:color w:val="000000"/>
          <w:sz w:val="22"/>
          <w:szCs w:val="22"/>
        </w:rPr>
        <w:t xml:space="preserve"> total cyanide</w:t>
      </w:r>
      <w:r>
        <w:rPr>
          <w:rFonts w:cs="Times New Roman"/>
          <w:color w:val="000000"/>
          <w:sz w:val="22"/>
          <w:szCs w:val="22"/>
        </w:rPr>
        <w:t xml:space="preserve"> limits </w:t>
      </w:r>
      <w:r w:rsidR="00212CD6">
        <w:rPr>
          <w:rFonts w:cs="Times New Roman"/>
          <w:color w:val="000000"/>
          <w:sz w:val="22"/>
          <w:szCs w:val="22"/>
        </w:rPr>
        <w:t xml:space="preserve">applicable with a mixing zone and without a mixing zone </w:t>
      </w:r>
      <w:r>
        <w:rPr>
          <w:rFonts w:cs="Times New Roman"/>
          <w:color w:val="000000"/>
          <w:sz w:val="22"/>
          <w:szCs w:val="22"/>
        </w:rPr>
        <w:t>are presented below.</w:t>
      </w:r>
    </w:p>
    <w:p w:rsidR="00902B7C" w:rsidRDefault="00902B7C" w:rsidP="00D14681">
      <w:pPr>
        <w:tabs>
          <w:tab w:val="left" w:pos="-720"/>
          <w:tab w:val="left" w:pos="342"/>
          <w:tab w:val="left" w:pos="720"/>
          <w:tab w:val="left" w:leader="dot" w:pos="8550"/>
        </w:tabs>
        <w:suppressAutoHyphens/>
        <w:spacing w:before="60"/>
        <w:ind w:left="-14" w:right="43"/>
        <w:rPr>
          <w:rFonts w:cs="Times New Roman"/>
          <w:color w:val="000000"/>
          <w:sz w:val="22"/>
          <w:szCs w:val="22"/>
        </w:rPr>
      </w:pPr>
    </w:p>
    <w:tbl>
      <w:tblPr>
        <w:tblpPr w:leftFromText="180" w:rightFromText="180" w:vertAnchor="text" w:tblpXSpec="center" w:tblpY="1"/>
        <w:tblOverlap w:val="never"/>
        <w:tblW w:w="6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0"/>
        <w:gridCol w:w="2224"/>
        <w:gridCol w:w="2323"/>
      </w:tblGrid>
      <w:tr w:rsidR="00902B7C" w:rsidTr="00902B7C">
        <w:tc>
          <w:tcPr>
            <w:tcW w:w="6987" w:type="dxa"/>
            <w:gridSpan w:val="3"/>
            <w:tcBorders>
              <w:bottom w:val="single" w:sz="4" w:space="0" w:color="auto"/>
            </w:tcBorders>
            <w:shd w:val="clear" w:color="auto" w:fill="D9D9D9"/>
          </w:tcPr>
          <w:p w:rsidR="00902B7C" w:rsidRDefault="00902B7C" w:rsidP="00B269F6">
            <w:pPr>
              <w:spacing w:before="80" w:after="80"/>
              <w:jc w:val="center"/>
              <w:rPr>
                <w:rFonts w:ascii="Arial" w:hAnsi="Arial" w:cs="Arial"/>
                <w:b/>
                <w:bCs/>
              </w:rPr>
            </w:pPr>
            <w:r>
              <w:rPr>
                <w:rFonts w:ascii="Arial" w:hAnsi="Arial" w:cs="Arial"/>
                <w:b/>
                <w:bCs/>
                <w:sz w:val="22"/>
                <w:szCs w:val="22"/>
              </w:rPr>
              <w:t xml:space="preserve">Table </w:t>
            </w:r>
            <w:r w:rsidR="00B269F6">
              <w:rPr>
                <w:rFonts w:ascii="Arial" w:hAnsi="Arial" w:cs="Arial"/>
                <w:b/>
                <w:bCs/>
                <w:sz w:val="22"/>
                <w:szCs w:val="22"/>
              </w:rPr>
              <w:t>8</w:t>
            </w:r>
            <w:r>
              <w:rPr>
                <w:rFonts w:ascii="Arial" w:hAnsi="Arial" w:cs="Arial"/>
                <w:b/>
                <w:bCs/>
                <w:sz w:val="22"/>
                <w:szCs w:val="22"/>
              </w:rPr>
              <w:t xml:space="preserve">: Calculated </w:t>
            </w:r>
            <w:r w:rsidR="00B269F6">
              <w:rPr>
                <w:rFonts w:ascii="Arial" w:hAnsi="Arial" w:cs="Arial"/>
                <w:b/>
                <w:bCs/>
                <w:sz w:val="22"/>
                <w:szCs w:val="22"/>
              </w:rPr>
              <w:t xml:space="preserve">Total Cyanide </w:t>
            </w:r>
            <w:r>
              <w:rPr>
                <w:rFonts w:ascii="Arial" w:hAnsi="Arial" w:cs="Arial"/>
                <w:b/>
                <w:bCs/>
                <w:sz w:val="22"/>
                <w:szCs w:val="22"/>
              </w:rPr>
              <w:t>Toxics Effluent Limit</w:t>
            </w:r>
            <w:r w:rsidR="00B269F6">
              <w:rPr>
                <w:rFonts w:ascii="Arial" w:hAnsi="Arial" w:cs="Arial"/>
                <w:b/>
                <w:bCs/>
                <w:sz w:val="22"/>
                <w:szCs w:val="22"/>
              </w:rPr>
              <w:t>s</w:t>
            </w:r>
          </w:p>
        </w:tc>
      </w:tr>
      <w:tr w:rsidR="00902B7C" w:rsidTr="00902B7C">
        <w:tc>
          <w:tcPr>
            <w:tcW w:w="2440" w:type="dxa"/>
            <w:tcBorders>
              <w:top w:val="single" w:sz="4" w:space="0" w:color="auto"/>
              <w:right w:val="nil"/>
            </w:tcBorders>
            <w:shd w:val="clear" w:color="auto" w:fill="D9D9D9"/>
          </w:tcPr>
          <w:p w:rsidR="00902B7C" w:rsidRDefault="00902B7C" w:rsidP="00902B7C">
            <w:pPr>
              <w:spacing w:before="80" w:after="80"/>
              <w:jc w:val="center"/>
              <w:rPr>
                <w:rFonts w:ascii="Arial" w:hAnsi="Arial" w:cs="Arial"/>
                <w:b/>
                <w:bCs/>
                <w:sz w:val="20"/>
                <w:szCs w:val="20"/>
                <w:u w:val="single"/>
              </w:rPr>
            </w:pPr>
            <w:r>
              <w:rPr>
                <w:rFonts w:ascii="Arial" w:hAnsi="Arial" w:cs="Arial"/>
                <w:b/>
                <w:bCs/>
                <w:sz w:val="20"/>
                <w:szCs w:val="20"/>
                <w:u w:val="single"/>
              </w:rPr>
              <w:t>Parameter</w:t>
            </w:r>
          </w:p>
        </w:tc>
        <w:tc>
          <w:tcPr>
            <w:tcW w:w="2224" w:type="dxa"/>
            <w:tcBorders>
              <w:top w:val="single" w:sz="4" w:space="0" w:color="auto"/>
              <w:left w:val="nil"/>
              <w:right w:val="nil"/>
            </w:tcBorders>
            <w:shd w:val="clear" w:color="auto" w:fill="D9D9D9"/>
          </w:tcPr>
          <w:p w:rsidR="00902B7C" w:rsidRDefault="00902B7C" w:rsidP="00902B7C">
            <w:pPr>
              <w:spacing w:before="80" w:after="80"/>
              <w:jc w:val="center"/>
              <w:rPr>
                <w:rFonts w:ascii="Arial" w:hAnsi="Arial" w:cs="Arial"/>
                <w:b/>
                <w:bCs/>
                <w:sz w:val="20"/>
                <w:szCs w:val="20"/>
                <w:u w:val="single"/>
              </w:rPr>
            </w:pPr>
            <w:r>
              <w:rPr>
                <w:rFonts w:ascii="Arial" w:hAnsi="Arial" w:cs="Arial"/>
                <w:b/>
                <w:bCs/>
                <w:sz w:val="20"/>
                <w:szCs w:val="20"/>
                <w:u w:val="single"/>
              </w:rPr>
              <w:t>Monthly Ave. (</w:t>
            </w:r>
            <w:r w:rsidR="004C0693">
              <w:rPr>
                <w:rFonts w:ascii="Arial" w:hAnsi="Arial" w:cs="Arial"/>
                <w:b/>
                <w:bCs/>
                <w:sz w:val="20"/>
                <w:szCs w:val="20"/>
                <w:u w:val="single"/>
              </w:rPr>
              <w:t>µ</w:t>
            </w:r>
            <w:r>
              <w:rPr>
                <w:rFonts w:ascii="Arial" w:hAnsi="Arial" w:cs="Arial"/>
                <w:b/>
                <w:bCs/>
                <w:sz w:val="20"/>
                <w:szCs w:val="20"/>
                <w:u w:val="single"/>
              </w:rPr>
              <w:t>g/L)</w:t>
            </w:r>
          </w:p>
        </w:tc>
        <w:tc>
          <w:tcPr>
            <w:tcW w:w="2323" w:type="dxa"/>
            <w:tcBorders>
              <w:top w:val="single" w:sz="4" w:space="0" w:color="auto"/>
              <w:left w:val="nil"/>
            </w:tcBorders>
            <w:shd w:val="clear" w:color="auto" w:fill="D9D9D9"/>
          </w:tcPr>
          <w:p w:rsidR="00902B7C" w:rsidRDefault="00902B7C" w:rsidP="00902B7C">
            <w:pPr>
              <w:spacing w:before="80" w:after="80"/>
              <w:jc w:val="center"/>
              <w:rPr>
                <w:rFonts w:ascii="Arial" w:hAnsi="Arial" w:cs="Arial"/>
                <w:b/>
                <w:bCs/>
                <w:sz w:val="20"/>
                <w:szCs w:val="20"/>
                <w:u w:val="single"/>
              </w:rPr>
            </w:pPr>
            <w:r>
              <w:rPr>
                <w:rFonts w:ascii="Arial" w:hAnsi="Arial" w:cs="Arial"/>
                <w:b/>
                <w:bCs/>
                <w:sz w:val="20"/>
                <w:szCs w:val="20"/>
                <w:u w:val="single"/>
              </w:rPr>
              <w:t>Daily Max (</w:t>
            </w:r>
            <w:r w:rsidR="004C0693">
              <w:rPr>
                <w:rFonts w:ascii="Arial" w:hAnsi="Arial" w:cs="Arial"/>
                <w:b/>
                <w:bCs/>
                <w:sz w:val="20"/>
                <w:szCs w:val="20"/>
                <w:u w:val="single"/>
              </w:rPr>
              <w:t>µ</w:t>
            </w:r>
            <w:r>
              <w:rPr>
                <w:rFonts w:ascii="Arial" w:hAnsi="Arial" w:cs="Arial"/>
                <w:b/>
                <w:bCs/>
                <w:sz w:val="20"/>
                <w:szCs w:val="20"/>
                <w:u w:val="single"/>
              </w:rPr>
              <w:t>g/L)</w:t>
            </w:r>
          </w:p>
        </w:tc>
      </w:tr>
      <w:tr w:rsidR="00B269F6" w:rsidTr="00B269F6">
        <w:tc>
          <w:tcPr>
            <w:tcW w:w="2440" w:type="dxa"/>
            <w:vAlign w:val="center"/>
          </w:tcPr>
          <w:p w:rsidR="00B269F6" w:rsidRPr="00C57EB6" w:rsidRDefault="00B269F6" w:rsidP="00B269F6">
            <w:pPr>
              <w:spacing w:before="40" w:after="40"/>
              <w:ind w:left="-113"/>
              <w:jc w:val="center"/>
              <w:rPr>
                <w:rFonts w:ascii="Arial" w:hAnsi="Arial" w:cs="Arial"/>
                <w:snapToGrid w:val="0"/>
                <w:color w:val="000000" w:themeColor="text1"/>
                <w:sz w:val="20"/>
                <w:szCs w:val="20"/>
              </w:rPr>
            </w:pPr>
            <w:r w:rsidRPr="00C57EB6">
              <w:rPr>
                <w:rFonts w:ascii="Arial" w:hAnsi="Arial" w:cs="Arial"/>
                <w:snapToGrid w:val="0"/>
                <w:color w:val="000000" w:themeColor="text1"/>
                <w:sz w:val="20"/>
                <w:szCs w:val="20"/>
              </w:rPr>
              <w:t>Total Cyanide (</w:t>
            </w:r>
            <w:r>
              <w:rPr>
                <w:rFonts w:ascii="Arial" w:hAnsi="Arial" w:cs="Arial"/>
                <w:snapToGrid w:val="0"/>
                <w:color w:val="000000" w:themeColor="text1"/>
                <w:sz w:val="20"/>
                <w:szCs w:val="20"/>
              </w:rPr>
              <w:t>with Mixing Zone</w:t>
            </w:r>
            <w:r w:rsidRPr="00C57EB6">
              <w:rPr>
                <w:rFonts w:ascii="Arial" w:hAnsi="Arial" w:cs="Arial"/>
                <w:snapToGrid w:val="0"/>
                <w:color w:val="000000" w:themeColor="text1"/>
                <w:sz w:val="20"/>
                <w:szCs w:val="20"/>
              </w:rPr>
              <w:t>)</w:t>
            </w:r>
          </w:p>
        </w:tc>
        <w:tc>
          <w:tcPr>
            <w:tcW w:w="2224" w:type="dxa"/>
            <w:vAlign w:val="center"/>
          </w:tcPr>
          <w:p w:rsidR="00B269F6" w:rsidRPr="00C57EB6" w:rsidRDefault="003808CB" w:rsidP="00B269F6">
            <w:pPr>
              <w:pStyle w:val="TableBody"/>
              <w:keepNext/>
              <w:spacing w:before="40" w:after="40"/>
              <w:rPr>
                <w:sz w:val="20"/>
                <w:szCs w:val="20"/>
              </w:rPr>
            </w:pPr>
            <w:r>
              <w:rPr>
                <w:sz w:val="20"/>
                <w:szCs w:val="20"/>
              </w:rPr>
              <w:t>510</w:t>
            </w:r>
          </w:p>
        </w:tc>
        <w:tc>
          <w:tcPr>
            <w:tcW w:w="2323" w:type="dxa"/>
            <w:vAlign w:val="center"/>
          </w:tcPr>
          <w:p w:rsidR="00B269F6" w:rsidRPr="00C57EB6" w:rsidRDefault="003808CB" w:rsidP="00B269F6">
            <w:pPr>
              <w:pStyle w:val="TableBody"/>
              <w:keepNext/>
              <w:spacing w:before="40" w:after="40"/>
              <w:rPr>
                <w:sz w:val="20"/>
                <w:szCs w:val="20"/>
              </w:rPr>
            </w:pPr>
            <w:r>
              <w:rPr>
                <w:sz w:val="20"/>
                <w:szCs w:val="20"/>
              </w:rPr>
              <w:t>1000</w:t>
            </w:r>
          </w:p>
        </w:tc>
      </w:tr>
      <w:tr w:rsidR="00B269F6" w:rsidTr="00B269F6">
        <w:tc>
          <w:tcPr>
            <w:tcW w:w="2440" w:type="dxa"/>
            <w:vAlign w:val="center"/>
          </w:tcPr>
          <w:p w:rsidR="00B269F6" w:rsidRPr="00C57EB6" w:rsidRDefault="00B269F6" w:rsidP="00B269F6">
            <w:pPr>
              <w:spacing w:before="40" w:after="40"/>
              <w:ind w:left="-113"/>
              <w:jc w:val="center"/>
              <w:rPr>
                <w:rFonts w:ascii="Arial" w:hAnsi="Arial" w:cs="Arial"/>
                <w:snapToGrid w:val="0"/>
                <w:color w:val="000000" w:themeColor="text1"/>
                <w:sz w:val="20"/>
                <w:szCs w:val="20"/>
              </w:rPr>
            </w:pPr>
            <w:r w:rsidRPr="00C57EB6">
              <w:rPr>
                <w:rFonts w:ascii="Arial" w:hAnsi="Arial" w:cs="Arial"/>
                <w:snapToGrid w:val="0"/>
                <w:color w:val="000000" w:themeColor="text1"/>
                <w:sz w:val="20"/>
                <w:szCs w:val="20"/>
              </w:rPr>
              <w:t>Total Cyanide (</w:t>
            </w:r>
            <w:r>
              <w:rPr>
                <w:rFonts w:ascii="Arial" w:hAnsi="Arial" w:cs="Arial"/>
                <w:snapToGrid w:val="0"/>
                <w:color w:val="000000" w:themeColor="text1"/>
                <w:sz w:val="20"/>
                <w:szCs w:val="20"/>
              </w:rPr>
              <w:t>without Mixing Zone</w:t>
            </w:r>
            <w:r w:rsidRPr="00C57EB6">
              <w:rPr>
                <w:rFonts w:ascii="Arial" w:hAnsi="Arial" w:cs="Arial"/>
                <w:snapToGrid w:val="0"/>
                <w:color w:val="000000" w:themeColor="text1"/>
                <w:sz w:val="20"/>
                <w:szCs w:val="20"/>
              </w:rPr>
              <w:t>)</w:t>
            </w:r>
          </w:p>
        </w:tc>
        <w:tc>
          <w:tcPr>
            <w:tcW w:w="2224" w:type="dxa"/>
            <w:vAlign w:val="center"/>
          </w:tcPr>
          <w:p w:rsidR="00B269F6" w:rsidRPr="00C57EB6" w:rsidRDefault="00B269F6" w:rsidP="00B269F6">
            <w:pPr>
              <w:pStyle w:val="TableBody"/>
              <w:keepNext/>
              <w:spacing w:before="40" w:after="40"/>
              <w:rPr>
                <w:sz w:val="20"/>
                <w:szCs w:val="20"/>
              </w:rPr>
            </w:pPr>
            <w:r>
              <w:rPr>
                <w:sz w:val="20"/>
                <w:szCs w:val="20"/>
              </w:rPr>
              <w:t>130</w:t>
            </w:r>
          </w:p>
        </w:tc>
        <w:tc>
          <w:tcPr>
            <w:tcW w:w="2323" w:type="dxa"/>
            <w:vAlign w:val="center"/>
          </w:tcPr>
          <w:p w:rsidR="00B269F6" w:rsidRPr="00C57EB6" w:rsidRDefault="00B269F6" w:rsidP="00717D80">
            <w:pPr>
              <w:pStyle w:val="TableBody"/>
              <w:keepNext/>
              <w:spacing w:before="40" w:after="40"/>
              <w:rPr>
                <w:sz w:val="20"/>
                <w:szCs w:val="20"/>
              </w:rPr>
            </w:pPr>
            <w:r>
              <w:rPr>
                <w:sz w:val="20"/>
                <w:szCs w:val="20"/>
              </w:rPr>
              <w:t>2</w:t>
            </w:r>
            <w:r w:rsidR="00717D80">
              <w:rPr>
                <w:sz w:val="20"/>
                <w:szCs w:val="20"/>
              </w:rPr>
              <w:t>6</w:t>
            </w:r>
            <w:r>
              <w:rPr>
                <w:sz w:val="20"/>
                <w:szCs w:val="20"/>
              </w:rPr>
              <w:t>0</w:t>
            </w:r>
          </w:p>
        </w:tc>
      </w:tr>
    </w:tbl>
    <w:p w:rsidR="00902B7C" w:rsidRDefault="00902B7C" w:rsidP="00D14681">
      <w:pPr>
        <w:tabs>
          <w:tab w:val="left" w:pos="-720"/>
          <w:tab w:val="left" w:pos="342"/>
          <w:tab w:val="left" w:pos="720"/>
          <w:tab w:val="left" w:leader="dot" w:pos="8550"/>
        </w:tabs>
        <w:suppressAutoHyphens/>
        <w:spacing w:before="60"/>
        <w:ind w:left="-14" w:right="43"/>
        <w:rPr>
          <w:rFonts w:cs="Times New Roman"/>
          <w:color w:val="000000"/>
          <w:sz w:val="22"/>
          <w:szCs w:val="22"/>
        </w:rPr>
      </w:pPr>
    </w:p>
    <w:p w:rsidR="00D14681" w:rsidRDefault="00D14681" w:rsidP="00D14681">
      <w:pPr>
        <w:tabs>
          <w:tab w:val="left" w:pos="-720"/>
          <w:tab w:val="left" w:pos="342"/>
          <w:tab w:val="left" w:pos="720"/>
          <w:tab w:val="left" w:leader="dot" w:pos="8550"/>
        </w:tabs>
        <w:suppressAutoHyphens/>
        <w:spacing w:before="60"/>
        <w:ind w:left="-14" w:right="43"/>
        <w:rPr>
          <w:rFonts w:cs="Times New Roman"/>
          <w:color w:val="000000"/>
          <w:sz w:val="22"/>
          <w:szCs w:val="22"/>
        </w:rPr>
      </w:pPr>
    </w:p>
    <w:p w:rsidR="00902B7C" w:rsidRDefault="00902B7C" w:rsidP="00D14681">
      <w:pPr>
        <w:tabs>
          <w:tab w:val="left" w:pos="-720"/>
          <w:tab w:val="left" w:pos="342"/>
          <w:tab w:val="left" w:pos="720"/>
          <w:tab w:val="left" w:leader="dot" w:pos="8550"/>
        </w:tabs>
        <w:suppressAutoHyphens/>
        <w:spacing w:before="60"/>
        <w:ind w:left="-14" w:right="43"/>
        <w:rPr>
          <w:rFonts w:cs="Times New Roman"/>
          <w:color w:val="000000"/>
          <w:sz w:val="22"/>
          <w:szCs w:val="22"/>
        </w:rPr>
      </w:pPr>
    </w:p>
    <w:p w:rsidR="00902B7C" w:rsidRDefault="00902B7C" w:rsidP="00D14681">
      <w:pPr>
        <w:tabs>
          <w:tab w:val="left" w:pos="-720"/>
          <w:tab w:val="left" w:pos="342"/>
          <w:tab w:val="left" w:pos="720"/>
          <w:tab w:val="left" w:leader="dot" w:pos="8550"/>
        </w:tabs>
        <w:suppressAutoHyphens/>
        <w:spacing w:before="60"/>
        <w:ind w:left="-14" w:right="43"/>
        <w:rPr>
          <w:rFonts w:cs="Times New Roman"/>
          <w:color w:val="000000"/>
          <w:sz w:val="22"/>
          <w:szCs w:val="22"/>
        </w:rPr>
      </w:pPr>
    </w:p>
    <w:p w:rsidR="00902B7C" w:rsidRDefault="00902B7C" w:rsidP="00D14681">
      <w:pPr>
        <w:tabs>
          <w:tab w:val="left" w:pos="-720"/>
          <w:tab w:val="left" w:pos="342"/>
          <w:tab w:val="left" w:pos="720"/>
          <w:tab w:val="left" w:leader="dot" w:pos="8550"/>
        </w:tabs>
        <w:suppressAutoHyphens/>
        <w:spacing w:before="60"/>
        <w:ind w:left="-14" w:right="43"/>
        <w:rPr>
          <w:rFonts w:cs="Times New Roman"/>
          <w:color w:val="000000"/>
          <w:sz w:val="22"/>
          <w:szCs w:val="22"/>
        </w:rPr>
      </w:pPr>
    </w:p>
    <w:p w:rsidR="00B269F6" w:rsidRDefault="00B269F6" w:rsidP="00D14681">
      <w:pPr>
        <w:tabs>
          <w:tab w:val="left" w:pos="-720"/>
          <w:tab w:val="left" w:pos="342"/>
          <w:tab w:val="left" w:pos="720"/>
          <w:tab w:val="left" w:leader="dot" w:pos="8550"/>
        </w:tabs>
        <w:suppressAutoHyphens/>
        <w:spacing w:before="60"/>
        <w:ind w:left="-14" w:right="43"/>
        <w:rPr>
          <w:rFonts w:cs="Times New Roman"/>
          <w:color w:val="000000"/>
          <w:sz w:val="22"/>
          <w:szCs w:val="22"/>
        </w:rPr>
      </w:pPr>
    </w:p>
    <w:p w:rsidR="00B269F6" w:rsidRDefault="00B269F6" w:rsidP="00D14681">
      <w:pPr>
        <w:tabs>
          <w:tab w:val="left" w:pos="-720"/>
          <w:tab w:val="left" w:pos="342"/>
          <w:tab w:val="left" w:pos="720"/>
          <w:tab w:val="left" w:leader="dot" w:pos="8550"/>
        </w:tabs>
        <w:suppressAutoHyphens/>
        <w:spacing w:before="60"/>
        <w:ind w:left="-14" w:right="43"/>
        <w:rPr>
          <w:rFonts w:cs="Times New Roman"/>
          <w:color w:val="000000"/>
          <w:sz w:val="22"/>
          <w:szCs w:val="22"/>
        </w:rPr>
      </w:pPr>
    </w:p>
    <w:p w:rsidR="00D14681" w:rsidRDefault="00EB1764" w:rsidP="00A43072">
      <w:pPr>
        <w:tabs>
          <w:tab w:val="left" w:pos="-720"/>
          <w:tab w:val="left" w:pos="342"/>
          <w:tab w:val="left" w:pos="720"/>
          <w:tab w:val="left" w:leader="dot" w:pos="8550"/>
        </w:tabs>
        <w:suppressAutoHyphens/>
        <w:spacing w:before="60"/>
        <w:ind w:left="-14" w:right="43"/>
        <w:jc w:val="left"/>
        <w:rPr>
          <w:rFonts w:cs="Times New Roman"/>
          <w:color w:val="000000"/>
          <w:sz w:val="22"/>
          <w:szCs w:val="22"/>
        </w:rPr>
      </w:pPr>
      <w:r>
        <w:rPr>
          <w:rFonts w:cs="Times New Roman"/>
          <w:color w:val="000000"/>
          <w:sz w:val="22"/>
          <w:szCs w:val="22"/>
        </w:rPr>
        <w:t xml:space="preserve">The proposed permit allows for the use of the mixing zone (and applies the higher total cyanide limits) upon permit issuance.  The continued use of the mixing zone is contingent on the demonstration by the permittee that the more stringent limits cannot be met even after the final treatment system has been optimized. </w:t>
      </w:r>
      <w:r w:rsidR="00D14681">
        <w:rPr>
          <w:rFonts w:cs="Times New Roman"/>
          <w:color w:val="000000"/>
          <w:sz w:val="22"/>
          <w:szCs w:val="22"/>
        </w:rPr>
        <w:t xml:space="preserve">For a more detailed </w:t>
      </w:r>
      <w:r w:rsidR="00D14681">
        <w:rPr>
          <w:rFonts w:cs="Times New Roman"/>
          <w:color w:val="000000"/>
          <w:sz w:val="22"/>
          <w:szCs w:val="22"/>
        </w:rPr>
        <w:lastRenderedPageBreak/>
        <w:t xml:space="preserve">discussion regarding the </w:t>
      </w:r>
      <w:r w:rsidR="00902B7C">
        <w:rPr>
          <w:rFonts w:cs="Times New Roman"/>
          <w:color w:val="000000"/>
          <w:sz w:val="22"/>
          <w:szCs w:val="22"/>
        </w:rPr>
        <w:t>applicability of the</w:t>
      </w:r>
      <w:r w:rsidR="00D14681">
        <w:rPr>
          <w:rFonts w:cs="Times New Roman"/>
          <w:color w:val="000000"/>
          <w:sz w:val="22"/>
          <w:szCs w:val="22"/>
        </w:rPr>
        <w:t xml:space="preserve"> mixing zone</w:t>
      </w:r>
      <w:r>
        <w:rPr>
          <w:rFonts w:cs="Times New Roman"/>
          <w:color w:val="000000"/>
          <w:sz w:val="22"/>
          <w:szCs w:val="22"/>
        </w:rPr>
        <w:t xml:space="preserve"> (and the corresponding effluent limits)</w:t>
      </w:r>
      <w:r w:rsidR="00D14681">
        <w:rPr>
          <w:rFonts w:cs="Times New Roman"/>
          <w:color w:val="000000"/>
          <w:sz w:val="22"/>
          <w:szCs w:val="22"/>
        </w:rPr>
        <w:t>, please see Section</w:t>
      </w:r>
      <w:r w:rsidR="00902B7C">
        <w:rPr>
          <w:rFonts w:cs="Times New Roman"/>
          <w:color w:val="000000"/>
          <w:sz w:val="22"/>
          <w:szCs w:val="22"/>
        </w:rPr>
        <w:t xml:space="preserve"> 6.</w:t>
      </w:r>
      <w:r>
        <w:rPr>
          <w:rFonts w:cs="Times New Roman"/>
          <w:color w:val="000000"/>
          <w:sz w:val="22"/>
          <w:szCs w:val="22"/>
        </w:rPr>
        <w:t>2, below</w:t>
      </w:r>
      <w:r w:rsidR="00D14681">
        <w:rPr>
          <w:rFonts w:cs="Times New Roman"/>
          <w:color w:val="000000"/>
          <w:sz w:val="22"/>
          <w:szCs w:val="22"/>
        </w:rPr>
        <w:t>.</w:t>
      </w:r>
    </w:p>
    <w:p w:rsidR="0027683C" w:rsidRDefault="0027683C">
      <w:pPr>
        <w:pStyle w:val="Asteve2"/>
        <w:rPr>
          <w:noProof/>
        </w:rPr>
      </w:pPr>
      <w:r>
        <w:rPr>
          <w:noProof/>
        </w:rPr>
        <w:t>4.4 Antidegradation</w:t>
      </w:r>
      <w:bookmarkEnd w:id="38"/>
    </w:p>
    <w:p w:rsidR="0027683C" w:rsidRDefault="0027683C" w:rsidP="00A43072">
      <w:pPr>
        <w:tabs>
          <w:tab w:val="left" w:pos="-720"/>
        </w:tabs>
        <w:suppressAutoHyphens/>
        <w:jc w:val="left"/>
        <w:rPr>
          <w:rFonts w:cs="Times New Roman"/>
          <w:color w:val="000000"/>
          <w:sz w:val="22"/>
          <w:szCs w:val="22"/>
        </w:rPr>
      </w:pPr>
      <w:r>
        <w:rPr>
          <w:rFonts w:cs="Times New Roman"/>
          <w:color w:val="000000"/>
          <w:sz w:val="22"/>
          <w:szCs w:val="22"/>
        </w:rPr>
        <w:t xml:space="preserve">An Antidegradation Review was performed for this discharge. Based on the antidegradation review, the Department determined the </w:t>
      </w:r>
      <w:r w:rsidRPr="00772F91">
        <w:rPr>
          <w:rFonts w:cs="Times New Roman"/>
          <w:sz w:val="22"/>
          <w:szCs w:val="22"/>
        </w:rPr>
        <w:t xml:space="preserve">proposed discharge complies with the Antidegradation Policy for Surface Waters found in OAR 340-041-0026 (see Attachment </w:t>
      </w:r>
      <w:r w:rsidR="00F0558B">
        <w:rPr>
          <w:rFonts w:cs="Times New Roman"/>
          <w:sz w:val="22"/>
          <w:szCs w:val="22"/>
        </w:rPr>
        <w:t>E</w:t>
      </w:r>
      <w:r w:rsidRPr="00772F91">
        <w:rPr>
          <w:rFonts w:cs="Times New Roman"/>
          <w:sz w:val="22"/>
          <w:szCs w:val="22"/>
        </w:rPr>
        <w:t>).</w:t>
      </w:r>
    </w:p>
    <w:p w:rsidR="0027683C" w:rsidRDefault="0027683C">
      <w:pPr>
        <w:pStyle w:val="Heading1sLeft"/>
        <w:keepNext w:val="0"/>
        <w:spacing w:before="120"/>
      </w:pPr>
      <w:bookmarkStart w:id="39" w:name="_Toc197758201"/>
      <w:r>
        <w:t xml:space="preserve">5.0 </w:t>
      </w:r>
      <w:bookmarkEnd w:id="39"/>
      <w:r>
        <w:t>Compliance History</w:t>
      </w:r>
    </w:p>
    <w:p w:rsidR="0027683C" w:rsidRDefault="0027683C" w:rsidP="00A43072">
      <w:pPr>
        <w:pStyle w:val="PermitBodyText"/>
        <w:tabs>
          <w:tab w:val="clear" w:pos="-720"/>
          <w:tab w:val="clear" w:pos="720"/>
        </w:tabs>
        <w:suppressAutoHyphens w:val="0"/>
        <w:rPr>
          <w:rFonts w:ascii="Times New Roman" w:hAnsi="Times New Roman" w:cs="Times New Roman"/>
          <w:color w:val="000000"/>
        </w:rPr>
      </w:pPr>
      <w:r>
        <w:rPr>
          <w:rFonts w:ascii="Times New Roman" w:hAnsi="Times New Roman" w:cs="Times New Roman"/>
          <w:color w:val="000000"/>
        </w:rPr>
        <w:t>Since this facility is applying for its first NPDES permit, no NPDES compliance history exists.</w:t>
      </w:r>
    </w:p>
    <w:p w:rsidR="0027683C" w:rsidRDefault="0027683C">
      <w:pPr>
        <w:pStyle w:val="Heading1sCentered"/>
        <w:keepNext w:val="0"/>
        <w:jc w:val="left"/>
      </w:pPr>
      <w:bookmarkStart w:id="40" w:name="_Toc197758213"/>
      <w:r>
        <w:t>6.0 Draft Permit Discussion</w:t>
      </w:r>
      <w:bookmarkEnd w:id="40"/>
    </w:p>
    <w:p w:rsidR="0027683C" w:rsidRDefault="0027683C">
      <w:pPr>
        <w:pStyle w:val="Asteve2"/>
      </w:pPr>
      <w:bookmarkStart w:id="41" w:name="_Toc197758214"/>
      <w:r>
        <w:t>6.1  Face Page</w:t>
      </w:r>
      <w:bookmarkEnd w:id="41"/>
    </w:p>
    <w:p w:rsidR="0027683C" w:rsidRDefault="0027683C" w:rsidP="00A43072">
      <w:pPr>
        <w:jc w:val="left"/>
        <w:rPr>
          <w:rFonts w:cs="Times New Roman"/>
          <w:sz w:val="22"/>
          <w:szCs w:val="22"/>
        </w:rPr>
      </w:pPr>
      <w:r>
        <w:rPr>
          <w:rFonts w:cs="Times New Roman"/>
          <w:sz w:val="22"/>
          <w:szCs w:val="22"/>
        </w:rPr>
        <w:t xml:space="preserve">The face page provides information about the permittee, description of the wastewater, the outfall location, receiving stream information, permit approval authority, and a description of permitted activities.  The permittee is authorized to construct, install, modify, or operate a wastewater collection, treatment, control and disposal system.  The permit allows the discharge of treated groundwater </w:t>
      </w:r>
      <w:r w:rsidR="00CC7048">
        <w:rPr>
          <w:rFonts w:cs="Times New Roman"/>
          <w:sz w:val="22"/>
          <w:szCs w:val="22"/>
        </w:rPr>
        <w:t xml:space="preserve">and stormwater </w:t>
      </w:r>
      <w:r>
        <w:rPr>
          <w:rFonts w:cs="Times New Roman"/>
          <w:sz w:val="22"/>
          <w:szCs w:val="22"/>
        </w:rPr>
        <w:t>to the Willamette River within the limits set by Schedule A and the following schedules.  All other polluted discharges are prohibited unless authorized under a separate permit.</w:t>
      </w:r>
    </w:p>
    <w:p w:rsidR="0027683C" w:rsidRDefault="0027683C">
      <w:pPr>
        <w:pStyle w:val="Asteve2"/>
      </w:pPr>
      <w:bookmarkStart w:id="42" w:name="_Toc197758215"/>
      <w:r>
        <w:t>6.2  Schedul</w:t>
      </w:r>
      <w:r w:rsidR="00156422">
        <w:t>e A - Waste Discharge Limit</w:t>
      </w:r>
      <w:r>
        <w:t>s</w:t>
      </w:r>
      <w:bookmarkEnd w:id="42"/>
    </w:p>
    <w:p w:rsidR="0027683C" w:rsidRDefault="0027683C" w:rsidP="00A43072">
      <w:pPr>
        <w:jc w:val="left"/>
        <w:rPr>
          <w:rFonts w:cs="Times New Roman"/>
          <w:sz w:val="22"/>
          <w:szCs w:val="22"/>
        </w:rPr>
      </w:pPr>
      <w:r>
        <w:rPr>
          <w:rFonts w:cs="Times New Roman"/>
          <w:sz w:val="22"/>
          <w:szCs w:val="22"/>
        </w:rPr>
        <w:t>The waste dischar</w:t>
      </w:r>
      <w:r w:rsidR="00156422">
        <w:rPr>
          <w:rFonts w:cs="Times New Roman"/>
          <w:sz w:val="22"/>
          <w:szCs w:val="22"/>
        </w:rPr>
        <w:t>ge limit</w:t>
      </w:r>
      <w:r>
        <w:rPr>
          <w:rFonts w:cs="Times New Roman"/>
          <w:sz w:val="22"/>
          <w:szCs w:val="22"/>
        </w:rPr>
        <w:t>s for outf</w:t>
      </w:r>
      <w:r w:rsidR="00FD1C3B">
        <w:rPr>
          <w:rFonts w:cs="Times New Roman"/>
          <w:sz w:val="22"/>
          <w:szCs w:val="22"/>
        </w:rPr>
        <w:t>all 001 are presented in Table 9</w:t>
      </w:r>
      <w:r>
        <w:rPr>
          <w:rFonts w:cs="Times New Roman"/>
          <w:sz w:val="22"/>
          <w:szCs w:val="22"/>
        </w:rPr>
        <w:t xml:space="preserve">, below.  </w:t>
      </w:r>
      <w:r w:rsidR="00AC7809">
        <w:rPr>
          <w:rFonts w:cs="Times New Roman"/>
          <w:sz w:val="22"/>
          <w:szCs w:val="22"/>
        </w:rPr>
        <w:t>For parameters with calculated effluent limits below the appropriate quantitation limit, it is noted that compliance is demonstrated by not exceeding the quantitation limit.</w:t>
      </w:r>
    </w:p>
    <w:p w:rsidR="00AC7809" w:rsidRDefault="00AC7809" w:rsidP="00A43072">
      <w:pPr>
        <w:jc w:val="left"/>
        <w:rPr>
          <w:rFonts w:cs="Times New Roman"/>
          <w:sz w:val="22"/>
          <w:szCs w:val="22"/>
        </w:rPr>
      </w:pPr>
    </w:p>
    <w:p w:rsidR="00AC7809" w:rsidRDefault="00AC7809" w:rsidP="00A43072">
      <w:pPr>
        <w:spacing w:after="120"/>
        <w:contextualSpacing/>
        <w:jc w:val="left"/>
        <w:rPr>
          <w:rFonts w:cs="Times New Roman"/>
          <w:sz w:val="22"/>
          <w:szCs w:val="22"/>
        </w:rPr>
      </w:pPr>
      <w:r>
        <w:rPr>
          <w:rFonts w:cs="Times New Roman"/>
          <w:sz w:val="22"/>
          <w:szCs w:val="22"/>
        </w:rPr>
        <w:t xml:space="preserve">As </w:t>
      </w:r>
      <w:r w:rsidR="00E15956">
        <w:rPr>
          <w:rFonts w:cs="Times New Roman"/>
          <w:sz w:val="22"/>
          <w:szCs w:val="22"/>
        </w:rPr>
        <w:t>discussed</w:t>
      </w:r>
      <w:r>
        <w:rPr>
          <w:rFonts w:cs="Times New Roman"/>
          <w:sz w:val="22"/>
          <w:szCs w:val="22"/>
        </w:rPr>
        <w:t xml:space="preserve"> in Section 3.4 of this report, the </w:t>
      </w:r>
      <w:r>
        <w:rPr>
          <w:sz w:val="22"/>
          <w:szCs w:val="22"/>
        </w:rPr>
        <w:t>proposed permit temporari</w:t>
      </w:r>
      <w:r w:rsidR="00CC7048">
        <w:rPr>
          <w:sz w:val="22"/>
          <w:szCs w:val="22"/>
        </w:rPr>
        <w:t>ly allocates a mixing zone for total c</w:t>
      </w:r>
      <w:r>
        <w:rPr>
          <w:sz w:val="22"/>
          <w:szCs w:val="22"/>
        </w:rPr>
        <w:t>yanide</w:t>
      </w:r>
      <w:r w:rsidR="00D15137">
        <w:rPr>
          <w:sz w:val="22"/>
          <w:szCs w:val="22"/>
        </w:rPr>
        <w:t xml:space="preserve"> 18–feet wide and 6-feet long</w:t>
      </w:r>
      <w:r>
        <w:rPr>
          <w:sz w:val="22"/>
          <w:szCs w:val="22"/>
        </w:rPr>
        <w:t>.  The continued use of the mixing zone will only be approved if the permittee adequately demonstrates that the total cyanide limitations (based on the</w:t>
      </w:r>
      <w:r w:rsidR="00197FF5">
        <w:rPr>
          <w:sz w:val="22"/>
          <w:szCs w:val="22"/>
        </w:rPr>
        <w:t xml:space="preserve"> chronic</w:t>
      </w:r>
      <w:r>
        <w:rPr>
          <w:sz w:val="22"/>
          <w:szCs w:val="22"/>
        </w:rPr>
        <w:t xml:space="preserve"> 130 ug/L criterion) cannot be met following optimization of the treatment system. </w:t>
      </w:r>
      <w:r>
        <w:rPr>
          <w:rFonts w:cs="Times New Roman"/>
          <w:sz w:val="22"/>
          <w:szCs w:val="22"/>
        </w:rPr>
        <w:t xml:space="preserve"> </w:t>
      </w:r>
      <w:r w:rsidR="00E15956" w:rsidRPr="00E15956">
        <w:rPr>
          <w:rFonts w:cs="Times New Roman"/>
          <w:sz w:val="22"/>
          <w:szCs w:val="22"/>
        </w:rPr>
        <w:t xml:space="preserve">Condition A.2. </w:t>
      </w:r>
      <w:proofErr w:type="gramStart"/>
      <w:r w:rsidR="00E15956" w:rsidRPr="00E15956">
        <w:rPr>
          <w:rFonts w:cs="Times New Roman"/>
          <w:sz w:val="22"/>
          <w:szCs w:val="22"/>
        </w:rPr>
        <w:t>of</w:t>
      </w:r>
      <w:proofErr w:type="gramEnd"/>
      <w:r w:rsidR="00E15956" w:rsidRPr="00E15956">
        <w:rPr>
          <w:rFonts w:cs="Times New Roman"/>
          <w:sz w:val="22"/>
          <w:szCs w:val="22"/>
        </w:rPr>
        <w:t xml:space="preserve"> t</w:t>
      </w:r>
      <w:r w:rsidRPr="00E15956">
        <w:rPr>
          <w:rFonts w:cs="Times New Roman"/>
          <w:sz w:val="22"/>
          <w:szCs w:val="22"/>
        </w:rPr>
        <w:t xml:space="preserve">he proposed permit </w:t>
      </w:r>
      <w:r w:rsidR="00E15956" w:rsidRPr="00E15956">
        <w:rPr>
          <w:spacing w:val="-3"/>
          <w:sz w:val="22"/>
          <w:szCs w:val="22"/>
        </w:rPr>
        <w:t xml:space="preserve">defines the mixing zone as that portion of the Willamette River </w:t>
      </w:r>
      <w:r w:rsidR="00212CD6">
        <w:rPr>
          <w:spacing w:val="-3"/>
        </w:rPr>
        <w:t>18-feet wide and 6-feet long, centered on the outfall’s diffuser</w:t>
      </w:r>
      <w:r w:rsidR="00E15956">
        <w:rPr>
          <w:rFonts w:cs="Times New Roman"/>
          <w:sz w:val="22"/>
          <w:szCs w:val="22"/>
        </w:rPr>
        <w:t>.  The notes to Table A.1 of the proposed permit also contain</w:t>
      </w:r>
      <w:r>
        <w:rPr>
          <w:rFonts w:cs="Times New Roman"/>
          <w:sz w:val="22"/>
          <w:szCs w:val="22"/>
        </w:rPr>
        <w:t xml:space="preserve"> the following language regarding the use of the mixing zone:</w:t>
      </w:r>
    </w:p>
    <w:p w:rsidR="00AC7809" w:rsidRDefault="00AC7809" w:rsidP="00A43072">
      <w:pPr>
        <w:spacing w:after="120"/>
        <w:contextualSpacing/>
        <w:jc w:val="left"/>
        <w:rPr>
          <w:rFonts w:cs="Times New Roman"/>
          <w:sz w:val="22"/>
          <w:szCs w:val="22"/>
        </w:rPr>
      </w:pPr>
    </w:p>
    <w:p w:rsidR="00AC7809" w:rsidRPr="003808CB" w:rsidRDefault="00AC7809" w:rsidP="00A43072">
      <w:pPr>
        <w:spacing w:after="120"/>
        <w:ind w:left="420"/>
        <w:contextualSpacing/>
        <w:jc w:val="left"/>
        <w:rPr>
          <w:rFonts w:cs="Times New Roman"/>
          <w:i/>
          <w:sz w:val="22"/>
          <w:szCs w:val="22"/>
        </w:rPr>
      </w:pPr>
      <w:r w:rsidRPr="003808CB">
        <w:rPr>
          <w:rFonts w:cs="Times New Roman"/>
          <w:i/>
          <w:sz w:val="22"/>
          <w:szCs w:val="22"/>
        </w:rPr>
        <w:t xml:space="preserve">The interim total cyanide limits are effective upon permit issuance.  </w:t>
      </w:r>
      <w:r w:rsidR="003808CB" w:rsidRPr="003808CB">
        <w:rPr>
          <w:i/>
          <w:sz w:val="22"/>
          <w:szCs w:val="22"/>
        </w:rPr>
        <w:t xml:space="preserve">The applicable final total cyanide limits will become effective 180 days following Department approval or disapproval of the continued utilization of the mixing zone for total cyanide (defined below).  If the Department approves the continued utilization of the total cyanide mixing zone, the final total cyanide limits of 510 µg/L (monthly avg.) and 1000 µg/L (daily max.) will be applicable will be applicable.  If the Department disapproves the continued utilization of the total cyanide mixing zone, the final total cyanide limits of 130 µg/L (monthly avg.) and 260 µg/L (daily max.) will be applicable.  </w:t>
      </w:r>
      <w:r w:rsidR="005438B9">
        <w:rPr>
          <w:rFonts w:cs="Times New Roman"/>
          <w:i/>
          <w:sz w:val="22"/>
          <w:szCs w:val="22"/>
        </w:rPr>
        <w:t xml:space="preserve">Department approval will be contingent on the demonstration by the permittee that the total cyanide limitations of 130 µg/L (monthly avg.) and 260 µg/L (daily max.) were not able to be met following optimization of the treatment </w:t>
      </w:r>
      <w:proofErr w:type="gramStart"/>
      <w:r w:rsidR="005438B9">
        <w:rPr>
          <w:rFonts w:cs="Times New Roman"/>
          <w:i/>
          <w:sz w:val="22"/>
          <w:szCs w:val="22"/>
        </w:rPr>
        <w:t xml:space="preserve">system </w:t>
      </w:r>
      <w:r w:rsidR="003808CB" w:rsidRPr="003808CB">
        <w:rPr>
          <w:i/>
          <w:sz w:val="22"/>
          <w:szCs w:val="22"/>
        </w:rPr>
        <w:t xml:space="preserve"> (</w:t>
      </w:r>
      <w:proofErr w:type="gramEnd"/>
      <w:r w:rsidR="003808CB" w:rsidRPr="003808CB">
        <w:rPr>
          <w:i/>
          <w:sz w:val="22"/>
          <w:szCs w:val="22"/>
        </w:rPr>
        <w:t>which will include the evaluation of both sodium hypochlorite and hydrogen peroxide cyanide destruction processes)</w:t>
      </w:r>
      <w:r w:rsidRPr="003808CB">
        <w:rPr>
          <w:rFonts w:cs="Times New Roman"/>
          <w:i/>
          <w:sz w:val="22"/>
          <w:szCs w:val="22"/>
        </w:rPr>
        <w:t xml:space="preserve">.  At a minimum, this demonstration must consist of a report submitted to the Department within 18 months following the date of initial discharge under this permit. This report must contain the following elements: </w:t>
      </w:r>
    </w:p>
    <w:p w:rsidR="00AC7809" w:rsidRPr="003808CB" w:rsidRDefault="005438B9" w:rsidP="00A43072">
      <w:pPr>
        <w:pStyle w:val="ListParagraph"/>
        <w:numPr>
          <w:ilvl w:val="0"/>
          <w:numId w:val="2"/>
        </w:numPr>
        <w:tabs>
          <w:tab w:val="clear" w:pos="780"/>
          <w:tab w:val="num" w:pos="1200"/>
        </w:tabs>
        <w:spacing w:before="60"/>
        <w:ind w:left="1200"/>
        <w:jc w:val="left"/>
        <w:rPr>
          <w:i/>
          <w:sz w:val="22"/>
          <w:szCs w:val="22"/>
        </w:rPr>
      </w:pPr>
      <w:r>
        <w:rPr>
          <w:i/>
          <w:sz w:val="22"/>
          <w:szCs w:val="22"/>
        </w:rPr>
        <w:t>A description of all elements undertaken by the permittee to ensure operational optimization of the treatment system.</w:t>
      </w:r>
    </w:p>
    <w:p w:rsidR="00AC7809" w:rsidRPr="003808CB" w:rsidRDefault="005438B9" w:rsidP="00A43072">
      <w:pPr>
        <w:pStyle w:val="ListParagraph"/>
        <w:numPr>
          <w:ilvl w:val="0"/>
          <w:numId w:val="2"/>
        </w:numPr>
        <w:tabs>
          <w:tab w:val="clear" w:pos="780"/>
          <w:tab w:val="num" w:pos="1200"/>
        </w:tabs>
        <w:ind w:left="1200"/>
        <w:jc w:val="left"/>
        <w:rPr>
          <w:i/>
          <w:sz w:val="22"/>
          <w:szCs w:val="22"/>
        </w:rPr>
      </w:pPr>
      <w:r>
        <w:rPr>
          <w:i/>
          <w:sz w:val="22"/>
          <w:szCs w:val="22"/>
        </w:rPr>
        <w:lastRenderedPageBreak/>
        <w:t>A description of treatment system design modifications implemented and/or evaluated to minimize total cyanide concentrations in the effluent.</w:t>
      </w:r>
    </w:p>
    <w:p w:rsidR="00AC7809" w:rsidRPr="003808CB" w:rsidRDefault="005438B9" w:rsidP="00A43072">
      <w:pPr>
        <w:pStyle w:val="ListParagraph"/>
        <w:numPr>
          <w:ilvl w:val="0"/>
          <w:numId w:val="2"/>
        </w:numPr>
        <w:tabs>
          <w:tab w:val="clear" w:pos="780"/>
          <w:tab w:val="num" w:pos="1200"/>
        </w:tabs>
        <w:ind w:left="1200"/>
        <w:jc w:val="left"/>
        <w:rPr>
          <w:i/>
          <w:sz w:val="22"/>
          <w:szCs w:val="22"/>
        </w:rPr>
      </w:pPr>
      <w:r>
        <w:rPr>
          <w:i/>
          <w:sz w:val="22"/>
          <w:szCs w:val="22"/>
        </w:rPr>
        <w:t>Monitoring data demonstrating that effluent quality, following system design and operational optimization, necessitates utilization of a mixing zone.</w:t>
      </w:r>
    </w:p>
    <w:p w:rsidR="00E15956" w:rsidRDefault="00E15956">
      <w:pPr>
        <w:rPr>
          <w:rFonts w:cs="Times New Roman"/>
          <w:sz w:val="22"/>
          <w:szCs w:val="22"/>
        </w:rPr>
      </w:pPr>
    </w:p>
    <w:p w:rsidR="006F721C" w:rsidRDefault="006F721C">
      <w:pPr>
        <w:rPr>
          <w:rFonts w:cs="Times New Roman"/>
          <w:sz w:val="22"/>
          <w:szCs w:val="22"/>
        </w:rPr>
      </w:pPr>
    </w:p>
    <w:p w:rsidR="006F721C" w:rsidRDefault="006F721C">
      <w:pPr>
        <w:rPr>
          <w:rFonts w:cs="Times New Roman"/>
          <w:sz w:val="22"/>
          <w:szCs w:val="22"/>
        </w:rPr>
      </w:pPr>
    </w:p>
    <w:p w:rsidR="00AC7809" w:rsidRDefault="00E15956" w:rsidP="00A43072">
      <w:pPr>
        <w:jc w:val="left"/>
        <w:rPr>
          <w:rFonts w:cs="Times New Roman"/>
          <w:sz w:val="22"/>
          <w:szCs w:val="22"/>
        </w:rPr>
      </w:pPr>
      <w:r>
        <w:rPr>
          <w:rFonts w:cs="Times New Roman"/>
          <w:sz w:val="22"/>
          <w:szCs w:val="22"/>
        </w:rPr>
        <w:t>The interim an</w:t>
      </w:r>
      <w:r w:rsidR="00212CD6">
        <w:rPr>
          <w:rFonts w:cs="Times New Roman"/>
          <w:sz w:val="22"/>
          <w:szCs w:val="22"/>
        </w:rPr>
        <w:t>d</w:t>
      </w:r>
      <w:r>
        <w:rPr>
          <w:rFonts w:cs="Times New Roman"/>
          <w:sz w:val="22"/>
          <w:szCs w:val="22"/>
        </w:rPr>
        <w:t xml:space="preserve"> final total cyanide limits in the proposed permit, along with limits for the other parameters requiring limits (see Section 4,</w:t>
      </w:r>
      <w:r w:rsidR="00FD1C3B">
        <w:rPr>
          <w:rFonts w:cs="Times New Roman"/>
          <w:sz w:val="22"/>
          <w:szCs w:val="22"/>
        </w:rPr>
        <w:t xml:space="preserve"> above) are presented in Table 9</w:t>
      </w:r>
      <w:r>
        <w:rPr>
          <w:rFonts w:cs="Times New Roman"/>
          <w:sz w:val="22"/>
          <w:szCs w:val="22"/>
        </w:rPr>
        <w:t>, below.</w:t>
      </w:r>
    </w:p>
    <w:p w:rsidR="00E15956" w:rsidRDefault="00E15956">
      <w:pPr>
        <w:rPr>
          <w:rFonts w:cs="Times New Roman"/>
          <w:sz w:val="22"/>
          <w:szCs w:val="22"/>
        </w:rPr>
      </w:pPr>
    </w:p>
    <w:tbl>
      <w:tblPr>
        <w:tblW w:w="10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2"/>
        <w:gridCol w:w="3925"/>
        <w:gridCol w:w="3998"/>
      </w:tblGrid>
      <w:tr w:rsidR="0027683C" w:rsidTr="00933ACC">
        <w:trPr>
          <w:jc w:val="center"/>
        </w:trPr>
        <w:tc>
          <w:tcPr>
            <w:tcW w:w="10285" w:type="dxa"/>
            <w:gridSpan w:val="3"/>
            <w:shd w:val="clear" w:color="auto" w:fill="D9D9D9"/>
          </w:tcPr>
          <w:p w:rsidR="0027683C" w:rsidRDefault="00FD1C3B" w:rsidP="00156422">
            <w:pPr>
              <w:pStyle w:val="Heading7"/>
              <w:rPr>
                <w:u w:val="single"/>
              </w:rPr>
            </w:pPr>
            <w:r>
              <w:t>Table 9</w:t>
            </w:r>
            <w:r w:rsidR="0027683C">
              <w:t xml:space="preserve">: Proposed </w:t>
            </w:r>
            <w:r w:rsidR="00156422">
              <w:t>Treated Effluent</w:t>
            </w:r>
            <w:r w:rsidR="0027683C">
              <w:t xml:space="preserve"> Limits for Outfall 001</w:t>
            </w:r>
          </w:p>
        </w:tc>
      </w:tr>
      <w:tr w:rsidR="0027683C" w:rsidTr="00933ACC">
        <w:trPr>
          <w:jc w:val="center"/>
        </w:trPr>
        <w:tc>
          <w:tcPr>
            <w:tcW w:w="2362" w:type="dxa"/>
            <w:shd w:val="clear" w:color="auto" w:fill="D9D9D9"/>
          </w:tcPr>
          <w:p w:rsidR="0027683C" w:rsidRDefault="0027683C">
            <w:pPr>
              <w:spacing w:before="80" w:after="80"/>
              <w:jc w:val="center"/>
              <w:rPr>
                <w:rFonts w:ascii="Arial" w:hAnsi="Arial" w:cs="Arial"/>
                <w:b/>
                <w:bCs/>
                <w:sz w:val="18"/>
                <w:szCs w:val="18"/>
                <w:u w:val="single"/>
              </w:rPr>
            </w:pPr>
            <w:r>
              <w:rPr>
                <w:rFonts w:ascii="Arial" w:hAnsi="Arial" w:cs="Arial"/>
                <w:b/>
                <w:bCs/>
                <w:sz w:val="18"/>
                <w:szCs w:val="18"/>
                <w:u w:val="single"/>
              </w:rPr>
              <w:t>Parameter</w:t>
            </w:r>
          </w:p>
        </w:tc>
        <w:tc>
          <w:tcPr>
            <w:tcW w:w="3925" w:type="dxa"/>
            <w:shd w:val="clear" w:color="auto" w:fill="D9D9D9"/>
          </w:tcPr>
          <w:p w:rsidR="0027683C" w:rsidRDefault="0027683C" w:rsidP="00D94ED9">
            <w:pPr>
              <w:spacing w:before="80" w:after="80"/>
              <w:jc w:val="center"/>
              <w:rPr>
                <w:rFonts w:ascii="Arial" w:hAnsi="Arial" w:cs="Arial"/>
                <w:b/>
                <w:bCs/>
                <w:sz w:val="18"/>
                <w:szCs w:val="18"/>
                <w:u w:val="single"/>
              </w:rPr>
            </w:pPr>
            <w:r>
              <w:rPr>
                <w:rFonts w:ascii="Arial" w:hAnsi="Arial" w:cs="Arial"/>
                <w:b/>
                <w:bCs/>
                <w:sz w:val="18"/>
                <w:szCs w:val="18"/>
                <w:u w:val="single"/>
              </w:rPr>
              <w:t>Monthly Ave. (</w:t>
            </w:r>
            <w:r w:rsidR="00D94ED9">
              <w:rPr>
                <w:rFonts w:ascii="Arial" w:hAnsi="Arial" w:cs="Arial"/>
                <w:b/>
                <w:bCs/>
                <w:sz w:val="18"/>
                <w:szCs w:val="18"/>
                <w:u w:val="single"/>
              </w:rPr>
              <w:t>µ</w:t>
            </w:r>
            <w:r>
              <w:rPr>
                <w:rFonts w:ascii="Arial" w:hAnsi="Arial" w:cs="Arial"/>
                <w:b/>
                <w:bCs/>
                <w:sz w:val="18"/>
                <w:szCs w:val="18"/>
                <w:u w:val="single"/>
              </w:rPr>
              <w:t>g/L)</w:t>
            </w:r>
          </w:p>
        </w:tc>
        <w:tc>
          <w:tcPr>
            <w:tcW w:w="3998" w:type="dxa"/>
            <w:shd w:val="clear" w:color="auto" w:fill="D9D9D9"/>
          </w:tcPr>
          <w:p w:rsidR="0027683C" w:rsidRDefault="0027683C">
            <w:pPr>
              <w:spacing w:before="80" w:after="80"/>
              <w:jc w:val="center"/>
              <w:rPr>
                <w:rFonts w:ascii="Arial" w:hAnsi="Arial" w:cs="Arial"/>
                <w:b/>
                <w:bCs/>
                <w:sz w:val="18"/>
                <w:szCs w:val="18"/>
                <w:u w:val="single"/>
              </w:rPr>
            </w:pPr>
            <w:r>
              <w:rPr>
                <w:rFonts w:ascii="Arial" w:hAnsi="Arial" w:cs="Arial"/>
                <w:b/>
                <w:bCs/>
                <w:sz w:val="18"/>
                <w:szCs w:val="18"/>
                <w:u w:val="single"/>
              </w:rPr>
              <w:t>Daily Max (</w:t>
            </w:r>
            <w:r w:rsidR="00D94ED9">
              <w:rPr>
                <w:rFonts w:ascii="Arial" w:hAnsi="Arial" w:cs="Arial"/>
                <w:b/>
                <w:bCs/>
                <w:sz w:val="18"/>
                <w:szCs w:val="18"/>
                <w:u w:val="single"/>
              </w:rPr>
              <w:t>µ</w:t>
            </w:r>
            <w:r>
              <w:rPr>
                <w:rFonts w:ascii="Arial" w:hAnsi="Arial" w:cs="Arial"/>
                <w:b/>
                <w:bCs/>
                <w:sz w:val="18"/>
                <w:szCs w:val="18"/>
                <w:u w:val="single"/>
              </w:rPr>
              <w:t>g/L)</w:t>
            </w:r>
          </w:p>
        </w:tc>
      </w:tr>
      <w:tr w:rsidR="00C57EB6" w:rsidTr="00933ACC">
        <w:trPr>
          <w:jc w:val="center"/>
        </w:trPr>
        <w:tc>
          <w:tcPr>
            <w:tcW w:w="2362" w:type="dxa"/>
            <w:vAlign w:val="center"/>
          </w:tcPr>
          <w:p w:rsidR="00C57EB6" w:rsidRPr="00C57EB6" w:rsidRDefault="00C57EB6" w:rsidP="00AC7809">
            <w:pPr>
              <w:spacing w:before="40" w:after="40"/>
              <w:jc w:val="center"/>
              <w:rPr>
                <w:rFonts w:ascii="Arial" w:hAnsi="Arial" w:cs="Arial"/>
                <w:snapToGrid w:val="0"/>
                <w:color w:val="000000"/>
                <w:sz w:val="20"/>
                <w:szCs w:val="20"/>
              </w:rPr>
            </w:pPr>
            <w:r w:rsidRPr="00C57EB6">
              <w:rPr>
                <w:rFonts w:ascii="Arial" w:hAnsi="Arial" w:cs="Arial"/>
                <w:color w:val="000000"/>
                <w:sz w:val="20"/>
                <w:szCs w:val="20"/>
              </w:rPr>
              <w:t>Benzo(a)anthracene</w:t>
            </w:r>
          </w:p>
        </w:tc>
        <w:tc>
          <w:tcPr>
            <w:tcW w:w="3925" w:type="dxa"/>
            <w:vAlign w:val="center"/>
          </w:tcPr>
          <w:p w:rsidR="00C57EB6" w:rsidRPr="00C57EB6" w:rsidRDefault="00C57EB6" w:rsidP="00D94ED9">
            <w:pPr>
              <w:spacing w:before="40" w:after="40"/>
              <w:jc w:val="center"/>
              <w:rPr>
                <w:rFonts w:ascii="Arial" w:hAnsi="Arial" w:cs="Arial"/>
                <w:snapToGrid w:val="0"/>
                <w:color w:val="000000"/>
                <w:sz w:val="20"/>
                <w:szCs w:val="20"/>
              </w:rPr>
            </w:pPr>
            <w:r w:rsidRPr="00C57EB6">
              <w:rPr>
                <w:rFonts w:ascii="Arial" w:hAnsi="Arial" w:cs="Arial"/>
                <w:color w:val="000000" w:themeColor="text1"/>
                <w:sz w:val="20"/>
                <w:szCs w:val="20"/>
              </w:rPr>
              <w:t>Calculated limit is 0.0038 µg/L; Compliance will be demonstrated by not exceeding the Quantitation Limit of 1 µg/L</w:t>
            </w:r>
          </w:p>
        </w:tc>
        <w:tc>
          <w:tcPr>
            <w:tcW w:w="3998" w:type="dxa"/>
            <w:vAlign w:val="center"/>
          </w:tcPr>
          <w:p w:rsidR="00C57EB6" w:rsidRPr="00C57EB6" w:rsidRDefault="00717D80" w:rsidP="00D94ED9">
            <w:pPr>
              <w:spacing w:before="40" w:after="40"/>
              <w:jc w:val="center"/>
              <w:rPr>
                <w:rFonts w:ascii="Arial" w:hAnsi="Arial" w:cs="Arial"/>
                <w:snapToGrid w:val="0"/>
                <w:color w:val="000000"/>
                <w:sz w:val="20"/>
                <w:szCs w:val="20"/>
              </w:rPr>
            </w:pPr>
            <w:r>
              <w:rPr>
                <w:rFonts w:ascii="Arial" w:hAnsi="Arial" w:cs="Arial"/>
                <w:color w:val="000000" w:themeColor="text1"/>
                <w:sz w:val="20"/>
                <w:szCs w:val="20"/>
              </w:rPr>
              <w:t>Calculated limit is 0.007</w:t>
            </w:r>
            <w:r w:rsidR="00C57EB6" w:rsidRPr="00C57EB6">
              <w:rPr>
                <w:rFonts w:ascii="Arial" w:hAnsi="Arial" w:cs="Arial"/>
                <w:color w:val="000000" w:themeColor="text1"/>
                <w:sz w:val="20"/>
                <w:szCs w:val="20"/>
              </w:rPr>
              <w:t>6 µg/L; Compliance will be demonstrated by not exceeding the Quantitation Limit of 1 µg/L</w:t>
            </w:r>
          </w:p>
        </w:tc>
      </w:tr>
      <w:tr w:rsidR="00C57EB6" w:rsidTr="00933ACC">
        <w:trPr>
          <w:jc w:val="center"/>
        </w:trPr>
        <w:tc>
          <w:tcPr>
            <w:tcW w:w="2362" w:type="dxa"/>
            <w:vAlign w:val="center"/>
          </w:tcPr>
          <w:p w:rsidR="00C57EB6" w:rsidRPr="00C57EB6" w:rsidRDefault="00C57EB6" w:rsidP="00AC7809">
            <w:pPr>
              <w:spacing w:before="40" w:after="40"/>
              <w:jc w:val="center"/>
              <w:rPr>
                <w:rFonts w:ascii="Arial" w:hAnsi="Arial" w:cs="Arial"/>
                <w:snapToGrid w:val="0"/>
                <w:color w:val="000000"/>
                <w:sz w:val="20"/>
                <w:szCs w:val="20"/>
              </w:rPr>
            </w:pPr>
            <w:r w:rsidRPr="00C57EB6">
              <w:rPr>
                <w:rFonts w:ascii="Arial" w:hAnsi="Arial" w:cs="Arial"/>
                <w:color w:val="000000"/>
                <w:sz w:val="20"/>
                <w:szCs w:val="20"/>
              </w:rPr>
              <w:t>Benzo(a)pyrene</w:t>
            </w:r>
          </w:p>
        </w:tc>
        <w:tc>
          <w:tcPr>
            <w:tcW w:w="3925" w:type="dxa"/>
            <w:vAlign w:val="center"/>
          </w:tcPr>
          <w:p w:rsidR="00C57EB6" w:rsidRPr="00C57EB6" w:rsidRDefault="00C57EB6" w:rsidP="00D94ED9">
            <w:pPr>
              <w:spacing w:before="40" w:after="40"/>
              <w:jc w:val="center"/>
              <w:rPr>
                <w:rFonts w:ascii="Arial" w:hAnsi="Arial" w:cs="Arial"/>
                <w:snapToGrid w:val="0"/>
                <w:color w:val="000000"/>
                <w:sz w:val="20"/>
                <w:szCs w:val="20"/>
              </w:rPr>
            </w:pPr>
            <w:r w:rsidRPr="00C57EB6">
              <w:rPr>
                <w:rFonts w:ascii="Arial" w:hAnsi="Arial" w:cs="Arial"/>
                <w:color w:val="000000" w:themeColor="text1"/>
                <w:sz w:val="20"/>
                <w:szCs w:val="20"/>
              </w:rPr>
              <w:t>Calculated limit is 0.0038 µg/L; Compliance will be demonstrated by not exceeding the Quantitation Limit of 1 µg/L</w:t>
            </w:r>
          </w:p>
        </w:tc>
        <w:tc>
          <w:tcPr>
            <w:tcW w:w="3998" w:type="dxa"/>
            <w:vAlign w:val="center"/>
          </w:tcPr>
          <w:p w:rsidR="00C57EB6" w:rsidRPr="00C57EB6" w:rsidRDefault="00717D80" w:rsidP="00D94ED9">
            <w:pPr>
              <w:spacing w:before="40" w:after="40"/>
              <w:jc w:val="center"/>
              <w:rPr>
                <w:rFonts w:ascii="Arial" w:hAnsi="Arial" w:cs="Arial"/>
                <w:snapToGrid w:val="0"/>
                <w:color w:val="000000"/>
                <w:sz w:val="20"/>
                <w:szCs w:val="20"/>
              </w:rPr>
            </w:pPr>
            <w:r>
              <w:rPr>
                <w:rFonts w:ascii="Arial" w:hAnsi="Arial" w:cs="Arial"/>
                <w:color w:val="000000" w:themeColor="text1"/>
                <w:sz w:val="20"/>
                <w:szCs w:val="20"/>
              </w:rPr>
              <w:t>Calculated limit is 0.007</w:t>
            </w:r>
            <w:r w:rsidR="00C57EB6" w:rsidRPr="00C57EB6">
              <w:rPr>
                <w:rFonts w:ascii="Arial" w:hAnsi="Arial" w:cs="Arial"/>
                <w:color w:val="000000" w:themeColor="text1"/>
                <w:sz w:val="20"/>
                <w:szCs w:val="20"/>
              </w:rPr>
              <w:t>6 µg/L; Compliance will be demonstrated by not exceeding the Quantitation Limit of 1 µg/L</w:t>
            </w:r>
          </w:p>
        </w:tc>
      </w:tr>
      <w:tr w:rsidR="00717D80" w:rsidTr="00933ACC">
        <w:trPr>
          <w:jc w:val="center"/>
        </w:trPr>
        <w:tc>
          <w:tcPr>
            <w:tcW w:w="2362" w:type="dxa"/>
            <w:vAlign w:val="center"/>
          </w:tcPr>
          <w:p w:rsidR="00717D80" w:rsidRPr="00C57EB6" w:rsidRDefault="00717D80" w:rsidP="00AC7809">
            <w:pPr>
              <w:spacing w:before="40" w:after="40"/>
              <w:jc w:val="center"/>
              <w:rPr>
                <w:rFonts w:ascii="Arial" w:hAnsi="Arial" w:cs="Arial"/>
                <w:snapToGrid w:val="0"/>
                <w:color w:val="000000"/>
                <w:sz w:val="20"/>
                <w:szCs w:val="20"/>
              </w:rPr>
            </w:pPr>
            <w:r w:rsidRPr="00C57EB6">
              <w:rPr>
                <w:rFonts w:ascii="Arial" w:hAnsi="Arial" w:cs="Arial"/>
                <w:color w:val="000000"/>
                <w:sz w:val="20"/>
                <w:szCs w:val="20"/>
              </w:rPr>
              <w:t>Copper</w:t>
            </w:r>
            <w:r>
              <w:rPr>
                <w:rFonts w:ascii="Arial" w:hAnsi="Arial" w:cs="Arial"/>
                <w:color w:val="000000"/>
                <w:sz w:val="20"/>
                <w:szCs w:val="20"/>
              </w:rPr>
              <w:t xml:space="preserve"> (total)</w:t>
            </w:r>
          </w:p>
        </w:tc>
        <w:tc>
          <w:tcPr>
            <w:tcW w:w="3925" w:type="dxa"/>
            <w:vAlign w:val="center"/>
          </w:tcPr>
          <w:p w:rsidR="00717D80" w:rsidRPr="00C57EB6" w:rsidRDefault="007449F4" w:rsidP="00717D80">
            <w:pPr>
              <w:pStyle w:val="TableBody"/>
              <w:keepNext/>
              <w:spacing w:before="40" w:after="40"/>
              <w:rPr>
                <w:sz w:val="20"/>
                <w:szCs w:val="20"/>
              </w:rPr>
            </w:pPr>
            <w:r>
              <w:rPr>
                <w:sz w:val="20"/>
                <w:szCs w:val="20"/>
              </w:rPr>
              <w:t>15</w:t>
            </w:r>
          </w:p>
        </w:tc>
        <w:tc>
          <w:tcPr>
            <w:tcW w:w="3998" w:type="dxa"/>
            <w:vAlign w:val="center"/>
          </w:tcPr>
          <w:p w:rsidR="00717D80" w:rsidRPr="00C57EB6" w:rsidRDefault="007449F4" w:rsidP="00C57EB6">
            <w:pPr>
              <w:pStyle w:val="TableBody"/>
              <w:keepNext/>
              <w:spacing w:before="40" w:after="40"/>
              <w:rPr>
                <w:sz w:val="20"/>
                <w:szCs w:val="20"/>
              </w:rPr>
            </w:pPr>
            <w:r>
              <w:rPr>
                <w:sz w:val="20"/>
                <w:szCs w:val="20"/>
              </w:rPr>
              <w:t>30</w:t>
            </w:r>
          </w:p>
        </w:tc>
      </w:tr>
      <w:tr w:rsidR="00717D80" w:rsidTr="00933ACC">
        <w:trPr>
          <w:jc w:val="center"/>
        </w:trPr>
        <w:tc>
          <w:tcPr>
            <w:tcW w:w="2362" w:type="dxa"/>
            <w:vAlign w:val="center"/>
          </w:tcPr>
          <w:p w:rsidR="00717D80" w:rsidRPr="00C57EB6" w:rsidRDefault="00717D80" w:rsidP="00AC7809">
            <w:pPr>
              <w:spacing w:before="40" w:after="40"/>
              <w:jc w:val="center"/>
              <w:rPr>
                <w:rFonts w:ascii="Arial" w:hAnsi="Arial" w:cs="Arial"/>
                <w:snapToGrid w:val="0"/>
                <w:color w:val="000000"/>
                <w:sz w:val="20"/>
                <w:szCs w:val="20"/>
              </w:rPr>
            </w:pPr>
            <w:r w:rsidRPr="00C57EB6">
              <w:rPr>
                <w:rFonts w:ascii="Arial" w:hAnsi="Arial" w:cs="Arial"/>
                <w:color w:val="000000"/>
                <w:sz w:val="20"/>
                <w:szCs w:val="20"/>
              </w:rPr>
              <w:t>Dibenzo(a,h)anthracene</w:t>
            </w:r>
          </w:p>
        </w:tc>
        <w:tc>
          <w:tcPr>
            <w:tcW w:w="3925" w:type="dxa"/>
            <w:vAlign w:val="center"/>
          </w:tcPr>
          <w:p w:rsidR="00717D80" w:rsidRPr="00C57EB6" w:rsidRDefault="00717D80" w:rsidP="00D94ED9">
            <w:pPr>
              <w:spacing w:before="40" w:after="40"/>
              <w:jc w:val="center"/>
              <w:rPr>
                <w:rFonts w:ascii="Arial" w:hAnsi="Arial" w:cs="Arial"/>
                <w:snapToGrid w:val="0"/>
                <w:color w:val="000000"/>
                <w:sz w:val="20"/>
                <w:szCs w:val="20"/>
              </w:rPr>
            </w:pPr>
            <w:r w:rsidRPr="00C57EB6">
              <w:rPr>
                <w:rFonts w:ascii="Arial" w:hAnsi="Arial" w:cs="Arial"/>
                <w:color w:val="000000" w:themeColor="text1"/>
                <w:sz w:val="20"/>
                <w:szCs w:val="20"/>
              </w:rPr>
              <w:t>Calculated limit is 0.0038 µg/L; Compliance will be demonstrated by not exceeding the Quantitation Limit of 1 µg/L</w:t>
            </w:r>
          </w:p>
        </w:tc>
        <w:tc>
          <w:tcPr>
            <w:tcW w:w="3998" w:type="dxa"/>
            <w:vAlign w:val="center"/>
          </w:tcPr>
          <w:p w:rsidR="00717D80" w:rsidRPr="00C57EB6" w:rsidRDefault="00717D80" w:rsidP="00D94ED9">
            <w:pPr>
              <w:spacing w:before="40" w:after="40"/>
              <w:jc w:val="center"/>
              <w:rPr>
                <w:rFonts w:ascii="Arial" w:hAnsi="Arial" w:cs="Arial"/>
                <w:snapToGrid w:val="0"/>
                <w:color w:val="000000"/>
                <w:sz w:val="20"/>
                <w:szCs w:val="20"/>
              </w:rPr>
            </w:pPr>
            <w:r>
              <w:rPr>
                <w:rFonts w:ascii="Arial" w:hAnsi="Arial" w:cs="Arial"/>
                <w:color w:val="000000" w:themeColor="text1"/>
                <w:sz w:val="20"/>
                <w:szCs w:val="20"/>
              </w:rPr>
              <w:t>Calculated limit is 0.007</w:t>
            </w:r>
            <w:r w:rsidRPr="00C57EB6">
              <w:rPr>
                <w:rFonts w:ascii="Arial" w:hAnsi="Arial" w:cs="Arial"/>
                <w:color w:val="000000" w:themeColor="text1"/>
                <w:sz w:val="20"/>
                <w:szCs w:val="20"/>
              </w:rPr>
              <w:t>6 µg/L; Compliance will be demonstrated by not exceeding the Quantitation Limit of 1 µg/L</w:t>
            </w:r>
          </w:p>
        </w:tc>
      </w:tr>
      <w:tr w:rsidR="00717D80" w:rsidTr="00933ACC">
        <w:trPr>
          <w:jc w:val="center"/>
        </w:trPr>
        <w:tc>
          <w:tcPr>
            <w:tcW w:w="2362" w:type="dxa"/>
            <w:vAlign w:val="center"/>
          </w:tcPr>
          <w:p w:rsidR="00717D80" w:rsidRPr="00C57EB6" w:rsidRDefault="00717D80" w:rsidP="00AC7809">
            <w:pPr>
              <w:spacing w:before="40" w:after="40"/>
              <w:jc w:val="center"/>
              <w:rPr>
                <w:rFonts w:ascii="Arial" w:hAnsi="Arial" w:cs="Arial"/>
                <w:snapToGrid w:val="0"/>
                <w:color w:val="000000"/>
                <w:sz w:val="20"/>
                <w:szCs w:val="20"/>
              </w:rPr>
            </w:pPr>
            <w:r w:rsidRPr="00C57EB6">
              <w:rPr>
                <w:rFonts w:ascii="Arial" w:hAnsi="Arial" w:cs="Arial"/>
                <w:color w:val="000000"/>
                <w:sz w:val="20"/>
                <w:szCs w:val="20"/>
              </w:rPr>
              <w:t>Indeno(1,2,3-cd)pyrene</w:t>
            </w:r>
          </w:p>
        </w:tc>
        <w:tc>
          <w:tcPr>
            <w:tcW w:w="3925" w:type="dxa"/>
            <w:vAlign w:val="center"/>
          </w:tcPr>
          <w:p w:rsidR="00717D80" w:rsidRPr="00C57EB6" w:rsidRDefault="00717D80" w:rsidP="00D94ED9">
            <w:pPr>
              <w:spacing w:before="40" w:after="40"/>
              <w:jc w:val="center"/>
              <w:rPr>
                <w:rFonts w:ascii="Arial" w:hAnsi="Arial" w:cs="Arial"/>
                <w:snapToGrid w:val="0"/>
                <w:color w:val="000000"/>
                <w:sz w:val="20"/>
                <w:szCs w:val="20"/>
              </w:rPr>
            </w:pPr>
            <w:r w:rsidRPr="00C57EB6">
              <w:rPr>
                <w:rFonts w:ascii="Arial" w:hAnsi="Arial" w:cs="Arial"/>
                <w:color w:val="000000" w:themeColor="text1"/>
                <w:sz w:val="20"/>
                <w:szCs w:val="20"/>
              </w:rPr>
              <w:t>Calculated limit is 0.0038 µg/L; Compliance will be demonstrated by not exceeding the Quantitation Limit of 1 µg/L</w:t>
            </w:r>
          </w:p>
        </w:tc>
        <w:tc>
          <w:tcPr>
            <w:tcW w:w="3998" w:type="dxa"/>
            <w:vAlign w:val="center"/>
          </w:tcPr>
          <w:p w:rsidR="00717D80" w:rsidRPr="00C57EB6" w:rsidRDefault="00717D80" w:rsidP="00D94ED9">
            <w:pPr>
              <w:spacing w:before="40" w:after="40"/>
              <w:jc w:val="center"/>
              <w:rPr>
                <w:rFonts w:ascii="Arial" w:hAnsi="Arial" w:cs="Arial"/>
                <w:snapToGrid w:val="0"/>
                <w:color w:val="000000"/>
                <w:sz w:val="20"/>
                <w:szCs w:val="20"/>
              </w:rPr>
            </w:pPr>
            <w:r>
              <w:rPr>
                <w:rFonts w:ascii="Arial" w:hAnsi="Arial" w:cs="Arial"/>
                <w:color w:val="000000" w:themeColor="text1"/>
                <w:sz w:val="20"/>
                <w:szCs w:val="20"/>
              </w:rPr>
              <w:t>Calculated limit is 0.007</w:t>
            </w:r>
            <w:r w:rsidRPr="00C57EB6">
              <w:rPr>
                <w:rFonts w:ascii="Arial" w:hAnsi="Arial" w:cs="Arial"/>
                <w:color w:val="000000" w:themeColor="text1"/>
                <w:sz w:val="20"/>
                <w:szCs w:val="20"/>
              </w:rPr>
              <w:t>6 µg/L; Compliance will be demonstrated by not exceeding the Quantitation Limit of 1 µg/L</w:t>
            </w:r>
          </w:p>
        </w:tc>
      </w:tr>
      <w:tr w:rsidR="00717D80" w:rsidTr="00933ACC">
        <w:trPr>
          <w:jc w:val="center"/>
        </w:trPr>
        <w:tc>
          <w:tcPr>
            <w:tcW w:w="2362" w:type="dxa"/>
            <w:vAlign w:val="center"/>
          </w:tcPr>
          <w:p w:rsidR="00717D80" w:rsidRPr="00C57EB6" w:rsidRDefault="00717D80" w:rsidP="00AC7809">
            <w:pPr>
              <w:spacing w:before="40" w:after="40"/>
              <w:jc w:val="center"/>
              <w:rPr>
                <w:rFonts w:ascii="Arial" w:hAnsi="Arial" w:cs="Arial"/>
                <w:snapToGrid w:val="0"/>
                <w:color w:val="000000"/>
                <w:sz w:val="20"/>
                <w:szCs w:val="20"/>
              </w:rPr>
            </w:pPr>
            <w:r w:rsidRPr="00C57EB6">
              <w:rPr>
                <w:rFonts w:ascii="Arial" w:hAnsi="Arial" w:cs="Arial"/>
                <w:color w:val="000000"/>
                <w:sz w:val="20"/>
                <w:szCs w:val="20"/>
              </w:rPr>
              <w:t>Iron</w:t>
            </w:r>
            <w:r>
              <w:rPr>
                <w:rFonts w:ascii="Arial" w:hAnsi="Arial" w:cs="Arial"/>
                <w:color w:val="000000"/>
                <w:sz w:val="20"/>
                <w:szCs w:val="20"/>
              </w:rPr>
              <w:t xml:space="preserve"> (total)</w:t>
            </w:r>
          </w:p>
        </w:tc>
        <w:tc>
          <w:tcPr>
            <w:tcW w:w="3925" w:type="dxa"/>
            <w:vAlign w:val="center"/>
          </w:tcPr>
          <w:p w:rsidR="00717D80" w:rsidRPr="00C57EB6" w:rsidRDefault="00717D80" w:rsidP="00C57EB6">
            <w:pPr>
              <w:pStyle w:val="TableBody"/>
              <w:keepNext/>
              <w:spacing w:before="40" w:after="40"/>
              <w:rPr>
                <w:sz w:val="20"/>
                <w:szCs w:val="20"/>
              </w:rPr>
            </w:pPr>
            <w:r>
              <w:rPr>
                <w:sz w:val="20"/>
                <w:szCs w:val="20"/>
              </w:rPr>
              <w:t>820</w:t>
            </w:r>
          </w:p>
        </w:tc>
        <w:tc>
          <w:tcPr>
            <w:tcW w:w="3998" w:type="dxa"/>
            <w:vAlign w:val="center"/>
          </w:tcPr>
          <w:p w:rsidR="00717D80" w:rsidRPr="00C57EB6" w:rsidRDefault="00717D80" w:rsidP="00C57EB6">
            <w:pPr>
              <w:pStyle w:val="TableBody"/>
              <w:keepNext/>
              <w:spacing w:before="40" w:after="40"/>
              <w:rPr>
                <w:sz w:val="20"/>
                <w:szCs w:val="20"/>
              </w:rPr>
            </w:pPr>
            <w:r w:rsidRPr="00C57EB6">
              <w:rPr>
                <w:sz w:val="20"/>
                <w:szCs w:val="20"/>
              </w:rPr>
              <w:t>1600</w:t>
            </w:r>
          </w:p>
        </w:tc>
      </w:tr>
      <w:tr w:rsidR="00717D80" w:rsidTr="00933ACC">
        <w:trPr>
          <w:jc w:val="center"/>
        </w:trPr>
        <w:tc>
          <w:tcPr>
            <w:tcW w:w="2362" w:type="dxa"/>
            <w:vAlign w:val="center"/>
          </w:tcPr>
          <w:p w:rsidR="00717D80" w:rsidRPr="00C57EB6" w:rsidRDefault="00717D80" w:rsidP="00AC7809">
            <w:pPr>
              <w:spacing w:before="40" w:after="40"/>
              <w:jc w:val="center"/>
              <w:rPr>
                <w:rFonts w:ascii="Arial" w:hAnsi="Arial" w:cs="Arial"/>
                <w:snapToGrid w:val="0"/>
                <w:color w:val="000000"/>
                <w:sz w:val="20"/>
                <w:szCs w:val="20"/>
              </w:rPr>
            </w:pPr>
            <w:r w:rsidRPr="00C57EB6">
              <w:rPr>
                <w:rFonts w:ascii="Arial" w:hAnsi="Arial" w:cs="Arial"/>
                <w:snapToGrid w:val="0"/>
                <w:color w:val="000000"/>
                <w:sz w:val="20"/>
                <w:szCs w:val="20"/>
              </w:rPr>
              <w:t xml:space="preserve">Lead </w:t>
            </w:r>
            <w:r>
              <w:rPr>
                <w:rFonts w:ascii="Arial" w:hAnsi="Arial" w:cs="Arial"/>
                <w:snapToGrid w:val="0"/>
                <w:color w:val="000000"/>
                <w:sz w:val="20"/>
                <w:szCs w:val="20"/>
              </w:rPr>
              <w:t>(total)</w:t>
            </w:r>
          </w:p>
        </w:tc>
        <w:tc>
          <w:tcPr>
            <w:tcW w:w="3925" w:type="dxa"/>
            <w:vAlign w:val="center"/>
          </w:tcPr>
          <w:p w:rsidR="00717D80" w:rsidRPr="00C57EB6" w:rsidRDefault="00717D80" w:rsidP="00D94ED9">
            <w:pPr>
              <w:pStyle w:val="TableBody"/>
              <w:keepNext/>
              <w:spacing w:before="40" w:after="40"/>
              <w:rPr>
                <w:sz w:val="20"/>
                <w:szCs w:val="20"/>
              </w:rPr>
            </w:pPr>
            <w:r w:rsidRPr="00C57EB6">
              <w:rPr>
                <w:color w:val="000000" w:themeColor="text1"/>
                <w:sz w:val="20"/>
                <w:szCs w:val="20"/>
              </w:rPr>
              <w:t xml:space="preserve">Calculated limit is </w:t>
            </w:r>
            <w:r>
              <w:rPr>
                <w:color w:val="000000" w:themeColor="text1"/>
                <w:sz w:val="20"/>
                <w:szCs w:val="20"/>
              </w:rPr>
              <w:t>3.</w:t>
            </w:r>
            <w:r w:rsidR="007449F4">
              <w:rPr>
                <w:color w:val="000000" w:themeColor="text1"/>
                <w:sz w:val="20"/>
                <w:szCs w:val="20"/>
              </w:rPr>
              <w:t>8</w:t>
            </w:r>
            <w:r w:rsidRPr="00C57EB6">
              <w:rPr>
                <w:color w:val="000000" w:themeColor="text1"/>
                <w:sz w:val="20"/>
                <w:szCs w:val="20"/>
              </w:rPr>
              <w:t xml:space="preserve"> µg/L; Compliance will be demonstrated by not exceeding the Quantitation Limit of 5 µg/L</w:t>
            </w:r>
          </w:p>
        </w:tc>
        <w:tc>
          <w:tcPr>
            <w:tcW w:w="3998" w:type="dxa"/>
            <w:vAlign w:val="center"/>
          </w:tcPr>
          <w:p w:rsidR="00717D80" w:rsidRPr="007449F4" w:rsidRDefault="00717D80" w:rsidP="00A80659">
            <w:pPr>
              <w:pStyle w:val="TableBody"/>
              <w:keepNext/>
              <w:spacing w:before="40" w:after="40"/>
              <w:rPr>
                <w:sz w:val="20"/>
                <w:szCs w:val="20"/>
              </w:rPr>
            </w:pPr>
            <w:r w:rsidRPr="00C57EB6">
              <w:rPr>
                <w:sz w:val="20"/>
                <w:szCs w:val="20"/>
              </w:rPr>
              <w:t>7.</w:t>
            </w:r>
            <w:r w:rsidR="007449F4" w:rsidRPr="007449F4">
              <w:rPr>
                <w:sz w:val="20"/>
                <w:szCs w:val="20"/>
              </w:rPr>
              <w:t>6</w:t>
            </w:r>
          </w:p>
        </w:tc>
      </w:tr>
      <w:tr w:rsidR="00717D80" w:rsidTr="00933ACC">
        <w:trPr>
          <w:jc w:val="center"/>
        </w:trPr>
        <w:tc>
          <w:tcPr>
            <w:tcW w:w="2362" w:type="dxa"/>
            <w:vAlign w:val="center"/>
          </w:tcPr>
          <w:p w:rsidR="00717D80" w:rsidRPr="00C57EB6" w:rsidRDefault="00717D80" w:rsidP="00AC7809">
            <w:pPr>
              <w:spacing w:before="40" w:after="40"/>
              <w:jc w:val="center"/>
              <w:rPr>
                <w:rFonts w:ascii="Arial" w:hAnsi="Arial" w:cs="Arial"/>
                <w:snapToGrid w:val="0"/>
                <w:color w:val="000000"/>
                <w:sz w:val="20"/>
                <w:szCs w:val="20"/>
              </w:rPr>
            </w:pPr>
            <w:r w:rsidRPr="00C57EB6">
              <w:rPr>
                <w:rFonts w:ascii="Arial" w:hAnsi="Arial" w:cs="Arial"/>
                <w:snapToGrid w:val="0"/>
                <w:color w:val="000000"/>
                <w:sz w:val="20"/>
                <w:szCs w:val="20"/>
              </w:rPr>
              <w:t>Mercury</w:t>
            </w:r>
            <w:r>
              <w:rPr>
                <w:rFonts w:ascii="Arial" w:hAnsi="Arial" w:cs="Arial"/>
                <w:snapToGrid w:val="0"/>
                <w:color w:val="000000"/>
                <w:sz w:val="20"/>
                <w:szCs w:val="20"/>
              </w:rPr>
              <w:t xml:space="preserve"> (total)</w:t>
            </w:r>
          </w:p>
        </w:tc>
        <w:tc>
          <w:tcPr>
            <w:tcW w:w="3925" w:type="dxa"/>
            <w:vAlign w:val="center"/>
          </w:tcPr>
          <w:p w:rsidR="00717D80" w:rsidRPr="00C57EB6" w:rsidRDefault="00717D80" w:rsidP="00C57EB6">
            <w:pPr>
              <w:pStyle w:val="TableBody"/>
              <w:keepNext/>
              <w:spacing w:before="40" w:after="40"/>
              <w:rPr>
                <w:sz w:val="20"/>
                <w:szCs w:val="20"/>
              </w:rPr>
            </w:pPr>
            <w:r w:rsidRPr="00C57EB6">
              <w:rPr>
                <w:sz w:val="20"/>
                <w:szCs w:val="20"/>
              </w:rPr>
              <w:t>0.01</w:t>
            </w:r>
            <w:r w:rsidR="000978DF">
              <w:rPr>
                <w:sz w:val="20"/>
                <w:szCs w:val="20"/>
              </w:rPr>
              <w:t>0</w:t>
            </w:r>
          </w:p>
        </w:tc>
        <w:tc>
          <w:tcPr>
            <w:tcW w:w="3998" w:type="dxa"/>
            <w:vAlign w:val="center"/>
          </w:tcPr>
          <w:p w:rsidR="00717D80" w:rsidRPr="00C57EB6" w:rsidRDefault="00717D80" w:rsidP="00C57EB6">
            <w:pPr>
              <w:pStyle w:val="TableBody"/>
              <w:keepNext/>
              <w:spacing w:before="40" w:after="40"/>
              <w:rPr>
                <w:sz w:val="20"/>
                <w:szCs w:val="20"/>
              </w:rPr>
            </w:pPr>
            <w:r w:rsidRPr="00C57EB6">
              <w:rPr>
                <w:sz w:val="20"/>
                <w:szCs w:val="20"/>
              </w:rPr>
              <w:t>0.02</w:t>
            </w:r>
            <w:r w:rsidR="000978DF">
              <w:rPr>
                <w:sz w:val="20"/>
                <w:szCs w:val="20"/>
              </w:rPr>
              <w:t>0</w:t>
            </w:r>
          </w:p>
        </w:tc>
      </w:tr>
      <w:tr w:rsidR="00717D80" w:rsidTr="00933ACC">
        <w:trPr>
          <w:jc w:val="center"/>
        </w:trPr>
        <w:tc>
          <w:tcPr>
            <w:tcW w:w="2362" w:type="dxa"/>
            <w:vAlign w:val="center"/>
          </w:tcPr>
          <w:p w:rsidR="00717D80" w:rsidRPr="00C57EB6" w:rsidRDefault="00717D80" w:rsidP="00AC7809">
            <w:pPr>
              <w:spacing w:before="40" w:after="40"/>
              <w:jc w:val="center"/>
              <w:rPr>
                <w:rFonts w:ascii="Arial" w:hAnsi="Arial" w:cs="Arial"/>
                <w:snapToGrid w:val="0"/>
                <w:color w:val="000000"/>
                <w:sz w:val="20"/>
                <w:szCs w:val="20"/>
              </w:rPr>
            </w:pPr>
            <w:r w:rsidRPr="00C57EB6">
              <w:rPr>
                <w:rFonts w:ascii="Arial" w:hAnsi="Arial" w:cs="Arial"/>
                <w:snapToGrid w:val="0"/>
                <w:color w:val="000000"/>
                <w:sz w:val="20"/>
                <w:szCs w:val="20"/>
              </w:rPr>
              <w:t>pH</w:t>
            </w:r>
          </w:p>
        </w:tc>
        <w:tc>
          <w:tcPr>
            <w:tcW w:w="7923" w:type="dxa"/>
            <w:gridSpan w:val="2"/>
            <w:vAlign w:val="center"/>
          </w:tcPr>
          <w:p w:rsidR="00717D80" w:rsidRPr="00C57EB6" w:rsidRDefault="00717D80" w:rsidP="008F47D5">
            <w:pPr>
              <w:pStyle w:val="TableBody"/>
              <w:keepNext/>
              <w:spacing w:before="40" w:after="40"/>
              <w:rPr>
                <w:sz w:val="20"/>
                <w:szCs w:val="20"/>
              </w:rPr>
            </w:pPr>
            <w:r w:rsidRPr="00C57EB6">
              <w:rPr>
                <w:sz w:val="20"/>
                <w:szCs w:val="20"/>
              </w:rPr>
              <w:t>Within the range of 6.5 – 8.5</w:t>
            </w:r>
          </w:p>
        </w:tc>
      </w:tr>
      <w:tr w:rsidR="00717D80" w:rsidRPr="00536520" w:rsidTr="00933ACC">
        <w:tblPrEx>
          <w:tblLook w:val="01E0"/>
        </w:tblPrEx>
        <w:trPr>
          <w:jc w:val="center"/>
        </w:trPr>
        <w:tc>
          <w:tcPr>
            <w:tcW w:w="2362" w:type="dxa"/>
            <w:vAlign w:val="center"/>
          </w:tcPr>
          <w:p w:rsidR="00717D80" w:rsidRPr="00C57EB6" w:rsidRDefault="00717D80" w:rsidP="00C87E76">
            <w:pPr>
              <w:spacing w:before="40" w:after="40"/>
              <w:ind w:left="-113"/>
              <w:jc w:val="center"/>
              <w:rPr>
                <w:rFonts w:ascii="Arial" w:hAnsi="Arial" w:cs="Arial"/>
                <w:snapToGrid w:val="0"/>
                <w:color w:val="000000" w:themeColor="text1"/>
                <w:sz w:val="20"/>
                <w:szCs w:val="20"/>
              </w:rPr>
            </w:pPr>
            <w:r w:rsidRPr="00C57EB6">
              <w:rPr>
                <w:rFonts w:ascii="Arial" w:hAnsi="Arial" w:cs="Arial"/>
                <w:snapToGrid w:val="0"/>
                <w:color w:val="000000" w:themeColor="text1"/>
                <w:sz w:val="20"/>
                <w:szCs w:val="20"/>
              </w:rPr>
              <w:t>Total Cyanide (Interim)</w:t>
            </w:r>
          </w:p>
        </w:tc>
        <w:tc>
          <w:tcPr>
            <w:tcW w:w="3925" w:type="dxa"/>
            <w:vAlign w:val="center"/>
          </w:tcPr>
          <w:p w:rsidR="00717D80" w:rsidRPr="00C57EB6" w:rsidRDefault="003808CB" w:rsidP="00C57EB6">
            <w:pPr>
              <w:pStyle w:val="TableBody"/>
              <w:keepNext/>
              <w:spacing w:before="40" w:after="40"/>
              <w:rPr>
                <w:sz w:val="20"/>
                <w:szCs w:val="20"/>
              </w:rPr>
            </w:pPr>
            <w:r>
              <w:rPr>
                <w:sz w:val="20"/>
                <w:szCs w:val="20"/>
              </w:rPr>
              <w:t>510</w:t>
            </w:r>
          </w:p>
        </w:tc>
        <w:tc>
          <w:tcPr>
            <w:tcW w:w="3998" w:type="dxa"/>
            <w:vAlign w:val="center"/>
          </w:tcPr>
          <w:p w:rsidR="00717D80" w:rsidRPr="00C57EB6" w:rsidRDefault="003808CB" w:rsidP="00C57EB6">
            <w:pPr>
              <w:pStyle w:val="TableBody"/>
              <w:keepNext/>
              <w:spacing w:before="40" w:after="40"/>
              <w:rPr>
                <w:sz w:val="20"/>
                <w:szCs w:val="20"/>
              </w:rPr>
            </w:pPr>
            <w:r>
              <w:rPr>
                <w:sz w:val="20"/>
                <w:szCs w:val="20"/>
              </w:rPr>
              <w:t>1000</w:t>
            </w:r>
          </w:p>
        </w:tc>
      </w:tr>
      <w:tr w:rsidR="00717D80" w:rsidRPr="00536520" w:rsidTr="00933ACC">
        <w:tblPrEx>
          <w:tblLook w:val="01E0"/>
        </w:tblPrEx>
        <w:trPr>
          <w:jc w:val="center"/>
        </w:trPr>
        <w:tc>
          <w:tcPr>
            <w:tcW w:w="2362" w:type="dxa"/>
            <w:vMerge w:val="restart"/>
            <w:vAlign w:val="center"/>
          </w:tcPr>
          <w:p w:rsidR="00717D80" w:rsidRPr="00C57EB6" w:rsidRDefault="00717D80" w:rsidP="00EB1764">
            <w:pPr>
              <w:spacing w:before="40" w:after="40"/>
              <w:ind w:left="-113"/>
              <w:jc w:val="center"/>
              <w:rPr>
                <w:rFonts w:ascii="Arial" w:hAnsi="Arial" w:cs="Arial"/>
                <w:snapToGrid w:val="0"/>
                <w:color w:val="000000" w:themeColor="text1"/>
                <w:sz w:val="20"/>
                <w:szCs w:val="20"/>
              </w:rPr>
            </w:pPr>
            <w:r w:rsidRPr="00C57EB6">
              <w:rPr>
                <w:rFonts w:ascii="Arial" w:hAnsi="Arial" w:cs="Arial"/>
                <w:snapToGrid w:val="0"/>
                <w:color w:val="000000" w:themeColor="text1"/>
                <w:sz w:val="20"/>
                <w:szCs w:val="20"/>
              </w:rPr>
              <w:t>Total Cyanide (</w:t>
            </w:r>
            <w:r>
              <w:rPr>
                <w:rFonts w:ascii="Arial" w:hAnsi="Arial" w:cs="Arial"/>
                <w:snapToGrid w:val="0"/>
                <w:color w:val="000000" w:themeColor="text1"/>
                <w:sz w:val="20"/>
                <w:szCs w:val="20"/>
              </w:rPr>
              <w:t>Final</w:t>
            </w:r>
            <w:r w:rsidRPr="00C57EB6">
              <w:rPr>
                <w:rFonts w:ascii="Arial" w:hAnsi="Arial" w:cs="Arial"/>
                <w:snapToGrid w:val="0"/>
                <w:color w:val="000000" w:themeColor="text1"/>
                <w:sz w:val="20"/>
                <w:szCs w:val="20"/>
              </w:rPr>
              <w:t>)</w:t>
            </w:r>
          </w:p>
        </w:tc>
        <w:tc>
          <w:tcPr>
            <w:tcW w:w="3925" w:type="dxa"/>
            <w:vAlign w:val="center"/>
          </w:tcPr>
          <w:p w:rsidR="00717D80" w:rsidRPr="00C57EB6" w:rsidRDefault="00717D80" w:rsidP="00C57EB6">
            <w:pPr>
              <w:pStyle w:val="TableBody"/>
              <w:keepNext/>
              <w:spacing w:before="40" w:after="40"/>
              <w:rPr>
                <w:sz w:val="20"/>
                <w:szCs w:val="20"/>
              </w:rPr>
            </w:pPr>
            <w:r w:rsidRPr="00C57EB6">
              <w:rPr>
                <w:sz w:val="20"/>
                <w:szCs w:val="20"/>
              </w:rPr>
              <w:t>130</w:t>
            </w:r>
          </w:p>
        </w:tc>
        <w:tc>
          <w:tcPr>
            <w:tcW w:w="3998" w:type="dxa"/>
            <w:vAlign w:val="center"/>
          </w:tcPr>
          <w:p w:rsidR="00717D80" w:rsidRPr="00C57EB6" w:rsidRDefault="006F721C" w:rsidP="00C57EB6">
            <w:pPr>
              <w:pStyle w:val="TableBody"/>
              <w:keepNext/>
              <w:spacing w:before="40" w:after="40"/>
              <w:rPr>
                <w:sz w:val="20"/>
                <w:szCs w:val="20"/>
              </w:rPr>
            </w:pPr>
            <w:r>
              <w:rPr>
                <w:sz w:val="20"/>
                <w:szCs w:val="20"/>
              </w:rPr>
              <w:t>260</w:t>
            </w:r>
          </w:p>
        </w:tc>
      </w:tr>
      <w:tr w:rsidR="00717D80" w:rsidRPr="00536520" w:rsidTr="00933ACC">
        <w:tblPrEx>
          <w:tblLook w:val="01E0"/>
        </w:tblPrEx>
        <w:trPr>
          <w:jc w:val="center"/>
        </w:trPr>
        <w:tc>
          <w:tcPr>
            <w:tcW w:w="2362" w:type="dxa"/>
            <w:vMerge/>
            <w:vAlign w:val="center"/>
          </w:tcPr>
          <w:p w:rsidR="00717D80" w:rsidRPr="00C57EB6" w:rsidRDefault="00717D80" w:rsidP="00C57EB6">
            <w:pPr>
              <w:spacing w:before="40" w:after="40"/>
              <w:ind w:left="360"/>
              <w:jc w:val="center"/>
              <w:rPr>
                <w:rFonts w:ascii="Arial" w:hAnsi="Arial" w:cs="Arial"/>
                <w:snapToGrid w:val="0"/>
                <w:color w:val="000000" w:themeColor="text1"/>
                <w:sz w:val="20"/>
                <w:szCs w:val="20"/>
              </w:rPr>
            </w:pPr>
          </w:p>
        </w:tc>
        <w:tc>
          <w:tcPr>
            <w:tcW w:w="3925" w:type="dxa"/>
            <w:vAlign w:val="center"/>
          </w:tcPr>
          <w:p w:rsidR="00717D80" w:rsidRPr="00C57EB6" w:rsidRDefault="003808CB" w:rsidP="00C57EB6">
            <w:pPr>
              <w:pStyle w:val="TableBody"/>
              <w:keepNext/>
              <w:spacing w:before="40" w:after="40"/>
              <w:ind w:left="-18" w:firstLine="18"/>
              <w:rPr>
                <w:sz w:val="20"/>
                <w:szCs w:val="20"/>
              </w:rPr>
            </w:pPr>
            <w:r>
              <w:rPr>
                <w:sz w:val="20"/>
                <w:szCs w:val="20"/>
              </w:rPr>
              <w:t>510</w:t>
            </w:r>
          </w:p>
        </w:tc>
        <w:tc>
          <w:tcPr>
            <w:tcW w:w="3998" w:type="dxa"/>
            <w:vAlign w:val="center"/>
          </w:tcPr>
          <w:p w:rsidR="00717D80" w:rsidRPr="00C57EB6" w:rsidRDefault="003808CB" w:rsidP="00C57EB6">
            <w:pPr>
              <w:pStyle w:val="TableBody"/>
              <w:keepNext/>
              <w:spacing w:before="40" w:after="40"/>
              <w:rPr>
                <w:sz w:val="20"/>
                <w:szCs w:val="20"/>
              </w:rPr>
            </w:pPr>
            <w:r>
              <w:rPr>
                <w:sz w:val="20"/>
                <w:szCs w:val="20"/>
              </w:rPr>
              <w:t>1000</w:t>
            </w:r>
          </w:p>
        </w:tc>
      </w:tr>
    </w:tbl>
    <w:p w:rsidR="007401A9" w:rsidRDefault="007401A9">
      <w:pPr>
        <w:pStyle w:val="Asteve2"/>
      </w:pPr>
      <w:bookmarkStart w:id="43" w:name="_Toc197758216"/>
    </w:p>
    <w:p w:rsidR="007401A9" w:rsidRDefault="007401A9">
      <w:pPr>
        <w:jc w:val="left"/>
        <w:rPr>
          <w:rFonts w:ascii="Arial" w:hAnsi="Arial" w:cs="Arial"/>
          <w:b/>
          <w:bCs/>
          <w:sz w:val="26"/>
          <w:szCs w:val="26"/>
        </w:rPr>
      </w:pPr>
      <w:r>
        <w:br w:type="page"/>
      </w:r>
    </w:p>
    <w:p w:rsidR="00C57EB6" w:rsidRDefault="00C57EB6">
      <w:pPr>
        <w:pStyle w:val="Asteve2"/>
      </w:pPr>
    </w:p>
    <w:p w:rsidR="0027683C" w:rsidRDefault="0027683C">
      <w:pPr>
        <w:pStyle w:val="Asteve2"/>
      </w:pPr>
      <w:r>
        <w:t>6.3  Schedule B - Minimum Monitoring and Reporting Requirements</w:t>
      </w:r>
      <w:bookmarkEnd w:id="43"/>
      <w:r>
        <w:t xml:space="preserve"> </w:t>
      </w:r>
    </w:p>
    <w:p w:rsidR="006943FB" w:rsidRDefault="0027683C" w:rsidP="00A43072">
      <w:pPr>
        <w:jc w:val="left"/>
        <w:rPr>
          <w:rFonts w:cs="Times New Roman"/>
          <w:sz w:val="22"/>
          <w:szCs w:val="22"/>
        </w:rPr>
      </w:pPr>
      <w:r>
        <w:rPr>
          <w:rFonts w:cs="Times New Roman"/>
          <w:sz w:val="22"/>
          <w:szCs w:val="22"/>
        </w:rPr>
        <w:t xml:space="preserve">Schedule B includes the minimum monitoring and reporting requirements for the facility. The parameters listed </w:t>
      </w:r>
      <w:r w:rsidR="00CC7048">
        <w:rPr>
          <w:rFonts w:cs="Times New Roman"/>
          <w:sz w:val="22"/>
          <w:szCs w:val="22"/>
        </w:rPr>
        <w:t>include</w:t>
      </w:r>
      <w:r>
        <w:rPr>
          <w:rFonts w:cs="Times New Roman"/>
          <w:sz w:val="22"/>
          <w:szCs w:val="22"/>
        </w:rPr>
        <w:t xml:space="preserve"> the pollutants of concern detailed in Section 4.3.1, above.  T</w:t>
      </w:r>
      <w:r w:rsidR="00CC7048">
        <w:rPr>
          <w:rFonts w:cs="Times New Roman"/>
          <w:sz w:val="22"/>
          <w:szCs w:val="22"/>
        </w:rPr>
        <w:t>wo</w:t>
      </w:r>
      <w:r>
        <w:rPr>
          <w:rFonts w:cs="Times New Roman"/>
          <w:sz w:val="22"/>
          <w:szCs w:val="22"/>
        </w:rPr>
        <w:t xml:space="preserve"> table</w:t>
      </w:r>
      <w:r w:rsidR="00CC7048">
        <w:rPr>
          <w:rFonts w:cs="Times New Roman"/>
          <w:sz w:val="22"/>
          <w:szCs w:val="22"/>
        </w:rPr>
        <w:t>s are included in the proposed permit. Tabl</w:t>
      </w:r>
      <w:r w:rsidR="00FD1C3B">
        <w:rPr>
          <w:rFonts w:cs="Times New Roman"/>
          <w:sz w:val="22"/>
          <w:szCs w:val="22"/>
        </w:rPr>
        <w:t xml:space="preserve">e </w:t>
      </w:r>
      <w:r w:rsidR="001D0D64">
        <w:rPr>
          <w:rFonts w:cs="Times New Roman"/>
          <w:sz w:val="22"/>
          <w:szCs w:val="22"/>
        </w:rPr>
        <w:t>10</w:t>
      </w:r>
      <w:r w:rsidR="00CC7048">
        <w:rPr>
          <w:rFonts w:cs="Times New Roman"/>
          <w:sz w:val="22"/>
          <w:szCs w:val="22"/>
        </w:rPr>
        <w:t>, below (Table B1 in the proposed permit) specifies monitoring requirements related to compliance with the effluent limits est</w:t>
      </w:r>
      <w:r w:rsidR="00FD1C3B">
        <w:rPr>
          <w:rFonts w:cs="Times New Roman"/>
          <w:sz w:val="22"/>
          <w:szCs w:val="22"/>
        </w:rPr>
        <w:t>ablished in Schedule A.  Table 1</w:t>
      </w:r>
      <w:r w:rsidR="001D0D64">
        <w:rPr>
          <w:rFonts w:cs="Times New Roman"/>
          <w:sz w:val="22"/>
          <w:szCs w:val="22"/>
        </w:rPr>
        <w:t>1</w:t>
      </w:r>
      <w:r w:rsidR="00CC7048">
        <w:rPr>
          <w:rFonts w:cs="Times New Roman"/>
          <w:sz w:val="22"/>
          <w:szCs w:val="22"/>
        </w:rPr>
        <w:t xml:space="preserve"> (</w:t>
      </w:r>
      <w:r w:rsidR="007401A9">
        <w:rPr>
          <w:rFonts w:cs="Times New Roman"/>
          <w:sz w:val="22"/>
          <w:szCs w:val="22"/>
        </w:rPr>
        <w:t xml:space="preserve">on the following pages and presented as </w:t>
      </w:r>
      <w:r w:rsidR="00CC7048">
        <w:rPr>
          <w:rFonts w:cs="Times New Roman"/>
          <w:sz w:val="22"/>
          <w:szCs w:val="22"/>
        </w:rPr>
        <w:t>Table B2 in the proposed permit) specifies</w:t>
      </w:r>
      <w:r>
        <w:rPr>
          <w:rFonts w:cs="Times New Roman"/>
          <w:sz w:val="22"/>
          <w:szCs w:val="22"/>
        </w:rPr>
        <w:t xml:space="preserve"> the monitoring requirements </w:t>
      </w:r>
      <w:r w:rsidR="00CC7048">
        <w:rPr>
          <w:rFonts w:cs="Times New Roman"/>
          <w:sz w:val="22"/>
          <w:szCs w:val="22"/>
        </w:rPr>
        <w:t xml:space="preserve">that will help further characterize the effluent for future analyses (including permit renewal). </w:t>
      </w:r>
    </w:p>
    <w:p w:rsidR="00CC7048" w:rsidRDefault="00CC7048" w:rsidP="00CC7048">
      <w:pPr>
        <w:rPr>
          <w:rFonts w:cs="Times New Roman"/>
          <w:b/>
          <w:bCs/>
        </w:rPr>
      </w:pPr>
    </w:p>
    <w:p w:rsidR="007401A9" w:rsidRDefault="007401A9" w:rsidP="00CC7048">
      <w:pPr>
        <w:rPr>
          <w:rFonts w:cs="Times New Roman"/>
          <w:b/>
          <w:bCs/>
        </w:rPr>
      </w:pPr>
    </w:p>
    <w:tbl>
      <w:tblPr>
        <w:tblW w:w="10596" w:type="dxa"/>
        <w:jc w:val="center"/>
        <w:tblInd w:w="-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60"/>
        <w:gridCol w:w="1080"/>
        <w:gridCol w:w="756"/>
        <w:gridCol w:w="2484"/>
        <w:gridCol w:w="1836"/>
        <w:gridCol w:w="2280"/>
      </w:tblGrid>
      <w:tr w:rsidR="006943FB" w:rsidRPr="00753D32" w:rsidTr="00FC56C6">
        <w:trPr>
          <w:trHeight w:val="323"/>
          <w:jc w:val="center"/>
        </w:trPr>
        <w:tc>
          <w:tcPr>
            <w:tcW w:w="10596" w:type="dxa"/>
            <w:gridSpan w:val="6"/>
            <w:shd w:val="clear" w:color="auto" w:fill="D9D9D9" w:themeFill="background1" w:themeFillShade="D9"/>
            <w:vAlign w:val="center"/>
          </w:tcPr>
          <w:p w:rsidR="006943FB" w:rsidRPr="00156422" w:rsidRDefault="00FD1C3B" w:rsidP="001D0D64">
            <w:pPr>
              <w:spacing w:before="80" w:after="80"/>
              <w:jc w:val="center"/>
              <w:rPr>
                <w:rFonts w:ascii="Arial" w:hAnsi="Arial" w:cs="Arial"/>
                <w:b/>
                <w:u w:val="single"/>
              </w:rPr>
            </w:pPr>
            <w:r>
              <w:rPr>
                <w:rFonts w:ascii="Arial" w:hAnsi="Arial" w:cs="Arial"/>
                <w:b/>
                <w:sz w:val="22"/>
                <w:szCs w:val="22"/>
              </w:rPr>
              <w:t xml:space="preserve">Table </w:t>
            </w:r>
            <w:r w:rsidR="001D0D64">
              <w:rPr>
                <w:rFonts w:ascii="Arial" w:hAnsi="Arial" w:cs="Arial"/>
                <w:b/>
                <w:sz w:val="22"/>
                <w:szCs w:val="22"/>
              </w:rPr>
              <w:t>10</w:t>
            </w:r>
            <w:r w:rsidR="006943FB" w:rsidRPr="00156422">
              <w:rPr>
                <w:rFonts w:ascii="Arial" w:hAnsi="Arial" w:cs="Arial"/>
                <w:b/>
                <w:sz w:val="22"/>
                <w:szCs w:val="22"/>
              </w:rPr>
              <w:t xml:space="preserve">: Proposed Outfall 001 </w:t>
            </w:r>
            <w:r w:rsidR="006943FB" w:rsidRPr="00156422">
              <w:rPr>
                <w:rFonts w:ascii="Arial" w:hAnsi="Arial" w:cs="Arial"/>
                <w:b/>
                <w:color w:val="000000" w:themeColor="text1"/>
                <w:sz w:val="22"/>
                <w:szCs w:val="22"/>
              </w:rPr>
              <w:t xml:space="preserve">Compliance </w:t>
            </w:r>
            <w:r w:rsidR="006943FB" w:rsidRPr="00156422">
              <w:rPr>
                <w:rFonts w:ascii="Arial" w:hAnsi="Arial" w:cs="Arial"/>
                <w:b/>
                <w:sz w:val="22"/>
                <w:szCs w:val="22"/>
              </w:rPr>
              <w:t>Monitoring Requirements</w:t>
            </w:r>
          </w:p>
        </w:tc>
      </w:tr>
      <w:tr w:rsidR="006943FB" w:rsidRPr="00753D32" w:rsidTr="00FC56C6">
        <w:trPr>
          <w:trHeight w:val="323"/>
          <w:jc w:val="center"/>
        </w:trPr>
        <w:tc>
          <w:tcPr>
            <w:tcW w:w="2160" w:type="dxa"/>
            <w:shd w:val="clear" w:color="auto" w:fill="D9D9D9" w:themeFill="background1" w:themeFillShade="D9"/>
            <w:vAlign w:val="center"/>
          </w:tcPr>
          <w:p w:rsidR="006943FB" w:rsidRPr="00004D2C" w:rsidRDefault="006943FB" w:rsidP="006943FB">
            <w:pPr>
              <w:spacing w:before="80" w:after="80"/>
              <w:jc w:val="center"/>
              <w:rPr>
                <w:rFonts w:ascii="Arial" w:hAnsi="Arial" w:cs="Arial"/>
                <w:b/>
                <w:sz w:val="18"/>
                <w:szCs w:val="18"/>
                <w:u w:val="single"/>
              </w:rPr>
            </w:pPr>
            <w:r w:rsidRPr="00004D2C">
              <w:rPr>
                <w:rFonts w:ascii="Arial" w:hAnsi="Arial" w:cs="Arial"/>
                <w:b/>
                <w:sz w:val="18"/>
                <w:szCs w:val="18"/>
                <w:u w:val="single"/>
              </w:rPr>
              <w:t>Parameter</w:t>
            </w:r>
          </w:p>
        </w:tc>
        <w:tc>
          <w:tcPr>
            <w:tcW w:w="1080" w:type="dxa"/>
            <w:shd w:val="clear" w:color="auto" w:fill="D9D9D9" w:themeFill="background1" w:themeFillShade="D9"/>
            <w:vAlign w:val="center"/>
          </w:tcPr>
          <w:p w:rsidR="006943FB" w:rsidRPr="00004D2C" w:rsidRDefault="006943FB" w:rsidP="006943FB">
            <w:pPr>
              <w:spacing w:before="80" w:after="80"/>
              <w:jc w:val="center"/>
              <w:rPr>
                <w:rFonts w:ascii="Arial" w:hAnsi="Arial" w:cs="Arial"/>
                <w:b/>
                <w:sz w:val="18"/>
                <w:szCs w:val="18"/>
                <w:u w:val="single"/>
              </w:rPr>
            </w:pPr>
            <w:r w:rsidRPr="00004D2C">
              <w:rPr>
                <w:rFonts w:ascii="Arial" w:hAnsi="Arial" w:cs="Arial"/>
                <w:b/>
                <w:sz w:val="18"/>
                <w:szCs w:val="18"/>
                <w:u w:val="single"/>
              </w:rPr>
              <w:t>CAS</w:t>
            </w:r>
            <w:r w:rsidRPr="00004D2C">
              <w:rPr>
                <w:rFonts w:ascii="Arial" w:hAnsi="Arial" w:cs="Arial"/>
                <w:b/>
                <w:sz w:val="18"/>
                <w:szCs w:val="18"/>
                <w:u w:val="single"/>
                <w:vertAlign w:val="superscript"/>
              </w:rPr>
              <w:t>1</w:t>
            </w:r>
          </w:p>
        </w:tc>
        <w:tc>
          <w:tcPr>
            <w:tcW w:w="756" w:type="dxa"/>
            <w:shd w:val="clear" w:color="auto" w:fill="D9D9D9" w:themeFill="background1" w:themeFillShade="D9"/>
            <w:vAlign w:val="center"/>
          </w:tcPr>
          <w:p w:rsidR="006943FB" w:rsidRPr="00004D2C" w:rsidRDefault="006943FB" w:rsidP="006943FB">
            <w:pPr>
              <w:spacing w:before="80" w:after="80"/>
              <w:jc w:val="center"/>
              <w:rPr>
                <w:rFonts w:ascii="Arial" w:hAnsi="Arial" w:cs="Arial"/>
                <w:b/>
                <w:sz w:val="18"/>
                <w:szCs w:val="18"/>
                <w:u w:val="single"/>
                <w:vertAlign w:val="superscript"/>
              </w:rPr>
            </w:pPr>
            <w:r w:rsidRPr="00004D2C">
              <w:rPr>
                <w:rFonts w:ascii="Arial" w:hAnsi="Arial" w:cs="Arial"/>
                <w:b/>
                <w:sz w:val="18"/>
                <w:szCs w:val="18"/>
                <w:u w:val="single"/>
              </w:rPr>
              <w:t>QL</w:t>
            </w:r>
            <w:r w:rsidRPr="00004D2C">
              <w:rPr>
                <w:rFonts w:ascii="Arial" w:hAnsi="Arial" w:cs="Arial"/>
                <w:b/>
                <w:sz w:val="18"/>
                <w:szCs w:val="18"/>
                <w:u w:val="single"/>
                <w:vertAlign w:val="superscript"/>
              </w:rPr>
              <w:t>2</w:t>
            </w:r>
          </w:p>
        </w:tc>
        <w:tc>
          <w:tcPr>
            <w:tcW w:w="2484" w:type="dxa"/>
            <w:shd w:val="clear" w:color="auto" w:fill="D9D9D9" w:themeFill="background1" w:themeFillShade="D9"/>
            <w:vAlign w:val="center"/>
          </w:tcPr>
          <w:p w:rsidR="006943FB" w:rsidRPr="002E581A" w:rsidRDefault="006943FB" w:rsidP="006943FB">
            <w:pPr>
              <w:spacing w:before="80" w:after="80"/>
              <w:jc w:val="center"/>
              <w:rPr>
                <w:rFonts w:ascii="Arial" w:hAnsi="Arial" w:cs="Arial"/>
                <w:b/>
                <w:sz w:val="18"/>
                <w:szCs w:val="18"/>
                <w:u w:val="single"/>
                <w:vertAlign w:val="superscript"/>
              </w:rPr>
            </w:pPr>
            <w:r w:rsidRPr="00004D2C">
              <w:rPr>
                <w:rFonts w:ascii="Arial" w:hAnsi="Arial" w:cs="Arial"/>
                <w:b/>
                <w:sz w:val="18"/>
                <w:szCs w:val="18"/>
                <w:u w:val="single"/>
              </w:rPr>
              <w:t>Minimum Frequency</w:t>
            </w:r>
            <w:r>
              <w:rPr>
                <w:rFonts w:ascii="Arial" w:hAnsi="Arial" w:cs="Arial"/>
                <w:b/>
                <w:sz w:val="18"/>
                <w:szCs w:val="18"/>
                <w:u w:val="single"/>
                <w:vertAlign w:val="superscript"/>
              </w:rPr>
              <w:t>4</w:t>
            </w:r>
          </w:p>
        </w:tc>
        <w:tc>
          <w:tcPr>
            <w:tcW w:w="1836" w:type="dxa"/>
            <w:shd w:val="clear" w:color="auto" w:fill="D9D9D9" w:themeFill="background1" w:themeFillShade="D9"/>
            <w:vAlign w:val="center"/>
          </w:tcPr>
          <w:p w:rsidR="006943FB" w:rsidRPr="00004D2C" w:rsidRDefault="006943FB" w:rsidP="006943FB">
            <w:pPr>
              <w:spacing w:before="80" w:after="80"/>
              <w:jc w:val="center"/>
              <w:rPr>
                <w:rFonts w:ascii="Arial" w:hAnsi="Arial" w:cs="Arial"/>
                <w:b/>
                <w:sz w:val="18"/>
                <w:szCs w:val="18"/>
                <w:u w:val="single"/>
              </w:rPr>
            </w:pPr>
            <w:r w:rsidRPr="00004D2C">
              <w:rPr>
                <w:rFonts w:ascii="Arial" w:hAnsi="Arial" w:cs="Arial"/>
                <w:b/>
                <w:sz w:val="18"/>
                <w:szCs w:val="18"/>
                <w:u w:val="single"/>
              </w:rPr>
              <w:t>Sample Type/Action</w:t>
            </w:r>
          </w:p>
        </w:tc>
        <w:tc>
          <w:tcPr>
            <w:tcW w:w="2280" w:type="dxa"/>
            <w:shd w:val="clear" w:color="auto" w:fill="D9D9D9" w:themeFill="background1" w:themeFillShade="D9"/>
            <w:vAlign w:val="center"/>
          </w:tcPr>
          <w:p w:rsidR="006943FB" w:rsidRPr="00004D2C" w:rsidRDefault="006943FB" w:rsidP="006943FB">
            <w:pPr>
              <w:spacing w:before="80" w:after="80"/>
              <w:jc w:val="center"/>
              <w:rPr>
                <w:rFonts w:ascii="Arial" w:hAnsi="Arial" w:cs="Arial"/>
                <w:b/>
                <w:sz w:val="18"/>
                <w:szCs w:val="18"/>
                <w:u w:val="single"/>
              </w:rPr>
            </w:pPr>
            <w:r w:rsidRPr="00004D2C">
              <w:rPr>
                <w:rFonts w:ascii="Arial" w:hAnsi="Arial" w:cs="Arial"/>
                <w:b/>
                <w:sz w:val="18"/>
                <w:szCs w:val="18"/>
                <w:u w:val="single"/>
              </w:rPr>
              <w:t>Report</w:t>
            </w:r>
          </w:p>
        </w:tc>
      </w:tr>
      <w:tr w:rsidR="006943FB" w:rsidRPr="00AF304B" w:rsidTr="00FC56C6">
        <w:trPr>
          <w:trHeight w:val="288"/>
          <w:jc w:val="center"/>
        </w:trPr>
        <w:tc>
          <w:tcPr>
            <w:tcW w:w="2160" w:type="dxa"/>
            <w:vAlign w:val="center"/>
          </w:tcPr>
          <w:p w:rsidR="006943FB" w:rsidRPr="006943FB" w:rsidRDefault="006943FB" w:rsidP="006943FB">
            <w:pPr>
              <w:jc w:val="center"/>
              <w:rPr>
                <w:rFonts w:ascii="Arial" w:hAnsi="Arial" w:cs="Arial"/>
                <w:sz w:val="18"/>
                <w:szCs w:val="18"/>
              </w:rPr>
            </w:pPr>
            <w:r w:rsidRPr="006943FB">
              <w:rPr>
                <w:rFonts w:ascii="Arial" w:hAnsi="Arial" w:cs="Arial"/>
                <w:sz w:val="18"/>
                <w:szCs w:val="18"/>
              </w:rPr>
              <w:t>Benz(a)anthracene</w:t>
            </w:r>
          </w:p>
        </w:tc>
        <w:tc>
          <w:tcPr>
            <w:tcW w:w="1080" w:type="dxa"/>
            <w:vAlign w:val="center"/>
          </w:tcPr>
          <w:p w:rsidR="006943FB" w:rsidRPr="006943FB" w:rsidRDefault="006943FB" w:rsidP="006943FB">
            <w:pPr>
              <w:keepNext/>
              <w:keepLines/>
              <w:jc w:val="center"/>
              <w:rPr>
                <w:rFonts w:ascii="Arial" w:hAnsi="Arial" w:cs="Arial"/>
                <w:color w:val="000000" w:themeColor="text1"/>
                <w:sz w:val="18"/>
                <w:szCs w:val="18"/>
              </w:rPr>
            </w:pPr>
            <w:r w:rsidRPr="006943FB">
              <w:rPr>
                <w:rFonts w:ascii="Arial" w:hAnsi="Arial" w:cs="Arial"/>
                <w:color w:val="000000" w:themeColor="text1"/>
                <w:sz w:val="18"/>
                <w:szCs w:val="18"/>
              </w:rPr>
              <w:t>56553</w:t>
            </w:r>
          </w:p>
        </w:tc>
        <w:tc>
          <w:tcPr>
            <w:tcW w:w="756" w:type="dxa"/>
            <w:vAlign w:val="center"/>
          </w:tcPr>
          <w:p w:rsidR="006943FB" w:rsidRPr="006943FB" w:rsidRDefault="006943FB" w:rsidP="006943FB">
            <w:pPr>
              <w:keepNext/>
              <w:keepLines/>
              <w:jc w:val="center"/>
              <w:rPr>
                <w:rFonts w:ascii="Arial" w:hAnsi="Arial" w:cs="Arial"/>
                <w:color w:val="000000" w:themeColor="text1"/>
                <w:sz w:val="18"/>
                <w:szCs w:val="18"/>
              </w:rPr>
            </w:pPr>
            <w:r w:rsidRPr="006943FB">
              <w:rPr>
                <w:rFonts w:ascii="Arial" w:hAnsi="Arial" w:cs="Arial"/>
                <w:color w:val="000000" w:themeColor="text1"/>
                <w:sz w:val="18"/>
                <w:szCs w:val="18"/>
              </w:rPr>
              <w:t>1.0</w:t>
            </w:r>
          </w:p>
        </w:tc>
        <w:tc>
          <w:tcPr>
            <w:tcW w:w="2484" w:type="dxa"/>
            <w:vAlign w:val="center"/>
          </w:tcPr>
          <w:p w:rsidR="006943FB" w:rsidRPr="006943FB" w:rsidRDefault="006943FB" w:rsidP="006943FB">
            <w:pPr>
              <w:jc w:val="center"/>
              <w:rPr>
                <w:rFonts w:ascii="Arial" w:hAnsi="Arial" w:cs="Arial"/>
                <w:sz w:val="18"/>
                <w:szCs w:val="18"/>
              </w:rPr>
            </w:pPr>
            <w:r w:rsidRPr="006943FB">
              <w:rPr>
                <w:rFonts w:ascii="Arial" w:hAnsi="Arial" w:cs="Arial"/>
                <w:sz w:val="18"/>
                <w:szCs w:val="18"/>
              </w:rPr>
              <w:t>1/Week, when discharging</w:t>
            </w:r>
          </w:p>
        </w:tc>
        <w:tc>
          <w:tcPr>
            <w:tcW w:w="1836" w:type="dxa"/>
            <w:vAlign w:val="center"/>
          </w:tcPr>
          <w:p w:rsidR="006943FB" w:rsidRPr="00FC56C6" w:rsidRDefault="006943FB" w:rsidP="006943FB">
            <w:pPr>
              <w:jc w:val="center"/>
              <w:rPr>
                <w:rFonts w:ascii="Arial" w:hAnsi="Arial" w:cs="Arial"/>
                <w:sz w:val="18"/>
                <w:szCs w:val="18"/>
                <w:vertAlign w:val="superscript"/>
              </w:rPr>
            </w:pPr>
            <w:r w:rsidRPr="00FC56C6">
              <w:rPr>
                <w:rFonts w:ascii="Arial" w:hAnsi="Arial" w:cs="Arial"/>
                <w:sz w:val="18"/>
                <w:szCs w:val="18"/>
              </w:rPr>
              <w:t>24-hour Composite</w:t>
            </w:r>
          </w:p>
        </w:tc>
        <w:tc>
          <w:tcPr>
            <w:tcW w:w="2280" w:type="dxa"/>
            <w:vAlign w:val="center"/>
          </w:tcPr>
          <w:p w:rsidR="006943FB" w:rsidRPr="006943FB" w:rsidRDefault="006943FB" w:rsidP="006943FB">
            <w:pPr>
              <w:pStyle w:val="ListParagraph"/>
              <w:numPr>
                <w:ilvl w:val="0"/>
                <w:numId w:val="13"/>
              </w:numPr>
              <w:suppressAutoHyphens/>
              <w:contextualSpacing/>
              <w:jc w:val="left"/>
              <w:rPr>
                <w:rFonts w:ascii="Arial" w:hAnsi="Arial" w:cs="Arial"/>
                <w:sz w:val="18"/>
                <w:szCs w:val="18"/>
              </w:rPr>
            </w:pPr>
            <w:r w:rsidRPr="006943FB">
              <w:rPr>
                <w:rFonts w:ascii="Arial" w:hAnsi="Arial" w:cs="Arial"/>
                <w:sz w:val="18"/>
                <w:szCs w:val="18"/>
              </w:rPr>
              <w:t>Daily values</w:t>
            </w:r>
          </w:p>
          <w:p w:rsidR="006943FB" w:rsidRPr="006943FB" w:rsidRDefault="006943FB" w:rsidP="006943FB">
            <w:pPr>
              <w:pStyle w:val="ListParagraph"/>
              <w:numPr>
                <w:ilvl w:val="0"/>
                <w:numId w:val="13"/>
              </w:numPr>
              <w:suppressAutoHyphens/>
              <w:contextualSpacing/>
              <w:jc w:val="left"/>
              <w:rPr>
                <w:rFonts w:ascii="Arial" w:hAnsi="Arial" w:cs="Arial"/>
                <w:sz w:val="18"/>
                <w:szCs w:val="18"/>
              </w:rPr>
            </w:pPr>
            <w:r w:rsidRPr="006943FB">
              <w:rPr>
                <w:rFonts w:ascii="Arial" w:hAnsi="Arial" w:cs="Arial"/>
                <w:sz w:val="18"/>
                <w:szCs w:val="18"/>
              </w:rPr>
              <w:t>Monthly average</w:t>
            </w:r>
          </w:p>
          <w:p w:rsidR="006943FB" w:rsidRPr="006943FB" w:rsidRDefault="006943FB" w:rsidP="006943FB">
            <w:pPr>
              <w:pStyle w:val="ListParagraph"/>
              <w:numPr>
                <w:ilvl w:val="0"/>
                <w:numId w:val="13"/>
              </w:numPr>
              <w:contextualSpacing/>
              <w:jc w:val="left"/>
              <w:rPr>
                <w:rFonts w:ascii="Arial" w:hAnsi="Arial" w:cs="Arial"/>
                <w:sz w:val="18"/>
                <w:szCs w:val="18"/>
              </w:rPr>
            </w:pPr>
            <w:r w:rsidRPr="006943FB">
              <w:rPr>
                <w:rFonts w:ascii="Arial" w:hAnsi="Arial" w:cs="Arial"/>
                <w:sz w:val="18"/>
                <w:szCs w:val="18"/>
              </w:rPr>
              <w:t>Maximum daily value</w:t>
            </w:r>
          </w:p>
        </w:tc>
      </w:tr>
      <w:tr w:rsidR="006943FB" w:rsidRPr="00AF304B" w:rsidTr="00FC56C6">
        <w:trPr>
          <w:trHeight w:val="288"/>
          <w:jc w:val="center"/>
        </w:trPr>
        <w:tc>
          <w:tcPr>
            <w:tcW w:w="2160" w:type="dxa"/>
            <w:vAlign w:val="center"/>
          </w:tcPr>
          <w:p w:rsidR="006943FB" w:rsidRPr="006943FB" w:rsidRDefault="006943FB" w:rsidP="006943FB">
            <w:pPr>
              <w:jc w:val="center"/>
              <w:rPr>
                <w:rFonts w:ascii="Arial" w:hAnsi="Arial" w:cs="Arial"/>
                <w:sz w:val="18"/>
                <w:szCs w:val="18"/>
              </w:rPr>
            </w:pPr>
            <w:r w:rsidRPr="006943FB">
              <w:rPr>
                <w:rFonts w:ascii="Arial" w:hAnsi="Arial" w:cs="Arial"/>
                <w:sz w:val="18"/>
                <w:szCs w:val="18"/>
              </w:rPr>
              <w:t>Benzo(a)pyrene</w:t>
            </w:r>
          </w:p>
        </w:tc>
        <w:tc>
          <w:tcPr>
            <w:tcW w:w="1080" w:type="dxa"/>
            <w:vAlign w:val="center"/>
          </w:tcPr>
          <w:p w:rsidR="006943FB" w:rsidRPr="006943FB" w:rsidRDefault="006943FB" w:rsidP="006943FB">
            <w:pPr>
              <w:keepNext/>
              <w:keepLines/>
              <w:jc w:val="center"/>
              <w:rPr>
                <w:rFonts w:ascii="Arial" w:hAnsi="Arial" w:cs="Arial"/>
                <w:color w:val="000000" w:themeColor="text1"/>
                <w:sz w:val="18"/>
                <w:szCs w:val="18"/>
              </w:rPr>
            </w:pPr>
            <w:r w:rsidRPr="006943FB">
              <w:rPr>
                <w:rFonts w:ascii="Arial" w:hAnsi="Arial" w:cs="Arial"/>
                <w:color w:val="000000" w:themeColor="text1"/>
                <w:sz w:val="18"/>
                <w:szCs w:val="18"/>
              </w:rPr>
              <w:t>50328</w:t>
            </w:r>
          </w:p>
        </w:tc>
        <w:tc>
          <w:tcPr>
            <w:tcW w:w="756" w:type="dxa"/>
            <w:vAlign w:val="center"/>
          </w:tcPr>
          <w:p w:rsidR="006943FB" w:rsidRPr="006943FB" w:rsidRDefault="006943FB" w:rsidP="006943FB">
            <w:pPr>
              <w:keepNext/>
              <w:keepLines/>
              <w:jc w:val="center"/>
              <w:rPr>
                <w:rFonts w:ascii="Arial" w:hAnsi="Arial" w:cs="Arial"/>
                <w:color w:val="000000" w:themeColor="text1"/>
                <w:sz w:val="18"/>
                <w:szCs w:val="18"/>
              </w:rPr>
            </w:pPr>
            <w:r w:rsidRPr="006943FB">
              <w:rPr>
                <w:rFonts w:ascii="Arial" w:hAnsi="Arial" w:cs="Arial"/>
                <w:color w:val="000000" w:themeColor="text1"/>
                <w:sz w:val="18"/>
                <w:szCs w:val="18"/>
              </w:rPr>
              <w:t>1.0</w:t>
            </w:r>
          </w:p>
        </w:tc>
        <w:tc>
          <w:tcPr>
            <w:tcW w:w="2484" w:type="dxa"/>
            <w:vAlign w:val="center"/>
          </w:tcPr>
          <w:p w:rsidR="006943FB" w:rsidRPr="006943FB" w:rsidRDefault="006943FB" w:rsidP="006943FB">
            <w:pPr>
              <w:jc w:val="center"/>
              <w:rPr>
                <w:rFonts w:ascii="Arial" w:hAnsi="Arial" w:cs="Arial"/>
                <w:sz w:val="18"/>
                <w:szCs w:val="18"/>
              </w:rPr>
            </w:pPr>
            <w:r w:rsidRPr="006943FB">
              <w:rPr>
                <w:rFonts w:ascii="Arial" w:hAnsi="Arial" w:cs="Arial"/>
                <w:sz w:val="18"/>
                <w:szCs w:val="18"/>
              </w:rPr>
              <w:t>1/Week, when discharging</w:t>
            </w:r>
          </w:p>
        </w:tc>
        <w:tc>
          <w:tcPr>
            <w:tcW w:w="1836" w:type="dxa"/>
            <w:vAlign w:val="center"/>
          </w:tcPr>
          <w:p w:rsidR="006943FB" w:rsidRPr="00FC56C6" w:rsidRDefault="006943FB" w:rsidP="006943FB">
            <w:pPr>
              <w:jc w:val="center"/>
              <w:rPr>
                <w:rFonts w:ascii="Arial" w:hAnsi="Arial" w:cs="Arial"/>
                <w:sz w:val="18"/>
                <w:szCs w:val="18"/>
              </w:rPr>
            </w:pPr>
            <w:r w:rsidRPr="00FC56C6">
              <w:rPr>
                <w:rFonts w:ascii="Arial" w:hAnsi="Arial" w:cs="Arial"/>
                <w:sz w:val="18"/>
                <w:szCs w:val="18"/>
              </w:rPr>
              <w:t>24-hour Composite</w:t>
            </w:r>
          </w:p>
        </w:tc>
        <w:tc>
          <w:tcPr>
            <w:tcW w:w="2280" w:type="dxa"/>
            <w:vAlign w:val="center"/>
          </w:tcPr>
          <w:p w:rsidR="006943FB" w:rsidRPr="006943FB" w:rsidRDefault="006943FB" w:rsidP="006943FB">
            <w:pPr>
              <w:jc w:val="center"/>
              <w:rPr>
                <w:rFonts w:ascii="Arial" w:hAnsi="Arial" w:cs="Arial"/>
                <w:sz w:val="18"/>
                <w:szCs w:val="18"/>
              </w:rPr>
            </w:pPr>
            <w:r w:rsidRPr="006943FB">
              <w:rPr>
                <w:rFonts w:ascii="Arial" w:hAnsi="Arial" w:cs="Arial"/>
                <w:sz w:val="18"/>
                <w:szCs w:val="18"/>
              </w:rPr>
              <w:t>Same as above</w:t>
            </w:r>
          </w:p>
        </w:tc>
      </w:tr>
      <w:tr w:rsidR="006943FB" w:rsidRPr="00AF304B" w:rsidTr="00FC56C6">
        <w:trPr>
          <w:trHeight w:val="288"/>
          <w:jc w:val="center"/>
        </w:trPr>
        <w:tc>
          <w:tcPr>
            <w:tcW w:w="2160" w:type="dxa"/>
            <w:vAlign w:val="center"/>
          </w:tcPr>
          <w:p w:rsidR="006943FB" w:rsidRPr="006943FB" w:rsidRDefault="006943FB" w:rsidP="006943FB">
            <w:pPr>
              <w:jc w:val="center"/>
              <w:rPr>
                <w:rFonts w:ascii="Arial" w:hAnsi="Arial" w:cs="Arial"/>
                <w:sz w:val="18"/>
                <w:szCs w:val="18"/>
              </w:rPr>
            </w:pPr>
            <w:r w:rsidRPr="006943FB">
              <w:rPr>
                <w:rFonts w:ascii="Arial" w:hAnsi="Arial" w:cs="Arial"/>
                <w:sz w:val="18"/>
                <w:szCs w:val="18"/>
              </w:rPr>
              <w:t>Copper</w:t>
            </w:r>
            <w:r w:rsidRPr="006943FB">
              <w:rPr>
                <w:rFonts w:ascii="Arial" w:hAnsi="Arial" w:cs="Arial"/>
                <w:sz w:val="18"/>
                <w:szCs w:val="18"/>
                <w:vertAlign w:val="superscript"/>
              </w:rPr>
              <w:t>3</w:t>
            </w:r>
          </w:p>
        </w:tc>
        <w:tc>
          <w:tcPr>
            <w:tcW w:w="1080" w:type="dxa"/>
            <w:vAlign w:val="center"/>
          </w:tcPr>
          <w:p w:rsidR="006943FB" w:rsidRPr="006943FB" w:rsidRDefault="006943FB" w:rsidP="006943FB">
            <w:pPr>
              <w:keepNext/>
              <w:keepLines/>
              <w:jc w:val="center"/>
              <w:rPr>
                <w:rFonts w:ascii="Arial" w:hAnsi="Arial" w:cs="Arial"/>
                <w:color w:val="000000" w:themeColor="text1"/>
                <w:sz w:val="18"/>
                <w:szCs w:val="18"/>
              </w:rPr>
            </w:pPr>
            <w:r w:rsidRPr="006943FB">
              <w:rPr>
                <w:rFonts w:ascii="Arial" w:hAnsi="Arial" w:cs="Arial"/>
                <w:color w:val="000000" w:themeColor="text1"/>
                <w:sz w:val="18"/>
                <w:szCs w:val="18"/>
              </w:rPr>
              <w:t>7440508</w:t>
            </w:r>
          </w:p>
        </w:tc>
        <w:tc>
          <w:tcPr>
            <w:tcW w:w="756" w:type="dxa"/>
            <w:vAlign w:val="center"/>
          </w:tcPr>
          <w:p w:rsidR="006943FB" w:rsidRPr="006943FB" w:rsidRDefault="006943FB" w:rsidP="006943FB">
            <w:pPr>
              <w:keepNext/>
              <w:keepLines/>
              <w:jc w:val="center"/>
              <w:rPr>
                <w:rFonts w:ascii="Arial" w:hAnsi="Arial" w:cs="Arial"/>
                <w:color w:val="000000" w:themeColor="text1"/>
                <w:sz w:val="18"/>
                <w:szCs w:val="18"/>
              </w:rPr>
            </w:pPr>
            <w:r w:rsidRPr="006943FB">
              <w:rPr>
                <w:rFonts w:ascii="Arial" w:hAnsi="Arial" w:cs="Arial"/>
                <w:color w:val="000000" w:themeColor="text1"/>
                <w:sz w:val="18"/>
                <w:szCs w:val="18"/>
              </w:rPr>
              <w:t>10</w:t>
            </w:r>
          </w:p>
        </w:tc>
        <w:tc>
          <w:tcPr>
            <w:tcW w:w="2484" w:type="dxa"/>
            <w:vAlign w:val="center"/>
          </w:tcPr>
          <w:p w:rsidR="006943FB" w:rsidRPr="006943FB" w:rsidRDefault="006943FB" w:rsidP="006943FB">
            <w:pPr>
              <w:jc w:val="center"/>
              <w:rPr>
                <w:rFonts w:ascii="Arial" w:hAnsi="Arial" w:cs="Arial"/>
                <w:color w:val="000000" w:themeColor="text1"/>
                <w:sz w:val="18"/>
                <w:szCs w:val="18"/>
              </w:rPr>
            </w:pPr>
            <w:r w:rsidRPr="006943FB">
              <w:rPr>
                <w:rFonts w:ascii="Arial" w:hAnsi="Arial" w:cs="Arial"/>
                <w:sz w:val="18"/>
                <w:szCs w:val="18"/>
              </w:rPr>
              <w:t>1/Week, when discharging</w:t>
            </w:r>
          </w:p>
        </w:tc>
        <w:tc>
          <w:tcPr>
            <w:tcW w:w="1836" w:type="dxa"/>
            <w:vAlign w:val="center"/>
          </w:tcPr>
          <w:p w:rsidR="006943FB" w:rsidRPr="00FC56C6" w:rsidRDefault="006943FB" w:rsidP="006943FB">
            <w:pPr>
              <w:jc w:val="center"/>
              <w:rPr>
                <w:rFonts w:ascii="Arial" w:hAnsi="Arial" w:cs="Arial"/>
                <w:sz w:val="18"/>
                <w:szCs w:val="18"/>
              </w:rPr>
            </w:pPr>
            <w:r w:rsidRPr="00FC56C6">
              <w:rPr>
                <w:rFonts w:ascii="Arial" w:hAnsi="Arial" w:cs="Arial"/>
                <w:sz w:val="18"/>
                <w:szCs w:val="18"/>
              </w:rPr>
              <w:t>24-hour Composite</w:t>
            </w:r>
          </w:p>
        </w:tc>
        <w:tc>
          <w:tcPr>
            <w:tcW w:w="2280" w:type="dxa"/>
            <w:vAlign w:val="center"/>
          </w:tcPr>
          <w:p w:rsidR="006943FB" w:rsidRPr="006943FB" w:rsidRDefault="006943FB" w:rsidP="006943FB">
            <w:pPr>
              <w:suppressAutoHyphens/>
              <w:jc w:val="center"/>
              <w:rPr>
                <w:rFonts w:ascii="Arial" w:hAnsi="Arial" w:cs="Arial"/>
                <w:sz w:val="18"/>
                <w:szCs w:val="18"/>
              </w:rPr>
            </w:pPr>
            <w:r w:rsidRPr="006943FB">
              <w:rPr>
                <w:rFonts w:ascii="Arial" w:hAnsi="Arial" w:cs="Arial"/>
                <w:sz w:val="18"/>
                <w:szCs w:val="18"/>
              </w:rPr>
              <w:t>Same as above</w:t>
            </w:r>
          </w:p>
        </w:tc>
      </w:tr>
      <w:tr w:rsidR="00FC56C6" w:rsidRPr="00AF304B" w:rsidTr="00FC56C6">
        <w:trPr>
          <w:trHeight w:val="288"/>
          <w:jc w:val="center"/>
        </w:trPr>
        <w:tc>
          <w:tcPr>
            <w:tcW w:w="2160" w:type="dxa"/>
            <w:vAlign w:val="center"/>
          </w:tcPr>
          <w:p w:rsidR="00FC56C6" w:rsidRPr="006943FB" w:rsidRDefault="00FC56C6" w:rsidP="006943FB">
            <w:pPr>
              <w:jc w:val="center"/>
              <w:rPr>
                <w:rFonts w:ascii="Arial" w:hAnsi="Arial" w:cs="Arial"/>
                <w:sz w:val="18"/>
                <w:szCs w:val="18"/>
              </w:rPr>
            </w:pPr>
            <w:proofErr w:type="spellStart"/>
            <w:r w:rsidRPr="006943FB">
              <w:rPr>
                <w:rFonts w:ascii="Arial" w:hAnsi="Arial" w:cs="Arial"/>
                <w:sz w:val="18"/>
                <w:szCs w:val="18"/>
              </w:rPr>
              <w:t>Dibenz</w:t>
            </w:r>
            <w:r w:rsidR="002F08C8">
              <w:rPr>
                <w:rFonts w:ascii="Arial" w:hAnsi="Arial" w:cs="Arial"/>
                <w:sz w:val="18"/>
                <w:szCs w:val="18"/>
              </w:rPr>
              <w:t>o</w:t>
            </w:r>
            <w:proofErr w:type="spellEnd"/>
            <w:r w:rsidRPr="006943FB">
              <w:rPr>
                <w:rFonts w:ascii="Arial" w:hAnsi="Arial" w:cs="Arial"/>
                <w:sz w:val="18"/>
                <w:szCs w:val="18"/>
              </w:rPr>
              <w:t>(</w:t>
            </w:r>
            <w:proofErr w:type="spellStart"/>
            <w:r w:rsidRPr="006943FB">
              <w:rPr>
                <w:rFonts w:ascii="Arial" w:hAnsi="Arial" w:cs="Arial"/>
                <w:sz w:val="18"/>
                <w:szCs w:val="18"/>
              </w:rPr>
              <w:t>a,h</w:t>
            </w:r>
            <w:proofErr w:type="spellEnd"/>
            <w:r w:rsidRPr="006943FB">
              <w:rPr>
                <w:rFonts w:ascii="Arial" w:hAnsi="Arial" w:cs="Arial"/>
                <w:sz w:val="18"/>
                <w:szCs w:val="18"/>
              </w:rPr>
              <w:t>)</w:t>
            </w:r>
            <w:proofErr w:type="spellStart"/>
            <w:r w:rsidRPr="006943FB">
              <w:rPr>
                <w:rFonts w:ascii="Arial" w:hAnsi="Arial" w:cs="Arial"/>
                <w:sz w:val="18"/>
                <w:szCs w:val="18"/>
              </w:rPr>
              <w:t>anthracene</w:t>
            </w:r>
            <w:proofErr w:type="spellEnd"/>
          </w:p>
        </w:tc>
        <w:tc>
          <w:tcPr>
            <w:tcW w:w="1080" w:type="dxa"/>
            <w:vAlign w:val="center"/>
          </w:tcPr>
          <w:p w:rsidR="00FC56C6" w:rsidRPr="006943FB" w:rsidRDefault="00FC56C6" w:rsidP="00FC56C6">
            <w:pPr>
              <w:keepNext/>
              <w:keepLines/>
              <w:jc w:val="center"/>
              <w:rPr>
                <w:rFonts w:ascii="Arial" w:hAnsi="Arial" w:cs="Arial"/>
                <w:color w:val="000000" w:themeColor="text1"/>
                <w:sz w:val="18"/>
                <w:szCs w:val="18"/>
              </w:rPr>
            </w:pPr>
            <w:r w:rsidRPr="006943FB">
              <w:rPr>
                <w:rFonts w:ascii="Arial" w:hAnsi="Arial" w:cs="Arial"/>
                <w:color w:val="000000" w:themeColor="text1"/>
                <w:sz w:val="18"/>
                <w:szCs w:val="18"/>
              </w:rPr>
              <w:t>53703</w:t>
            </w:r>
          </w:p>
        </w:tc>
        <w:tc>
          <w:tcPr>
            <w:tcW w:w="756" w:type="dxa"/>
            <w:vAlign w:val="center"/>
          </w:tcPr>
          <w:p w:rsidR="00FC56C6" w:rsidRPr="006943FB" w:rsidRDefault="00FC56C6" w:rsidP="00FC56C6">
            <w:pPr>
              <w:keepNext/>
              <w:keepLines/>
              <w:jc w:val="center"/>
              <w:rPr>
                <w:rFonts w:ascii="Arial" w:hAnsi="Arial" w:cs="Arial"/>
                <w:color w:val="000000" w:themeColor="text1"/>
                <w:sz w:val="18"/>
                <w:szCs w:val="18"/>
              </w:rPr>
            </w:pPr>
            <w:r w:rsidRPr="006943FB">
              <w:rPr>
                <w:rFonts w:ascii="Arial" w:hAnsi="Arial" w:cs="Arial"/>
                <w:color w:val="000000" w:themeColor="text1"/>
                <w:sz w:val="18"/>
                <w:szCs w:val="18"/>
              </w:rPr>
              <w:t>1.0</w:t>
            </w:r>
          </w:p>
        </w:tc>
        <w:tc>
          <w:tcPr>
            <w:tcW w:w="2484" w:type="dxa"/>
            <w:vAlign w:val="center"/>
          </w:tcPr>
          <w:p w:rsidR="00FC56C6" w:rsidRPr="006943FB" w:rsidRDefault="00FC56C6" w:rsidP="006943FB">
            <w:pPr>
              <w:jc w:val="center"/>
              <w:rPr>
                <w:rFonts w:ascii="Arial" w:hAnsi="Arial" w:cs="Arial"/>
                <w:sz w:val="18"/>
                <w:szCs w:val="18"/>
              </w:rPr>
            </w:pPr>
            <w:r w:rsidRPr="006943FB">
              <w:rPr>
                <w:rFonts w:ascii="Arial" w:hAnsi="Arial" w:cs="Arial"/>
                <w:sz w:val="18"/>
                <w:szCs w:val="18"/>
              </w:rPr>
              <w:t>1/Week, when discharging</w:t>
            </w:r>
          </w:p>
        </w:tc>
        <w:tc>
          <w:tcPr>
            <w:tcW w:w="1836" w:type="dxa"/>
            <w:vAlign w:val="center"/>
          </w:tcPr>
          <w:p w:rsidR="00FC56C6" w:rsidRPr="00FC56C6" w:rsidRDefault="00FC56C6" w:rsidP="006943FB">
            <w:pPr>
              <w:jc w:val="center"/>
              <w:rPr>
                <w:rFonts w:ascii="Arial" w:hAnsi="Arial" w:cs="Arial"/>
                <w:sz w:val="18"/>
                <w:szCs w:val="18"/>
                <w:vertAlign w:val="superscript"/>
              </w:rPr>
            </w:pPr>
            <w:r w:rsidRPr="00FC56C6">
              <w:rPr>
                <w:rFonts w:ascii="Arial" w:hAnsi="Arial" w:cs="Arial"/>
                <w:sz w:val="18"/>
                <w:szCs w:val="18"/>
              </w:rPr>
              <w:t>24-hour Composite</w:t>
            </w:r>
          </w:p>
        </w:tc>
        <w:tc>
          <w:tcPr>
            <w:tcW w:w="2280" w:type="dxa"/>
            <w:vAlign w:val="center"/>
          </w:tcPr>
          <w:p w:rsidR="00FC56C6" w:rsidRPr="006943FB" w:rsidRDefault="00FC56C6" w:rsidP="006943FB">
            <w:pPr>
              <w:jc w:val="center"/>
              <w:rPr>
                <w:rFonts w:ascii="Arial" w:hAnsi="Arial" w:cs="Arial"/>
                <w:sz w:val="18"/>
                <w:szCs w:val="18"/>
              </w:rPr>
            </w:pPr>
            <w:r w:rsidRPr="006943FB">
              <w:rPr>
                <w:rFonts w:ascii="Arial" w:hAnsi="Arial" w:cs="Arial"/>
                <w:sz w:val="18"/>
                <w:szCs w:val="18"/>
              </w:rPr>
              <w:t>Same as above</w:t>
            </w:r>
          </w:p>
        </w:tc>
      </w:tr>
      <w:tr w:rsidR="00FC56C6" w:rsidRPr="00AF304B" w:rsidTr="00FC56C6">
        <w:trPr>
          <w:trHeight w:val="288"/>
          <w:jc w:val="center"/>
        </w:trPr>
        <w:tc>
          <w:tcPr>
            <w:tcW w:w="2160" w:type="dxa"/>
            <w:vAlign w:val="center"/>
          </w:tcPr>
          <w:p w:rsidR="00FC56C6" w:rsidRPr="006943FB" w:rsidRDefault="00FC56C6" w:rsidP="006943FB">
            <w:pPr>
              <w:jc w:val="center"/>
              <w:rPr>
                <w:rFonts w:ascii="Arial" w:hAnsi="Arial" w:cs="Arial"/>
                <w:sz w:val="18"/>
                <w:szCs w:val="18"/>
              </w:rPr>
            </w:pPr>
            <w:r>
              <w:rPr>
                <w:rFonts w:ascii="Arial" w:hAnsi="Arial" w:cs="Arial"/>
                <w:sz w:val="18"/>
                <w:szCs w:val="18"/>
              </w:rPr>
              <w:t>Indeno(1,2,3-cd)</w:t>
            </w:r>
            <w:r w:rsidRPr="006943FB">
              <w:rPr>
                <w:rFonts w:ascii="Arial" w:hAnsi="Arial" w:cs="Arial"/>
                <w:sz w:val="18"/>
                <w:szCs w:val="18"/>
              </w:rPr>
              <w:t>pyrene</w:t>
            </w:r>
          </w:p>
        </w:tc>
        <w:tc>
          <w:tcPr>
            <w:tcW w:w="1080" w:type="dxa"/>
            <w:vAlign w:val="center"/>
          </w:tcPr>
          <w:p w:rsidR="00FC56C6" w:rsidRPr="006943FB" w:rsidRDefault="00FC56C6" w:rsidP="006943FB">
            <w:pPr>
              <w:keepNext/>
              <w:keepLines/>
              <w:jc w:val="center"/>
              <w:rPr>
                <w:rFonts w:ascii="Arial" w:hAnsi="Arial" w:cs="Arial"/>
                <w:color w:val="000000" w:themeColor="text1"/>
                <w:sz w:val="18"/>
                <w:szCs w:val="18"/>
              </w:rPr>
            </w:pPr>
            <w:r w:rsidRPr="006943FB">
              <w:rPr>
                <w:rFonts w:ascii="Arial" w:hAnsi="Arial" w:cs="Arial"/>
                <w:color w:val="000000" w:themeColor="text1"/>
                <w:sz w:val="18"/>
                <w:szCs w:val="18"/>
              </w:rPr>
              <w:t>193395</w:t>
            </w:r>
          </w:p>
        </w:tc>
        <w:tc>
          <w:tcPr>
            <w:tcW w:w="756" w:type="dxa"/>
            <w:vAlign w:val="center"/>
          </w:tcPr>
          <w:p w:rsidR="00FC56C6" w:rsidRPr="006943FB" w:rsidRDefault="00FC56C6" w:rsidP="006943FB">
            <w:pPr>
              <w:keepNext/>
              <w:keepLines/>
              <w:jc w:val="center"/>
              <w:rPr>
                <w:rFonts w:ascii="Arial" w:hAnsi="Arial" w:cs="Arial"/>
                <w:color w:val="000000" w:themeColor="text1"/>
                <w:sz w:val="18"/>
                <w:szCs w:val="18"/>
              </w:rPr>
            </w:pPr>
            <w:r w:rsidRPr="006943FB">
              <w:rPr>
                <w:rFonts w:ascii="Arial" w:hAnsi="Arial" w:cs="Arial"/>
                <w:color w:val="000000" w:themeColor="text1"/>
                <w:sz w:val="18"/>
                <w:szCs w:val="18"/>
              </w:rPr>
              <w:t>1.0</w:t>
            </w:r>
          </w:p>
        </w:tc>
        <w:tc>
          <w:tcPr>
            <w:tcW w:w="2484" w:type="dxa"/>
            <w:vAlign w:val="center"/>
          </w:tcPr>
          <w:p w:rsidR="00FC56C6" w:rsidRPr="006943FB" w:rsidRDefault="00FC56C6" w:rsidP="006943FB">
            <w:pPr>
              <w:jc w:val="center"/>
              <w:rPr>
                <w:rFonts w:ascii="Arial" w:hAnsi="Arial" w:cs="Arial"/>
                <w:sz w:val="18"/>
                <w:szCs w:val="18"/>
              </w:rPr>
            </w:pPr>
            <w:r w:rsidRPr="006943FB">
              <w:rPr>
                <w:rFonts w:ascii="Arial" w:hAnsi="Arial" w:cs="Arial"/>
                <w:sz w:val="18"/>
                <w:szCs w:val="18"/>
              </w:rPr>
              <w:t>1/Week, when discharging</w:t>
            </w:r>
          </w:p>
        </w:tc>
        <w:tc>
          <w:tcPr>
            <w:tcW w:w="1836" w:type="dxa"/>
            <w:vAlign w:val="center"/>
          </w:tcPr>
          <w:p w:rsidR="00FC56C6" w:rsidRPr="00FC56C6" w:rsidRDefault="00FC56C6" w:rsidP="006943FB">
            <w:pPr>
              <w:jc w:val="center"/>
              <w:rPr>
                <w:rFonts w:ascii="Arial" w:hAnsi="Arial" w:cs="Arial"/>
                <w:sz w:val="18"/>
                <w:szCs w:val="18"/>
              </w:rPr>
            </w:pPr>
            <w:r w:rsidRPr="00FC56C6">
              <w:rPr>
                <w:rFonts w:ascii="Arial" w:hAnsi="Arial" w:cs="Arial"/>
                <w:sz w:val="18"/>
                <w:szCs w:val="18"/>
              </w:rPr>
              <w:t>24-hour Composite</w:t>
            </w:r>
          </w:p>
        </w:tc>
        <w:tc>
          <w:tcPr>
            <w:tcW w:w="2280" w:type="dxa"/>
            <w:vAlign w:val="center"/>
          </w:tcPr>
          <w:p w:rsidR="00FC56C6" w:rsidRPr="006943FB" w:rsidRDefault="00FC56C6" w:rsidP="006943FB">
            <w:pPr>
              <w:suppressAutoHyphens/>
              <w:jc w:val="center"/>
              <w:rPr>
                <w:rFonts w:ascii="Arial" w:hAnsi="Arial" w:cs="Arial"/>
                <w:sz w:val="18"/>
                <w:szCs w:val="18"/>
              </w:rPr>
            </w:pPr>
            <w:r w:rsidRPr="006943FB">
              <w:rPr>
                <w:rFonts w:ascii="Arial" w:hAnsi="Arial" w:cs="Arial"/>
                <w:sz w:val="18"/>
                <w:szCs w:val="18"/>
              </w:rPr>
              <w:t>Same as above</w:t>
            </w:r>
          </w:p>
        </w:tc>
      </w:tr>
      <w:tr w:rsidR="00FC56C6" w:rsidRPr="00AF304B" w:rsidTr="00FC56C6">
        <w:trPr>
          <w:trHeight w:val="288"/>
          <w:jc w:val="center"/>
        </w:trPr>
        <w:tc>
          <w:tcPr>
            <w:tcW w:w="2160" w:type="dxa"/>
            <w:vAlign w:val="center"/>
          </w:tcPr>
          <w:p w:rsidR="00FC56C6" w:rsidRPr="006943FB" w:rsidRDefault="00FC56C6" w:rsidP="006943FB">
            <w:pPr>
              <w:jc w:val="center"/>
              <w:rPr>
                <w:rFonts w:ascii="Arial" w:hAnsi="Arial" w:cs="Arial"/>
                <w:sz w:val="18"/>
                <w:szCs w:val="18"/>
              </w:rPr>
            </w:pPr>
            <w:r w:rsidRPr="006943FB">
              <w:rPr>
                <w:rFonts w:ascii="Arial" w:hAnsi="Arial" w:cs="Arial"/>
                <w:sz w:val="18"/>
                <w:szCs w:val="18"/>
              </w:rPr>
              <w:t>Iron</w:t>
            </w:r>
            <w:r w:rsidRPr="006943FB">
              <w:rPr>
                <w:rFonts w:ascii="Arial" w:hAnsi="Arial" w:cs="Arial"/>
                <w:sz w:val="18"/>
                <w:szCs w:val="18"/>
                <w:vertAlign w:val="superscript"/>
              </w:rPr>
              <w:t>3</w:t>
            </w:r>
          </w:p>
        </w:tc>
        <w:tc>
          <w:tcPr>
            <w:tcW w:w="1080" w:type="dxa"/>
            <w:vAlign w:val="center"/>
          </w:tcPr>
          <w:p w:rsidR="00FC56C6" w:rsidRPr="006943FB" w:rsidRDefault="00FC56C6" w:rsidP="006943FB">
            <w:pPr>
              <w:keepNext/>
              <w:keepLines/>
              <w:jc w:val="center"/>
              <w:rPr>
                <w:rFonts w:ascii="Arial" w:hAnsi="Arial" w:cs="Arial"/>
                <w:color w:val="000000" w:themeColor="text1"/>
                <w:sz w:val="18"/>
                <w:szCs w:val="18"/>
              </w:rPr>
            </w:pPr>
            <w:r w:rsidRPr="006943FB">
              <w:rPr>
                <w:rFonts w:ascii="Arial" w:hAnsi="Arial" w:cs="Arial"/>
                <w:color w:val="000000" w:themeColor="text1"/>
                <w:sz w:val="18"/>
                <w:szCs w:val="18"/>
              </w:rPr>
              <w:t>7439896</w:t>
            </w:r>
          </w:p>
        </w:tc>
        <w:tc>
          <w:tcPr>
            <w:tcW w:w="756" w:type="dxa"/>
            <w:vAlign w:val="center"/>
          </w:tcPr>
          <w:p w:rsidR="00FC56C6" w:rsidRPr="006943FB" w:rsidRDefault="00FC56C6" w:rsidP="006943FB">
            <w:pPr>
              <w:keepNext/>
              <w:keepLines/>
              <w:jc w:val="center"/>
              <w:rPr>
                <w:rFonts w:ascii="Arial" w:hAnsi="Arial" w:cs="Arial"/>
                <w:color w:val="000000" w:themeColor="text1"/>
                <w:sz w:val="18"/>
                <w:szCs w:val="18"/>
              </w:rPr>
            </w:pPr>
            <w:r w:rsidRPr="006943FB">
              <w:rPr>
                <w:rFonts w:ascii="Arial" w:hAnsi="Arial" w:cs="Arial"/>
                <w:color w:val="000000" w:themeColor="text1"/>
                <w:sz w:val="18"/>
                <w:szCs w:val="18"/>
              </w:rPr>
              <w:t>100</w:t>
            </w:r>
          </w:p>
        </w:tc>
        <w:tc>
          <w:tcPr>
            <w:tcW w:w="2484" w:type="dxa"/>
            <w:vAlign w:val="center"/>
          </w:tcPr>
          <w:p w:rsidR="00FC56C6" w:rsidRPr="006943FB" w:rsidRDefault="00FC56C6" w:rsidP="006943FB">
            <w:pPr>
              <w:jc w:val="center"/>
              <w:rPr>
                <w:rFonts w:ascii="Arial" w:hAnsi="Arial" w:cs="Arial"/>
                <w:sz w:val="18"/>
                <w:szCs w:val="18"/>
              </w:rPr>
            </w:pPr>
            <w:r w:rsidRPr="006943FB">
              <w:rPr>
                <w:rFonts w:ascii="Arial" w:hAnsi="Arial" w:cs="Arial"/>
                <w:sz w:val="18"/>
                <w:szCs w:val="18"/>
              </w:rPr>
              <w:t>1/Week, when discharging</w:t>
            </w:r>
          </w:p>
        </w:tc>
        <w:tc>
          <w:tcPr>
            <w:tcW w:w="1836" w:type="dxa"/>
            <w:vAlign w:val="center"/>
          </w:tcPr>
          <w:p w:rsidR="00FC56C6" w:rsidRPr="00FC56C6" w:rsidRDefault="00FC56C6" w:rsidP="006943FB">
            <w:pPr>
              <w:jc w:val="center"/>
              <w:rPr>
                <w:rFonts w:ascii="Arial" w:hAnsi="Arial" w:cs="Arial"/>
                <w:sz w:val="18"/>
                <w:szCs w:val="18"/>
                <w:vertAlign w:val="superscript"/>
              </w:rPr>
            </w:pPr>
            <w:r w:rsidRPr="00FC56C6">
              <w:rPr>
                <w:rFonts w:ascii="Arial" w:hAnsi="Arial" w:cs="Arial"/>
                <w:sz w:val="18"/>
                <w:szCs w:val="18"/>
              </w:rPr>
              <w:t>24-hour Composite</w:t>
            </w:r>
          </w:p>
        </w:tc>
        <w:tc>
          <w:tcPr>
            <w:tcW w:w="2280" w:type="dxa"/>
            <w:vAlign w:val="center"/>
          </w:tcPr>
          <w:p w:rsidR="00FC56C6" w:rsidRPr="006943FB" w:rsidRDefault="00FC56C6" w:rsidP="006943FB">
            <w:pPr>
              <w:jc w:val="center"/>
              <w:rPr>
                <w:rFonts w:ascii="Arial" w:hAnsi="Arial" w:cs="Arial"/>
                <w:sz w:val="18"/>
                <w:szCs w:val="18"/>
              </w:rPr>
            </w:pPr>
            <w:r w:rsidRPr="006943FB">
              <w:rPr>
                <w:rFonts w:ascii="Arial" w:hAnsi="Arial" w:cs="Arial"/>
                <w:sz w:val="18"/>
                <w:szCs w:val="18"/>
              </w:rPr>
              <w:t>Same as above</w:t>
            </w:r>
          </w:p>
        </w:tc>
      </w:tr>
      <w:tr w:rsidR="00FC56C6" w:rsidRPr="00AF304B" w:rsidTr="00FC56C6">
        <w:trPr>
          <w:trHeight w:val="288"/>
          <w:jc w:val="center"/>
        </w:trPr>
        <w:tc>
          <w:tcPr>
            <w:tcW w:w="2160" w:type="dxa"/>
            <w:vAlign w:val="center"/>
          </w:tcPr>
          <w:p w:rsidR="00FC56C6" w:rsidRPr="006943FB" w:rsidRDefault="00FC56C6" w:rsidP="006943FB">
            <w:pPr>
              <w:jc w:val="center"/>
              <w:rPr>
                <w:rFonts w:ascii="Arial" w:hAnsi="Arial" w:cs="Arial"/>
                <w:sz w:val="18"/>
                <w:szCs w:val="18"/>
              </w:rPr>
            </w:pPr>
            <w:r w:rsidRPr="006943FB">
              <w:rPr>
                <w:rFonts w:ascii="Arial" w:hAnsi="Arial" w:cs="Arial"/>
                <w:sz w:val="18"/>
                <w:szCs w:val="18"/>
              </w:rPr>
              <w:t>Lead</w:t>
            </w:r>
            <w:r w:rsidRPr="006943FB">
              <w:rPr>
                <w:rFonts w:ascii="Arial" w:hAnsi="Arial" w:cs="Arial"/>
                <w:sz w:val="18"/>
                <w:szCs w:val="18"/>
                <w:vertAlign w:val="superscript"/>
              </w:rPr>
              <w:t>3</w:t>
            </w:r>
          </w:p>
        </w:tc>
        <w:tc>
          <w:tcPr>
            <w:tcW w:w="1080" w:type="dxa"/>
            <w:vAlign w:val="center"/>
          </w:tcPr>
          <w:p w:rsidR="00FC56C6" w:rsidRPr="006943FB" w:rsidRDefault="00FC56C6" w:rsidP="006943FB">
            <w:pPr>
              <w:keepNext/>
              <w:keepLines/>
              <w:jc w:val="center"/>
              <w:rPr>
                <w:rFonts w:ascii="Arial" w:hAnsi="Arial" w:cs="Arial"/>
                <w:color w:val="000000" w:themeColor="text1"/>
                <w:sz w:val="18"/>
                <w:szCs w:val="18"/>
              </w:rPr>
            </w:pPr>
            <w:r w:rsidRPr="006943FB">
              <w:rPr>
                <w:rFonts w:ascii="Arial" w:hAnsi="Arial" w:cs="Arial"/>
                <w:color w:val="000000" w:themeColor="text1"/>
                <w:sz w:val="18"/>
                <w:szCs w:val="18"/>
              </w:rPr>
              <w:t>7439921</w:t>
            </w:r>
          </w:p>
        </w:tc>
        <w:tc>
          <w:tcPr>
            <w:tcW w:w="756" w:type="dxa"/>
            <w:vAlign w:val="center"/>
          </w:tcPr>
          <w:p w:rsidR="00FC56C6" w:rsidRPr="006943FB" w:rsidRDefault="00FC56C6" w:rsidP="006943FB">
            <w:pPr>
              <w:keepNext/>
              <w:keepLines/>
              <w:jc w:val="center"/>
              <w:rPr>
                <w:rFonts w:ascii="Arial" w:hAnsi="Arial" w:cs="Arial"/>
                <w:color w:val="000000" w:themeColor="text1"/>
                <w:sz w:val="18"/>
                <w:szCs w:val="18"/>
              </w:rPr>
            </w:pPr>
            <w:r w:rsidRPr="006943FB">
              <w:rPr>
                <w:rFonts w:ascii="Arial" w:hAnsi="Arial" w:cs="Arial"/>
                <w:color w:val="000000" w:themeColor="text1"/>
                <w:sz w:val="18"/>
                <w:szCs w:val="18"/>
              </w:rPr>
              <w:t>5</w:t>
            </w:r>
          </w:p>
        </w:tc>
        <w:tc>
          <w:tcPr>
            <w:tcW w:w="2484" w:type="dxa"/>
            <w:vAlign w:val="center"/>
          </w:tcPr>
          <w:p w:rsidR="00FC56C6" w:rsidRPr="006943FB" w:rsidRDefault="00FC56C6" w:rsidP="006943FB">
            <w:pPr>
              <w:jc w:val="center"/>
              <w:rPr>
                <w:rFonts w:ascii="Arial" w:hAnsi="Arial" w:cs="Arial"/>
                <w:color w:val="000000" w:themeColor="text1"/>
                <w:sz w:val="18"/>
                <w:szCs w:val="18"/>
              </w:rPr>
            </w:pPr>
            <w:r w:rsidRPr="006943FB">
              <w:rPr>
                <w:rFonts w:ascii="Arial" w:hAnsi="Arial" w:cs="Arial"/>
                <w:sz w:val="18"/>
                <w:szCs w:val="18"/>
              </w:rPr>
              <w:t>1/Week, when discharging</w:t>
            </w:r>
          </w:p>
        </w:tc>
        <w:tc>
          <w:tcPr>
            <w:tcW w:w="1836" w:type="dxa"/>
            <w:vAlign w:val="center"/>
          </w:tcPr>
          <w:p w:rsidR="00FC56C6" w:rsidRPr="00FC56C6" w:rsidRDefault="00FC56C6" w:rsidP="006943FB">
            <w:pPr>
              <w:jc w:val="center"/>
              <w:rPr>
                <w:rFonts w:ascii="Arial" w:hAnsi="Arial" w:cs="Arial"/>
                <w:sz w:val="18"/>
                <w:szCs w:val="18"/>
              </w:rPr>
            </w:pPr>
            <w:r w:rsidRPr="00FC56C6">
              <w:rPr>
                <w:rFonts w:ascii="Arial" w:hAnsi="Arial" w:cs="Arial"/>
                <w:sz w:val="18"/>
                <w:szCs w:val="18"/>
              </w:rPr>
              <w:t>24-hour Composite</w:t>
            </w:r>
          </w:p>
        </w:tc>
        <w:tc>
          <w:tcPr>
            <w:tcW w:w="2280" w:type="dxa"/>
            <w:vAlign w:val="center"/>
          </w:tcPr>
          <w:p w:rsidR="00FC56C6" w:rsidRPr="006943FB" w:rsidRDefault="00FC56C6" w:rsidP="006943FB">
            <w:pPr>
              <w:jc w:val="center"/>
              <w:rPr>
                <w:rFonts w:ascii="Arial" w:hAnsi="Arial" w:cs="Arial"/>
                <w:sz w:val="18"/>
                <w:szCs w:val="18"/>
              </w:rPr>
            </w:pPr>
            <w:r w:rsidRPr="006943FB">
              <w:rPr>
                <w:rFonts w:ascii="Arial" w:hAnsi="Arial" w:cs="Arial"/>
                <w:sz w:val="18"/>
                <w:szCs w:val="18"/>
              </w:rPr>
              <w:t>Same as above</w:t>
            </w:r>
          </w:p>
        </w:tc>
      </w:tr>
      <w:tr w:rsidR="00FC56C6" w:rsidRPr="00AF304B" w:rsidTr="00FC56C6">
        <w:trPr>
          <w:trHeight w:val="288"/>
          <w:jc w:val="center"/>
        </w:trPr>
        <w:tc>
          <w:tcPr>
            <w:tcW w:w="2160" w:type="dxa"/>
            <w:vAlign w:val="center"/>
          </w:tcPr>
          <w:p w:rsidR="00FC56C6" w:rsidRPr="006943FB" w:rsidRDefault="00FC56C6" w:rsidP="006943FB">
            <w:pPr>
              <w:jc w:val="center"/>
              <w:rPr>
                <w:rFonts w:ascii="Arial" w:hAnsi="Arial" w:cs="Arial"/>
                <w:sz w:val="18"/>
                <w:szCs w:val="18"/>
              </w:rPr>
            </w:pPr>
            <w:r w:rsidRPr="006943FB">
              <w:rPr>
                <w:rFonts w:ascii="Arial" w:hAnsi="Arial" w:cs="Arial"/>
                <w:sz w:val="18"/>
                <w:szCs w:val="18"/>
              </w:rPr>
              <w:t>Mercury</w:t>
            </w:r>
            <w:r w:rsidRPr="006943FB">
              <w:rPr>
                <w:rFonts w:ascii="Arial" w:hAnsi="Arial" w:cs="Arial"/>
                <w:sz w:val="18"/>
                <w:szCs w:val="18"/>
                <w:vertAlign w:val="superscript"/>
              </w:rPr>
              <w:t>3</w:t>
            </w:r>
          </w:p>
        </w:tc>
        <w:tc>
          <w:tcPr>
            <w:tcW w:w="1080" w:type="dxa"/>
            <w:vAlign w:val="center"/>
          </w:tcPr>
          <w:p w:rsidR="00FC56C6" w:rsidRPr="006943FB" w:rsidRDefault="00FC56C6" w:rsidP="006943FB">
            <w:pPr>
              <w:keepNext/>
              <w:keepLines/>
              <w:jc w:val="center"/>
              <w:rPr>
                <w:rFonts w:ascii="Arial" w:hAnsi="Arial" w:cs="Arial"/>
                <w:color w:val="000000" w:themeColor="text1"/>
                <w:sz w:val="18"/>
                <w:szCs w:val="18"/>
              </w:rPr>
            </w:pPr>
            <w:r w:rsidRPr="006943FB">
              <w:rPr>
                <w:rFonts w:ascii="Arial" w:hAnsi="Arial" w:cs="Arial"/>
                <w:color w:val="000000" w:themeColor="text1"/>
                <w:sz w:val="18"/>
                <w:szCs w:val="18"/>
              </w:rPr>
              <w:t>7439976</w:t>
            </w:r>
          </w:p>
        </w:tc>
        <w:tc>
          <w:tcPr>
            <w:tcW w:w="756" w:type="dxa"/>
            <w:vAlign w:val="center"/>
          </w:tcPr>
          <w:p w:rsidR="00FC56C6" w:rsidRPr="006943FB" w:rsidRDefault="00FC56C6" w:rsidP="006943FB">
            <w:pPr>
              <w:keepNext/>
              <w:keepLines/>
              <w:jc w:val="center"/>
              <w:rPr>
                <w:rFonts w:ascii="Arial" w:hAnsi="Arial" w:cs="Arial"/>
                <w:color w:val="000000" w:themeColor="text1"/>
                <w:sz w:val="18"/>
                <w:szCs w:val="18"/>
              </w:rPr>
            </w:pPr>
            <w:r w:rsidRPr="006943FB">
              <w:rPr>
                <w:rFonts w:ascii="Arial" w:hAnsi="Arial" w:cs="Arial"/>
                <w:color w:val="000000" w:themeColor="text1"/>
                <w:sz w:val="18"/>
                <w:szCs w:val="18"/>
              </w:rPr>
              <w:t>0.005</w:t>
            </w:r>
          </w:p>
        </w:tc>
        <w:tc>
          <w:tcPr>
            <w:tcW w:w="2484" w:type="dxa"/>
            <w:vAlign w:val="center"/>
          </w:tcPr>
          <w:p w:rsidR="00FC56C6" w:rsidRPr="006943FB" w:rsidRDefault="00FC56C6" w:rsidP="006943FB">
            <w:pPr>
              <w:jc w:val="center"/>
              <w:rPr>
                <w:rFonts w:ascii="Arial" w:hAnsi="Arial" w:cs="Arial"/>
                <w:sz w:val="18"/>
                <w:szCs w:val="18"/>
              </w:rPr>
            </w:pPr>
            <w:r w:rsidRPr="006943FB">
              <w:rPr>
                <w:rFonts w:ascii="Arial" w:hAnsi="Arial" w:cs="Arial"/>
                <w:sz w:val="18"/>
                <w:szCs w:val="18"/>
              </w:rPr>
              <w:t>1/Week, when discharging</w:t>
            </w:r>
          </w:p>
        </w:tc>
        <w:tc>
          <w:tcPr>
            <w:tcW w:w="1836" w:type="dxa"/>
            <w:vAlign w:val="center"/>
          </w:tcPr>
          <w:p w:rsidR="00FC56C6" w:rsidRPr="00FC56C6" w:rsidRDefault="00FC56C6" w:rsidP="006943FB">
            <w:pPr>
              <w:jc w:val="center"/>
              <w:rPr>
                <w:rFonts w:ascii="Arial" w:hAnsi="Arial" w:cs="Arial"/>
                <w:sz w:val="18"/>
                <w:szCs w:val="18"/>
                <w:vertAlign w:val="superscript"/>
              </w:rPr>
            </w:pPr>
            <w:r w:rsidRPr="00FC56C6">
              <w:rPr>
                <w:rFonts w:ascii="Arial" w:hAnsi="Arial" w:cs="Arial"/>
                <w:sz w:val="18"/>
                <w:szCs w:val="18"/>
              </w:rPr>
              <w:t>24-hour Composite</w:t>
            </w:r>
          </w:p>
        </w:tc>
        <w:tc>
          <w:tcPr>
            <w:tcW w:w="2280" w:type="dxa"/>
            <w:vAlign w:val="center"/>
          </w:tcPr>
          <w:p w:rsidR="00FC56C6" w:rsidRPr="006943FB" w:rsidRDefault="00FC56C6" w:rsidP="006943FB">
            <w:pPr>
              <w:suppressAutoHyphens/>
              <w:jc w:val="center"/>
              <w:rPr>
                <w:rFonts w:ascii="Arial" w:hAnsi="Arial" w:cs="Arial"/>
                <w:sz w:val="18"/>
                <w:szCs w:val="18"/>
              </w:rPr>
            </w:pPr>
            <w:r w:rsidRPr="006943FB">
              <w:rPr>
                <w:rFonts w:ascii="Arial" w:hAnsi="Arial" w:cs="Arial"/>
                <w:sz w:val="18"/>
                <w:szCs w:val="18"/>
              </w:rPr>
              <w:t>Same as above</w:t>
            </w:r>
          </w:p>
        </w:tc>
      </w:tr>
      <w:tr w:rsidR="00FC56C6" w:rsidRPr="00AF304B" w:rsidTr="00FC56C6">
        <w:trPr>
          <w:trHeight w:val="288"/>
          <w:jc w:val="center"/>
        </w:trPr>
        <w:tc>
          <w:tcPr>
            <w:tcW w:w="2160" w:type="dxa"/>
            <w:vAlign w:val="center"/>
          </w:tcPr>
          <w:p w:rsidR="00FC56C6" w:rsidRPr="006943FB" w:rsidRDefault="00FC56C6" w:rsidP="006943FB">
            <w:pPr>
              <w:jc w:val="center"/>
              <w:rPr>
                <w:rFonts w:ascii="Arial" w:hAnsi="Arial" w:cs="Arial"/>
                <w:sz w:val="18"/>
                <w:szCs w:val="18"/>
              </w:rPr>
            </w:pPr>
            <w:r w:rsidRPr="006943FB">
              <w:rPr>
                <w:rFonts w:ascii="Arial" w:hAnsi="Arial" w:cs="Arial"/>
                <w:sz w:val="18"/>
                <w:szCs w:val="18"/>
              </w:rPr>
              <w:t>pH</w:t>
            </w:r>
          </w:p>
        </w:tc>
        <w:tc>
          <w:tcPr>
            <w:tcW w:w="1080" w:type="dxa"/>
            <w:vAlign w:val="center"/>
          </w:tcPr>
          <w:p w:rsidR="00FC56C6" w:rsidRPr="006943FB" w:rsidRDefault="00FC56C6" w:rsidP="006943FB">
            <w:pPr>
              <w:jc w:val="center"/>
              <w:rPr>
                <w:rFonts w:ascii="Arial" w:hAnsi="Arial" w:cs="Arial"/>
                <w:sz w:val="18"/>
                <w:szCs w:val="18"/>
              </w:rPr>
            </w:pPr>
            <w:r w:rsidRPr="006943FB">
              <w:rPr>
                <w:rFonts w:ascii="Arial" w:hAnsi="Arial" w:cs="Arial"/>
                <w:sz w:val="18"/>
                <w:szCs w:val="18"/>
              </w:rPr>
              <w:t>N/A</w:t>
            </w:r>
          </w:p>
        </w:tc>
        <w:tc>
          <w:tcPr>
            <w:tcW w:w="756" w:type="dxa"/>
            <w:vAlign w:val="center"/>
          </w:tcPr>
          <w:p w:rsidR="00FC56C6" w:rsidRPr="006943FB" w:rsidRDefault="00FC56C6" w:rsidP="006943FB">
            <w:pPr>
              <w:jc w:val="center"/>
              <w:rPr>
                <w:rFonts w:ascii="Arial" w:hAnsi="Arial" w:cs="Arial"/>
                <w:sz w:val="18"/>
                <w:szCs w:val="18"/>
              </w:rPr>
            </w:pPr>
            <w:r w:rsidRPr="006943FB">
              <w:rPr>
                <w:rFonts w:ascii="Arial" w:hAnsi="Arial" w:cs="Arial"/>
                <w:sz w:val="18"/>
                <w:szCs w:val="18"/>
              </w:rPr>
              <w:t>-</w:t>
            </w:r>
          </w:p>
        </w:tc>
        <w:tc>
          <w:tcPr>
            <w:tcW w:w="2484" w:type="dxa"/>
            <w:vAlign w:val="center"/>
          </w:tcPr>
          <w:p w:rsidR="00FC56C6" w:rsidRPr="006943FB" w:rsidRDefault="00FC56C6" w:rsidP="006943FB">
            <w:pPr>
              <w:jc w:val="center"/>
              <w:rPr>
                <w:rFonts w:ascii="Arial" w:hAnsi="Arial" w:cs="Arial"/>
                <w:sz w:val="18"/>
                <w:szCs w:val="18"/>
              </w:rPr>
            </w:pPr>
            <w:r w:rsidRPr="006943FB">
              <w:rPr>
                <w:rFonts w:ascii="Arial" w:hAnsi="Arial" w:cs="Arial"/>
                <w:sz w:val="18"/>
                <w:szCs w:val="18"/>
              </w:rPr>
              <w:t>1/Week, when discharging</w:t>
            </w:r>
          </w:p>
        </w:tc>
        <w:tc>
          <w:tcPr>
            <w:tcW w:w="1836" w:type="dxa"/>
            <w:vAlign w:val="center"/>
          </w:tcPr>
          <w:p w:rsidR="00FC56C6" w:rsidRPr="00FC56C6" w:rsidRDefault="00FC56C6" w:rsidP="006943FB">
            <w:pPr>
              <w:jc w:val="center"/>
              <w:rPr>
                <w:rFonts w:ascii="Arial" w:hAnsi="Arial" w:cs="Arial"/>
                <w:sz w:val="18"/>
                <w:szCs w:val="18"/>
              </w:rPr>
            </w:pPr>
            <w:r w:rsidRPr="00FC56C6">
              <w:rPr>
                <w:rFonts w:ascii="Arial" w:hAnsi="Arial" w:cs="Arial"/>
                <w:sz w:val="18"/>
                <w:szCs w:val="18"/>
              </w:rPr>
              <w:t>Grab</w:t>
            </w:r>
          </w:p>
        </w:tc>
        <w:tc>
          <w:tcPr>
            <w:tcW w:w="2280" w:type="dxa"/>
            <w:vAlign w:val="center"/>
          </w:tcPr>
          <w:p w:rsidR="00FC56C6" w:rsidRPr="006943FB" w:rsidRDefault="00FC56C6" w:rsidP="006943FB">
            <w:pPr>
              <w:jc w:val="center"/>
              <w:rPr>
                <w:rFonts w:ascii="Arial" w:hAnsi="Arial" w:cs="Arial"/>
                <w:sz w:val="18"/>
                <w:szCs w:val="18"/>
              </w:rPr>
            </w:pPr>
            <w:r w:rsidRPr="006943FB">
              <w:rPr>
                <w:rFonts w:ascii="Arial" w:hAnsi="Arial" w:cs="Arial"/>
                <w:sz w:val="18"/>
                <w:szCs w:val="18"/>
              </w:rPr>
              <w:t>Same as above</w:t>
            </w:r>
          </w:p>
        </w:tc>
      </w:tr>
      <w:tr w:rsidR="00FC56C6" w:rsidRPr="00AF304B" w:rsidTr="00FC56C6">
        <w:trPr>
          <w:trHeight w:val="288"/>
          <w:jc w:val="center"/>
        </w:trPr>
        <w:tc>
          <w:tcPr>
            <w:tcW w:w="2160" w:type="dxa"/>
            <w:vAlign w:val="center"/>
          </w:tcPr>
          <w:p w:rsidR="00FC56C6" w:rsidRPr="006943FB" w:rsidRDefault="00FC56C6" w:rsidP="006943FB">
            <w:pPr>
              <w:jc w:val="center"/>
              <w:rPr>
                <w:rFonts w:ascii="Arial" w:hAnsi="Arial" w:cs="Arial"/>
                <w:sz w:val="18"/>
                <w:szCs w:val="18"/>
              </w:rPr>
            </w:pPr>
            <w:r w:rsidRPr="006943FB">
              <w:rPr>
                <w:rFonts w:ascii="Arial" w:hAnsi="Arial" w:cs="Arial"/>
                <w:sz w:val="18"/>
                <w:szCs w:val="18"/>
              </w:rPr>
              <w:t>Total Cyanide</w:t>
            </w:r>
          </w:p>
        </w:tc>
        <w:tc>
          <w:tcPr>
            <w:tcW w:w="1080" w:type="dxa"/>
            <w:vAlign w:val="center"/>
          </w:tcPr>
          <w:p w:rsidR="00FC56C6" w:rsidRPr="006943FB" w:rsidRDefault="00FC56C6" w:rsidP="006943FB">
            <w:pPr>
              <w:keepNext/>
              <w:keepLines/>
              <w:jc w:val="center"/>
              <w:rPr>
                <w:rFonts w:ascii="Arial" w:hAnsi="Arial" w:cs="Arial"/>
                <w:color w:val="000000" w:themeColor="text1"/>
                <w:sz w:val="18"/>
                <w:szCs w:val="18"/>
              </w:rPr>
            </w:pPr>
            <w:r w:rsidRPr="006943FB">
              <w:rPr>
                <w:rFonts w:ascii="Arial" w:hAnsi="Arial" w:cs="Arial"/>
                <w:color w:val="000000" w:themeColor="text1"/>
                <w:sz w:val="18"/>
                <w:szCs w:val="18"/>
              </w:rPr>
              <w:t>57125</w:t>
            </w:r>
          </w:p>
        </w:tc>
        <w:tc>
          <w:tcPr>
            <w:tcW w:w="756" w:type="dxa"/>
            <w:vAlign w:val="center"/>
          </w:tcPr>
          <w:p w:rsidR="00FC56C6" w:rsidRPr="006943FB" w:rsidRDefault="00FC56C6" w:rsidP="006943FB">
            <w:pPr>
              <w:keepNext/>
              <w:keepLines/>
              <w:jc w:val="center"/>
              <w:rPr>
                <w:rFonts w:ascii="Arial" w:hAnsi="Arial" w:cs="Arial"/>
                <w:color w:val="000000" w:themeColor="text1"/>
                <w:sz w:val="18"/>
                <w:szCs w:val="18"/>
              </w:rPr>
            </w:pPr>
            <w:r w:rsidRPr="006943FB">
              <w:rPr>
                <w:rFonts w:ascii="Arial" w:hAnsi="Arial" w:cs="Arial"/>
                <w:color w:val="000000" w:themeColor="text1"/>
                <w:sz w:val="18"/>
                <w:szCs w:val="18"/>
              </w:rPr>
              <w:t>5.0</w:t>
            </w:r>
          </w:p>
        </w:tc>
        <w:tc>
          <w:tcPr>
            <w:tcW w:w="2484" w:type="dxa"/>
            <w:vAlign w:val="center"/>
          </w:tcPr>
          <w:p w:rsidR="00FC56C6" w:rsidRPr="006943FB" w:rsidRDefault="00FC56C6" w:rsidP="006943FB">
            <w:pPr>
              <w:jc w:val="center"/>
              <w:rPr>
                <w:rFonts w:ascii="Arial" w:hAnsi="Arial" w:cs="Arial"/>
                <w:sz w:val="18"/>
                <w:szCs w:val="18"/>
              </w:rPr>
            </w:pPr>
            <w:r w:rsidRPr="006943FB">
              <w:rPr>
                <w:rFonts w:ascii="Arial" w:hAnsi="Arial" w:cs="Arial"/>
                <w:sz w:val="18"/>
                <w:szCs w:val="18"/>
              </w:rPr>
              <w:t>1/Week, when discharging</w:t>
            </w:r>
          </w:p>
        </w:tc>
        <w:tc>
          <w:tcPr>
            <w:tcW w:w="1836" w:type="dxa"/>
            <w:vAlign w:val="center"/>
          </w:tcPr>
          <w:p w:rsidR="00FC56C6" w:rsidRPr="00FC56C6" w:rsidRDefault="00302738" w:rsidP="006943FB">
            <w:pPr>
              <w:jc w:val="center"/>
              <w:rPr>
                <w:rFonts w:ascii="Arial" w:hAnsi="Arial" w:cs="Arial"/>
                <w:sz w:val="18"/>
                <w:szCs w:val="18"/>
              </w:rPr>
            </w:pPr>
            <w:r>
              <w:rPr>
                <w:rFonts w:ascii="Arial" w:hAnsi="Arial" w:cs="Arial"/>
                <w:sz w:val="18"/>
                <w:szCs w:val="18"/>
              </w:rPr>
              <w:t>See Note 5</w:t>
            </w:r>
          </w:p>
        </w:tc>
        <w:tc>
          <w:tcPr>
            <w:tcW w:w="2280" w:type="dxa"/>
            <w:vAlign w:val="center"/>
          </w:tcPr>
          <w:p w:rsidR="00FC56C6" w:rsidRPr="006943FB" w:rsidRDefault="00FC56C6" w:rsidP="006943FB">
            <w:pPr>
              <w:suppressAutoHyphens/>
              <w:jc w:val="center"/>
              <w:rPr>
                <w:rFonts w:ascii="Arial" w:hAnsi="Arial" w:cs="Arial"/>
                <w:sz w:val="18"/>
                <w:szCs w:val="18"/>
              </w:rPr>
            </w:pPr>
            <w:r w:rsidRPr="006943FB">
              <w:rPr>
                <w:rFonts w:ascii="Arial" w:hAnsi="Arial" w:cs="Arial"/>
                <w:sz w:val="18"/>
                <w:szCs w:val="18"/>
              </w:rPr>
              <w:t>Same as above</w:t>
            </w:r>
          </w:p>
        </w:tc>
      </w:tr>
    </w:tbl>
    <w:p w:rsidR="007401A9" w:rsidRDefault="007401A9" w:rsidP="00CC7048">
      <w:pPr>
        <w:ind w:left="720"/>
        <w:rPr>
          <w:sz w:val="22"/>
          <w:szCs w:val="22"/>
          <w:u w:val="single"/>
        </w:rPr>
      </w:pPr>
    </w:p>
    <w:p w:rsidR="006943FB" w:rsidRPr="00CC7048" w:rsidRDefault="006943FB" w:rsidP="00A43072">
      <w:pPr>
        <w:ind w:left="720"/>
        <w:jc w:val="left"/>
        <w:rPr>
          <w:sz w:val="22"/>
          <w:szCs w:val="22"/>
          <w:u w:val="single"/>
        </w:rPr>
      </w:pPr>
      <w:r w:rsidRPr="00CC7048">
        <w:rPr>
          <w:sz w:val="22"/>
          <w:szCs w:val="22"/>
          <w:u w:val="single"/>
        </w:rPr>
        <w:t xml:space="preserve">Table </w:t>
      </w:r>
      <w:r w:rsidR="001D0D64">
        <w:rPr>
          <w:sz w:val="22"/>
          <w:szCs w:val="22"/>
          <w:u w:val="single"/>
        </w:rPr>
        <w:t>10</w:t>
      </w:r>
      <w:r w:rsidRPr="00CC7048">
        <w:rPr>
          <w:sz w:val="22"/>
          <w:szCs w:val="22"/>
          <w:u w:val="single"/>
        </w:rPr>
        <w:t xml:space="preserve"> Notes</w:t>
      </w:r>
      <w:r w:rsidR="00CC7048">
        <w:rPr>
          <w:sz w:val="22"/>
          <w:szCs w:val="22"/>
          <w:u w:val="single"/>
        </w:rPr>
        <w:t xml:space="preserve"> (included in the proposed permit)</w:t>
      </w:r>
      <w:r w:rsidRPr="00CC7048">
        <w:rPr>
          <w:sz w:val="22"/>
          <w:szCs w:val="22"/>
          <w:u w:val="single"/>
        </w:rPr>
        <w:t>:</w:t>
      </w:r>
    </w:p>
    <w:p w:rsidR="006943FB" w:rsidRPr="00ED3F8A" w:rsidRDefault="006943FB" w:rsidP="00ED3F8A">
      <w:pPr>
        <w:pStyle w:val="ListParagraph"/>
        <w:numPr>
          <w:ilvl w:val="0"/>
          <w:numId w:val="18"/>
        </w:numPr>
        <w:rPr>
          <w:sz w:val="22"/>
          <w:szCs w:val="22"/>
        </w:rPr>
      </w:pPr>
      <w:r w:rsidRPr="00ED3F8A">
        <w:rPr>
          <w:sz w:val="22"/>
          <w:szCs w:val="22"/>
        </w:rPr>
        <w:t>Chemical Abstract Service</w:t>
      </w:r>
    </w:p>
    <w:p w:rsidR="006943FB" w:rsidRPr="00ED3F8A" w:rsidRDefault="006943FB" w:rsidP="00ED3F8A">
      <w:pPr>
        <w:pStyle w:val="ListParagraph"/>
        <w:numPr>
          <w:ilvl w:val="0"/>
          <w:numId w:val="18"/>
        </w:numPr>
        <w:rPr>
          <w:color w:val="000000" w:themeColor="text1"/>
          <w:sz w:val="22"/>
          <w:szCs w:val="22"/>
        </w:rPr>
      </w:pPr>
      <w:r w:rsidRPr="00ED3F8A">
        <w:rPr>
          <w:color w:val="000000" w:themeColor="text1"/>
          <w:sz w:val="22"/>
          <w:szCs w:val="22"/>
        </w:rPr>
        <w:t xml:space="preserve">Some QL’s may need methods with modification allowed by EPA’s Solutions for Analytical Chemistry Problems w/Clean Water Methods, March 2007.  </w:t>
      </w:r>
      <w:r w:rsidR="004D5880" w:rsidRPr="00ED3F8A">
        <w:rPr>
          <w:sz w:val="22"/>
          <w:szCs w:val="22"/>
        </w:rPr>
        <w:t xml:space="preserve">The units for the QL’s shown are µg/L.  </w:t>
      </w:r>
    </w:p>
    <w:p w:rsidR="006943FB" w:rsidRPr="00ED3F8A" w:rsidRDefault="006943FB" w:rsidP="00ED3F8A">
      <w:pPr>
        <w:pStyle w:val="ListParagraph"/>
        <w:numPr>
          <w:ilvl w:val="0"/>
          <w:numId w:val="18"/>
        </w:numPr>
        <w:rPr>
          <w:sz w:val="22"/>
          <w:szCs w:val="22"/>
        </w:rPr>
      </w:pPr>
      <w:r w:rsidRPr="00ED3F8A">
        <w:rPr>
          <w:sz w:val="22"/>
          <w:szCs w:val="22"/>
        </w:rPr>
        <w:t xml:space="preserve">Total Recoverable </w:t>
      </w:r>
    </w:p>
    <w:p w:rsidR="006943FB" w:rsidRPr="00ED3F8A" w:rsidRDefault="006943FB" w:rsidP="00ED3F8A">
      <w:pPr>
        <w:pStyle w:val="ListParagraph"/>
        <w:numPr>
          <w:ilvl w:val="0"/>
          <w:numId w:val="18"/>
        </w:numPr>
        <w:rPr>
          <w:sz w:val="22"/>
          <w:szCs w:val="22"/>
        </w:rPr>
      </w:pPr>
      <w:r w:rsidRPr="00ED3F8A">
        <w:rPr>
          <w:sz w:val="22"/>
          <w:szCs w:val="22"/>
        </w:rPr>
        <w:t>Monitoring is only required during weeks when discharges occur.</w:t>
      </w:r>
    </w:p>
    <w:p w:rsidR="00302738" w:rsidRPr="00ED3F8A" w:rsidRDefault="00302738" w:rsidP="00ED3F8A">
      <w:pPr>
        <w:pStyle w:val="ListParagraph"/>
        <w:numPr>
          <w:ilvl w:val="0"/>
          <w:numId w:val="18"/>
        </w:numPr>
        <w:rPr>
          <w:color w:val="000000" w:themeColor="text1"/>
          <w:sz w:val="22"/>
          <w:szCs w:val="22"/>
        </w:rPr>
      </w:pPr>
      <w:r w:rsidRPr="00ED3F8A">
        <w:rPr>
          <w:color w:val="000000" w:themeColor="text1"/>
          <w:sz w:val="22"/>
          <w:szCs w:val="22"/>
        </w:rPr>
        <w:t xml:space="preserve">When sampling for Cyanide, at least six discrete grab samples must be collected over the operating day with samples collected no less than one hour apart. The aliquot must be at least 100 </w:t>
      </w:r>
      <w:proofErr w:type="spellStart"/>
      <w:r w:rsidRPr="00ED3F8A">
        <w:rPr>
          <w:color w:val="000000" w:themeColor="text1"/>
          <w:sz w:val="22"/>
          <w:szCs w:val="22"/>
        </w:rPr>
        <w:t>mL</w:t>
      </w:r>
      <w:proofErr w:type="spellEnd"/>
      <w:r w:rsidRPr="00ED3F8A">
        <w:rPr>
          <w:color w:val="000000" w:themeColor="text1"/>
          <w:sz w:val="22"/>
          <w:szCs w:val="22"/>
        </w:rPr>
        <w:t xml:space="preserve"> and collected and composited into a larger container that has been preserved with sodium hydroxide to insure sample integrity.</w:t>
      </w:r>
    </w:p>
    <w:p w:rsidR="007401A9" w:rsidRPr="00ED3F8A" w:rsidRDefault="007401A9" w:rsidP="00ED3F8A">
      <w:pPr>
        <w:pStyle w:val="ListParagraph"/>
        <w:numPr>
          <w:ilvl w:val="0"/>
          <w:numId w:val="18"/>
        </w:numPr>
        <w:rPr>
          <w:bCs/>
          <w:sz w:val="22"/>
          <w:szCs w:val="22"/>
        </w:rPr>
      </w:pPr>
      <w:r w:rsidRPr="00ED3F8A">
        <w:rPr>
          <w:bCs/>
          <w:sz w:val="22"/>
          <w:szCs w:val="22"/>
        </w:rPr>
        <w:br w:type="page"/>
      </w:r>
    </w:p>
    <w:p w:rsidR="006943FB" w:rsidRDefault="006943FB">
      <w:pPr>
        <w:jc w:val="left"/>
        <w:rPr>
          <w:rFonts w:cs="Times New Roman"/>
          <w:b/>
          <w:bCs/>
        </w:rPr>
      </w:pPr>
    </w:p>
    <w:p w:rsidR="007401A9" w:rsidRDefault="007401A9">
      <w:pPr>
        <w:jc w:val="left"/>
        <w:rPr>
          <w:rFonts w:cs="Times New Roman"/>
          <w:b/>
          <w:bCs/>
        </w:rPr>
      </w:pPr>
    </w:p>
    <w:tbl>
      <w:tblPr>
        <w:tblW w:w="10560" w:type="dxa"/>
        <w:jc w:val="center"/>
        <w:tblInd w:w="48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84"/>
        <w:gridCol w:w="1080"/>
        <w:gridCol w:w="606"/>
        <w:gridCol w:w="2520"/>
        <w:gridCol w:w="1800"/>
        <w:gridCol w:w="2370"/>
      </w:tblGrid>
      <w:tr w:rsidR="006943FB" w:rsidRPr="00772F91" w:rsidTr="006943FB">
        <w:trPr>
          <w:trHeight w:val="323"/>
          <w:jc w:val="center"/>
        </w:trPr>
        <w:tc>
          <w:tcPr>
            <w:tcW w:w="10560" w:type="dxa"/>
            <w:gridSpan w:val="6"/>
            <w:shd w:val="clear" w:color="auto" w:fill="D9D9D9" w:themeFill="background1" w:themeFillShade="D9"/>
            <w:vAlign w:val="center"/>
          </w:tcPr>
          <w:p w:rsidR="006943FB" w:rsidRPr="00772F91" w:rsidRDefault="00FD1C3B" w:rsidP="001D0D64">
            <w:pPr>
              <w:spacing w:before="80" w:after="80"/>
              <w:jc w:val="center"/>
              <w:rPr>
                <w:rFonts w:ascii="Arial" w:hAnsi="Arial" w:cs="Arial"/>
                <w:b/>
                <w:u w:val="single"/>
              </w:rPr>
            </w:pPr>
            <w:r w:rsidRPr="00772F91">
              <w:rPr>
                <w:rFonts w:ascii="Arial" w:hAnsi="Arial" w:cs="Arial"/>
                <w:b/>
                <w:sz w:val="22"/>
                <w:szCs w:val="22"/>
              </w:rPr>
              <w:t>Table 1</w:t>
            </w:r>
            <w:r w:rsidR="001D0D64">
              <w:rPr>
                <w:rFonts w:ascii="Arial" w:hAnsi="Arial" w:cs="Arial"/>
                <w:b/>
                <w:sz w:val="22"/>
                <w:szCs w:val="22"/>
              </w:rPr>
              <w:t>1</w:t>
            </w:r>
            <w:r w:rsidR="006943FB" w:rsidRPr="00772F91">
              <w:rPr>
                <w:rFonts w:ascii="Arial" w:hAnsi="Arial" w:cs="Arial"/>
                <w:b/>
                <w:sz w:val="22"/>
                <w:szCs w:val="22"/>
              </w:rPr>
              <w:t>: Proposed Outfall 001 Characterization Monitoring Requirements</w:t>
            </w:r>
          </w:p>
        </w:tc>
      </w:tr>
      <w:tr w:rsidR="006943FB" w:rsidRPr="00772F91" w:rsidTr="00176503">
        <w:trPr>
          <w:trHeight w:val="323"/>
          <w:jc w:val="center"/>
        </w:trPr>
        <w:tc>
          <w:tcPr>
            <w:tcW w:w="2184" w:type="dxa"/>
            <w:shd w:val="clear" w:color="auto" w:fill="D9D9D9" w:themeFill="background1" w:themeFillShade="D9"/>
            <w:vAlign w:val="center"/>
          </w:tcPr>
          <w:p w:rsidR="006943FB" w:rsidRPr="00772F91" w:rsidRDefault="006943FB" w:rsidP="006943FB">
            <w:pPr>
              <w:spacing w:before="80" w:after="80"/>
              <w:jc w:val="center"/>
              <w:rPr>
                <w:rFonts w:ascii="Arial" w:hAnsi="Arial" w:cs="Arial"/>
                <w:b/>
                <w:sz w:val="18"/>
                <w:szCs w:val="18"/>
                <w:u w:val="single"/>
              </w:rPr>
            </w:pPr>
            <w:r w:rsidRPr="00772F91">
              <w:rPr>
                <w:rFonts w:ascii="Arial" w:hAnsi="Arial" w:cs="Arial"/>
                <w:b/>
                <w:sz w:val="18"/>
                <w:szCs w:val="18"/>
                <w:u w:val="single"/>
              </w:rPr>
              <w:t>Parameter</w:t>
            </w:r>
          </w:p>
        </w:tc>
        <w:tc>
          <w:tcPr>
            <w:tcW w:w="1080" w:type="dxa"/>
            <w:shd w:val="clear" w:color="auto" w:fill="D9D9D9" w:themeFill="background1" w:themeFillShade="D9"/>
            <w:vAlign w:val="center"/>
          </w:tcPr>
          <w:p w:rsidR="006943FB" w:rsidRPr="00772F91" w:rsidRDefault="006943FB" w:rsidP="006943FB">
            <w:pPr>
              <w:spacing w:before="80" w:after="80"/>
              <w:jc w:val="center"/>
              <w:rPr>
                <w:rFonts w:ascii="Arial" w:hAnsi="Arial" w:cs="Arial"/>
                <w:b/>
                <w:sz w:val="18"/>
                <w:szCs w:val="18"/>
                <w:u w:val="single"/>
              </w:rPr>
            </w:pPr>
            <w:r w:rsidRPr="00772F91">
              <w:rPr>
                <w:rFonts w:ascii="Arial" w:hAnsi="Arial" w:cs="Arial"/>
                <w:b/>
                <w:sz w:val="18"/>
                <w:szCs w:val="18"/>
                <w:u w:val="single"/>
              </w:rPr>
              <w:t>CAS</w:t>
            </w:r>
            <w:r w:rsidRPr="00772F91">
              <w:rPr>
                <w:rFonts w:ascii="Arial" w:hAnsi="Arial" w:cs="Arial"/>
                <w:b/>
                <w:sz w:val="18"/>
                <w:szCs w:val="18"/>
                <w:u w:val="single"/>
                <w:vertAlign w:val="superscript"/>
              </w:rPr>
              <w:t>1</w:t>
            </w:r>
          </w:p>
        </w:tc>
        <w:tc>
          <w:tcPr>
            <w:tcW w:w="606" w:type="dxa"/>
            <w:shd w:val="clear" w:color="auto" w:fill="D9D9D9" w:themeFill="background1" w:themeFillShade="D9"/>
            <w:vAlign w:val="center"/>
          </w:tcPr>
          <w:p w:rsidR="006943FB" w:rsidRPr="00772F91" w:rsidRDefault="006943FB" w:rsidP="006943FB">
            <w:pPr>
              <w:spacing w:before="80" w:after="80"/>
              <w:jc w:val="center"/>
              <w:rPr>
                <w:rFonts w:ascii="Arial" w:hAnsi="Arial" w:cs="Arial"/>
                <w:b/>
                <w:sz w:val="18"/>
                <w:szCs w:val="18"/>
                <w:u w:val="single"/>
                <w:vertAlign w:val="superscript"/>
              </w:rPr>
            </w:pPr>
            <w:r w:rsidRPr="00772F91">
              <w:rPr>
                <w:rFonts w:ascii="Arial" w:hAnsi="Arial" w:cs="Arial"/>
                <w:b/>
                <w:sz w:val="18"/>
                <w:szCs w:val="18"/>
                <w:u w:val="single"/>
              </w:rPr>
              <w:t>QL</w:t>
            </w:r>
            <w:r w:rsidRPr="00772F91">
              <w:rPr>
                <w:rFonts w:ascii="Arial" w:hAnsi="Arial" w:cs="Arial"/>
                <w:b/>
                <w:sz w:val="18"/>
                <w:szCs w:val="18"/>
                <w:u w:val="single"/>
                <w:vertAlign w:val="superscript"/>
              </w:rPr>
              <w:t>2</w:t>
            </w:r>
          </w:p>
        </w:tc>
        <w:tc>
          <w:tcPr>
            <w:tcW w:w="2520" w:type="dxa"/>
            <w:shd w:val="clear" w:color="auto" w:fill="D9D9D9" w:themeFill="background1" w:themeFillShade="D9"/>
            <w:vAlign w:val="center"/>
          </w:tcPr>
          <w:p w:rsidR="006943FB" w:rsidRPr="00772F91" w:rsidRDefault="006943FB" w:rsidP="006943FB">
            <w:pPr>
              <w:spacing w:before="80" w:after="80"/>
              <w:jc w:val="center"/>
              <w:rPr>
                <w:rFonts w:ascii="Arial" w:hAnsi="Arial" w:cs="Arial"/>
                <w:b/>
                <w:sz w:val="18"/>
                <w:szCs w:val="18"/>
                <w:u w:val="single"/>
              </w:rPr>
            </w:pPr>
            <w:r w:rsidRPr="00772F91">
              <w:rPr>
                <w:rFonts w:ascii="Arial" w:hAnsi="Arial" w:cs="Arial"/>
                <w:b/>
                <w:sz w:val="18"/>
                <w:szCs w:val="18"/>
                <w:u w:val="single"/>
              </w:rPr>
              <w:t>Minimum Frequency</w:t>
            </w:r>
          </w:p>
        </w:tc>
        <w:tc>
          <w:tcPr>
            <w:tcW w:w="1800" w:type="dxa"/>
            <w:shd w:val="clear" w:color="auto" w:fill="D9D9D9" w:themeFill="background1" w:themeFillShade="D9"/>
            <w:vAlign w:val="center"/>
          </w:tcPr>
          <w:p w:rsidR="006943FB" w:rsidRPr="00772F91" w:rsidRDefault="006943FB" w:rsidP="006943FB">
            <w:pPr>
              <w:spacing w:before="80" w:after="80"/>
              <w:jc w:val="center"/>
              <w:rPr>
                <w:rFonts w:ascii="Arial" w:hAnsi="Arial" w:cs="Arial"/>
                <w:b/>
                <w:sz w:val="18"/>
                <w:szCs w:val="18"/>
                <w:u w:val="single"/>
              </w:rPr>
            </w:pPr>
            <w:r w:rsidRPr="00772F91">
              <w:rPr>
                <w:rFonts w:ascii="Arial" w:hAnsi="Arial" w:cs="Arial"/>
                <w:b/>
                <w:sz w:val="18"/>
                <w:szCs w:val="18"/>
                <w:u w:val="single"/>
              </w:rPr>
              <w:t>Sample Type/Action</w:t>
            </w:r>
          </w:p>
        </w:tc>
        <w:tc>
          <w:tcPr>
            <w:tcW w:w="2370" w:type="dxa"/>
            <w:shd w:val="clear" w:color="auto" w:fill="D9D9D9" w:themeFill="background1" w:themeFillShade="D9"/>
            <w:vAlign w:val="center"/>
          </w:tcPr>
          <w:p w:rsidR="006943FB" w:rsidRPr="00772F91" w:rsidRDefault="006943FB" w:rsidP="006943FB">
            <w:pPr>
              <w:spacing w:before="80" w:after="80"/>
              <w:jc w:val="center"/>
              <w:rPr>
                <w:rFonts w:ascii="Arial" w:hAnsi="Arial" w:cs="Arial"/>
                <w:b/>
                <w:sz w:val="18"/>
                <w:szCs w:val="18"/>
                <w:u w:val="single"/>
              </w:rPr>
            </w:pPr>
            <w:r w:rsidRPr="00772F91">
              <w:rPr>
                <w:rFonts w:ascii="Arial" w:hAnsi="Arial" w:cs="Arial"/>
                <w:b/>
                <w:sz w:val="18"/>
                <w:szCs w:val="18"/>
                <w:u w:val="single"/>
              </w:rPr>
              <w:t>Report</w:t>
            </w:r>
          </w:p>
        </w:tc>
      </w:tr>
      <w:tr w:rsidR="006943FB" w:rsidRPr="00772F91" w:rsidTr="00176503">
        <w:trPr>
          <w:trHeight w:val="259"/>
          <w:jc w:val="center"/>
        </w:trPr>
        <w:tc>
          <w:tcPr>
            <w:tcW w:w="2184"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Volume Discharged</w:t>
            </w:r>
          </w:p>
        </w:tc>
        <w:tc>
          <w:tcPr>
            <w:tcW w:w="108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N/A</w:t>
            </w:r>
          </w:p>
        </w:tc>
        <w:tc>
          <w:tcPr>
            <w:tcW w:w="606"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w:t>
            </w:r>
          </w:p>
        </w:tc>
        <w:tc>
          <w:tcPr>
            <w:tcW w:w="252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Daily, when discharging</w:t>
            </w:r>
          </w:p>
        </w:tc>
        <w:tc>
          <w:tcPr>
            <w:tcW w:w="180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Metering</w:t>
            </w:r>
          </w:p>
        </w:tc>
        <w:tc>
          <w:tcPr>
            <w:tcW w:w="2370" w:type="dxa"/>
            <w:vAlign w:val="center"/>
          </w:tcPr>
          <w:p w:rsidR="006943FB" w:rsidRPr="00772F91" w:rsidRDefault="006943FB" w:rsidP="006943FB">
            <w:pPr>
              <w:pStyle w:val="ListParagraph"/>
              <w:numPr>
                <w:ilvl w:val="0"/>
                <w:numId w:val="15"/>
              </w:numPr>
              <w:suppressAutoHyphens/>
              <w:contextualSpacing/>
              <w:jc w:val="left"/>
              <w:rPr>
                <w:rFonts w:ascii="Arial" w:hAnsi="Arial" w:cs="Arial"/>
                <w:sz w:val="18"/>
                <w:szCs w:val="18"/>
              </w:rPr>
            </w:pPr>
            <w:r w:rsidRPr="00772F91">
              <w:rPr>
                <w:rFonts w:ascii="Arial" w:hAnsi="Arial" w:cs="Arial"/>
                <w:sz w:val="18"/>
                <w:szCs w:val="18"/>
              </w:rPr>
              <w:t>Daily values</w:t>
            </w:r>
          </w:p>
          <w:p w:rsidR="006943FB" w:rsidRPr="00772F91" w:rsidRDefault="006943FB" w:rsidP="006943FB">
            <w:pPr>
              <w:pStyle w:val="ListParagraph"/>
              <w:numPr>
                <w:ilvl w:val="0"/>
                <w:numId w:val="15"/>
              </w:numPr>
              <w:suppressAutoHyphens/>
              <w:contextualSpacing/>
              <w:jc w:val="left"/>
              <w:rPr>
                <w:rFonts w:ascii="Arial" w:hAnsi="Arial" w:cs="Arial"/>
                <w:sz w:val="18"/>
                <w:szCs w:val="18"/>
              </w:rPr>
            </w:pPr>
            <w:r w:rsidRPr="00772F91">
              <w:rPr>
                <w:rFonts w:ascii="Arial" w:hAnsi="Arial" w:cs="Arial"/>
                <w:sz w:val="18"/>
                <w:szCs w:val="18"/>
              </w:rPr>
              <w:t>Monthly average</w:t>
            </w:r>
          </w:p>
          <w:p w:rsidR="006943FB" w:rsidRPr="00772F91" w:rsidRDefault="006943FB" w:rsidP="006943FB">
            <w:pPr>
              <w:pStyle w:val="ListParagraph"/>
              <w:numPr>
                <w:ilvl w:val="0"/>
                <w:numId w:val="15"/>
              </w:numPr>
              <w:suppressAutoHyphens/>
              <w:contextualSpacing/>
              <w:jc w:val="left"/>
              <w:rPr>
                <w:rFonts w:ascii="Arial" w:hAnsi="Arial" w:cs="Arial"/>
                <w:sz w:val="18"/>
                <w:szCs w:val="18"/>
              </w:rPr>
            </w:pPr>
            <w:r w:rsidRPr="00772F91">
              <w:rPr>
                <w:rFonts w:ascii="Arial" w:hAnsi="Arial" w:cs="Arial"/>
                <w:sz w:val="18"/>
                <w:szCs w:val="18"/>
              </w:rPr>
              <w:t>Maximum daily value</w:t>
            </w:r>
          </w:p>
        </w:tc>
      </w:tr>
      <w:tr w:rsidR="006943FB" w:rsidRPr="00772F91" w:rsidTr="00176503">
        <w:trPr>
          <w:trHeight w:val="259"/>
          <w:jc w:val="center"/>
        </w:trPr>
        <w:tc>
          <w:tcPr>
            <w:tcW w:w="2184"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Temperature</w:t>
            </w:r>
          </w:p>
        </w:tc>
        <w:tc>
          <w:tcPr>
            <w:tcW w:w="108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N/A</w:t>
            </w:r>
          </w:p>
        </w:tc>
        <w:tc>
          <w:tcPr>
            <w:tcW w:w="606"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w:t>
            </w:r>
          </w:p>
        </w:tc>
        <w:tc>
          <w:tcPr>
            <w:tcW w:w="252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Daily, when discharging</w:t>
            </w:r>
          </w:p>
        </w:tc>
        <w:tc>
          <w:tcPr>
            <w:tcW w:w="180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Recorder</w:t>
            </w:r>
          </w:p>
        </w:tc>
        <w:tc>
          <w:tcPr>
            <w:tcW w:w="2370" w:type="dxa"/>
            <w:vAlign w:val="center"/>
          </w:tcPr>
          <w:p w:rsidR="006943FB" w:rsidRPr="00772F91" w:rsidRDefault="006943FB" w:rsidP="006943FB">
            <w:pPr>
              <w:pStyle w:val="ListParagraph"/>
              <w:numPr>
                <w:ilvl w:val="0"/>
                <w:numId w:val="14"/>
              </w:numPr>
              <w:suppressAutoHyphens/>
              <w:contextualSpacing/>
              <w:jc w:val="left"/>
              <w:rPr>
                <w:rFonts w:ascii="Arial" w:hAnsi="Arial" w:cs="Arial"/>
                <w:sz w:val="18"/>
                <w:szCs w:val="18"/>
              </w:rPr>
            </w:pPr>
            <w:r w:rsidRPr="00772F91">
              <w:rPr>
                <w:rFonts w:ascii="Arial" w:hAnsi="Arial" w:cs="Arial"/>
                <w:sz w:val="18"/>
                <w:szCs w:val="18"/>
              </w:rPr>
              <w:t>Daily values</w:t>
            </w:r>
          </w:p>
          <w:p w:rsidR="006943FB" w:rsidRPr="00772F91" w:rsidRDefault="006943FB" w:rsidP="006943FB">
            <w:pPr>
              <w:pStyle w:val="ListParagraph"/>
              <w:numPr>
                <w:ilvl w:val="0"/>
                <w:numId w:val="14"/>
              </w:numPr>
              <w:suppressAutoHyphens/>
              <w:contextualSpacing/>
              <w:jc w:val="left"/>
              <w:rPr>
                <w:rFonts w:ascii="Arial" w:hAnsi="Arial" w:cs="Arial"/>
                <w:sz w:val="18"/>
                <w:szCs w:val="18"/>
              </w:rPr>
            </w:pPr>
            <w:r w:rsidRPr="00772F91">
              <w:rPr>
                <w:rFonts w:ascii="Arial" w:hAnsi="Arial" w:cs="Arial"/>
                <w:sz w:val="18"/>
                <w:szCs w:val="18"/>
              </w:rPr>
              <w:t>Maximum daily value</w:t>
            </w:r>
          </w:p>
          <w:p w:rsidR="006943FB" w:rsidRPr="00772F91" w:rsidRDefault="006943FB" w:rsidP="006943FB">
            <w:pPr>
              <w:pStyle w:val="ListParagraph"/>
              <w:numPr>
                <w:ilvl w:val="0"/>
                <w:numId w:val="14"/>
              </w:numPr>
              <w:suppressAutoHyphens/>
              <w:contextualSpacing/>
              <w:jc w:val="left"/>
              <w:rPr>
                <w:rFonts w:ascii="Arial" w:hAnsi="Arial" w:cs="Arial"/>
                <w:sz w:val="18"/>
                <w:szCs w:val="18"/>
              </w:rPr>
            </w:pPr>
            <w:r w:rsidRPr="00772F91">
              <w:rPr>
                <w:rFonts w:ascii="Arial" w:hAnsi="Arial" w:cs="Arial"/>
                <w:sz w:val="18"/>
                <w:szCs w:val="18"/>
              </w:rPr>
              <w:t>7 day moving average of daily maxima (7 DADM)</w:t>
            </w:r>
          </w:p>
          <w:p w:rsidR="006943FB" w:rsidRPr="00772F91" w:rsidRDefault="006943FB" w:rsidP="006943FB">
            <w:pPr>
              <w:pStyle w:val="ListParagraph"/>
              <w:numPr>
                <w:ilvl w:val="0"/>
                <w:numId w:val="14"/>
              </w:numPr>
              <w:suppressAutoHyphens/>
              <w:contextualSpacing/>
              <w:jc w:val="left"/>
              <w:rPr>
                <w:rFonts w:ascii="Arial" w:hAnsi="Arial" w:cs="Arial"/>
                <w:sz w:val="18"/>
                <w:szCs w:val="18"/>
              </w:rPr>
            </w:pPr>
            <w:r w:rsidRPr="00772F91">
              <w:rPr>
                <w:rFonts w:ascii="Arial" w:hAnsi="Arial" w:cs="Arial"/>
                <w:sz w:val="18"/>
                <w:szCs w:val="18"/>
              </w:rPr>
              <w:t>Maximum 7 DADM</w:t>
            </w:r>
          </w:p>
        </w:tc>
      </w:tr>
      <w:tr w:rsidR="006943FB" w:rsidRPr="00772F91" w:rsidTr="00176503">
        <w:trPr>
          <w:trHeight w:val="259"/>
          <w:jc w:val="center"/>
        </w:trPr>
        <w:tc>
          <w:tcPr>
            <w:tcW w:w="2184" w:type="dxa"/>
            <w:vAlign w:val="center"/>
          </w:tcPr>
          <w:p w:rsidR="006943FB" w:rsidRPr="00772F91" w:rsidRDefault="006943FB" w:rsidP="006943FB">
            <w:pPr>
              <w:jc w:val="center"/>
              <w:rPr>
                <w:rFonts w:ascii="Arial" w:hAnsi="Arial" w:cs="Arial"/>
                <w:snapToGrid w:val="0"/>
                <w:sz w:val="18"/>
                <w:szCs w:val="18"/>
              </w:rPr>
            </w:pPr>
            <w:r w:rsidRPr="00772F91">
              <w:rPr>
                <w:rFonts w:ascii="Arial" w:hAnsi="Arial" w:cs="Arial"/>
                <w:snapToGrid w:val="0"/>
                <w:sz w:val="18"/>
                <w:szCs w:val="18"/>
              </w:rPr>
              <w:t>Outfall Pipe</w:t>
            </w:r>
          </w:p>
        </w:tc>
        <w:tc>
          <w:tcPr>
            <w:tcW w:w="108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N/A</w:t>
            </w:r>
          </w:p>
        </w:tc>
        <w:tc>
          <w:tcPr>
            <w:tcW w:w="606"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w:t>
            </w:r>
          </w:p>
        </w:tc>
        <w:tc>
          <w:tcPr>
            <w:tcW w:w="252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Annual</w:t>
            </w:r>
          </w:p>
        </w:tc>
        <w:tc>
          <w:tcPr>
            <w:tcW w:w="180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Inspection</w:t>
            </w:r>
          </w:p>
        </w:tc>
        <w:tc>
          <w:tcPr>
            <w:tcW w:w="237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Narrative report of outfall condition</w:t>
            </w:r>
          </w:p>
        </w:tc>
      </w:tr>
      <w:tr w:rsidR="006943FB" w:rsidRPr="00772F91" w:rsidTr="00176503">
        <w:trPr>
          <w:trHeight w:val="259"/>
          <w:jc w:val="center"/>
        </w:trPr>
        <w:tc>
          <w:tcPr>
            <w:tcW w:w="2184"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Hardness</w:t>
            </w:r>
          </w:p>
        </w:tc>
        <w:tc>
          <w:tcPr>
            <w:tcW w:w="108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N/A</w:t>
            </w:r>
          </w:p>
        </w:tc>
        <w:tc>
          <w:tcPr>
            <w:tcW w:w="606"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w:t>
            </w:r>
          </w:p>
        </w:tc>
        <w:tc>
          <w:tcPr>
            <w:tcW w:w="252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1/Quarter, when discharging</w:t>
            </w:r>
          </w:p>
        </w:tc>
        <w:tc>
          <w:tcPr>
            <w:tcW w:w="1800" w:type="dxa"/>
            <w:vAlign w:val="center"/>
          </w:tcPr>
          <w:p w:rsidR="006943FB" w:rsidRPr="00772F91" w:rsidRDefault="006943FB" w:rsidP="006943FB">
            <w:pPr>
              <w:jc w:val="center"/>
              <w:rPr>
                <w:rFonts w:ascii="Arial" w:hAnsi="Arial" w:cs="Arial"/>
                <w:sz w:val="18"/>
                <w:szCs w:val="18"/>
                <w:vertAlign w:val="superscript"/>
              </w:rPr>
            </w:pPr>
            <w:r w:rsidRPr="00772F91">
              <w:rPr>
                <w:rFonts w:ascii="Arial" w:hAnsi="Arial" w:cs="Arial"/>
                <w:sz w:val="18"/>
                <w:szCs w:val="18"/>
              </w:rPr>
              <w:t>24-hour Composite</w:t>
            </w:r>
          </w:p>
        </w:tc>
        <w:tc>
          <w:tcPr>
            <w:tcW w:w="237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Daily Values</w:t>
            </w:r>
          </w:p>
        </w:tc>
      </w:tr>
      <w:tr w:rsidR="00373887" w:rsidRPr="00772F91" w:rsidTr="00176503">
        <w:trPr>
          <w:trHeight w:val="259"/>
          <w:jc w:val="center"/>
        </w:trPr>
        <w:tc>
          <w:tcPr>
            <w:tcW w:w="2184" w:type="dxa"/>
            <w:vAlign w:val="center"/>
          </w:tcPr>
          <w:p w:rsidR="00373887" w:rsidRPr="00772F91" w:rsidRDefault="00373887" w:rsidP="006943FB">
            <w:pPr>
              <w:jc w:val="center"/>
              <w:rPr>
                <w:rFonts w:ascii="Arial" w:hAnsi="Arial" w:cs="Arial"/>
                <w:sz w:val="18"/>
                <w:szCs w:val="18"/>
              </w:rPr>
            </w:pPr>
            <w:r>
              <w:rPr>
                <w:rFonts w:ascii="Arial" w:hAnsi="Arial" w:cs="Arial"/>
                <w:sz w:val="18"/>
                <w:szCs w:val="18"/>
              </w:rPr>
              <w:t>Free Cyanide</w:t>
            </w:r>
          </w:p>
        </w:tc>
        <w:tc>
          <w:tcPr>
            <w:tcW w:w="1080" w:type="dxa"/>
            <w:vAlign w:val="center"/>
          </w:tcPr>
          <w:p w:rsidR="00373887" w:rsidRPr="00CE43D3" w:rsidRDefault="00373887" w:rsidP="00373887">
            <w:pPr>
              <w:keepNext/>
              <w:keepLines/>
              <w:jc w:val="center"/>
              <w:rPr>
                <w:rFonts w:ascii="Arial" w:hAnsi="Arial" w:cs="Arial"/>
                <w:sz w:val="18"/>
                <w:szCs w:val="18"/>
              </w:rPr>
            </w:pPr>
            <w:r w:rsidRPr="00CE43D3">
              <w:rPr>
                <w:rFonts w:ascii="Arial" w:hAnsi="Arial" w:cs="Arial"/>
                <w:sz w:val="18"/>
                <w:szCs w:val="18"/>
              </w:rPr>
              <w:t>57125</w:t>
            </w:r>
          </w:p>
        </w:tc>
        <w:tc>
          <w:tcPr>
            <w:tcW w:w="606" w:type="dxa"/>
            <w:vAlign w:val="center"/>
          </w:tcPr>
          <w:p w:rsidR="00373887" w:rsidRPr="00CE43D3" w:rsidRDefault="00373887" w:rsidP="00373887">
            <w:pPr>
              <w:keepNext/>
              <w:keepLines/>
              <w:jc w:val="center"/>
              <w:rPr>
                <w:rFonts w:ascii="Arial" w:hAnsi="Arial" w:cs="Arial"/>
                <w:sz w:val="18"/>
                <w:szCs w:val="18"/>
              </w:rPr>
            </w:pPr>
            <w:r w:rsidRPr="00CE43D3">
              <w:rPr>
                <w:rFonts w:ascii="Arial" w:hAnsi="Arial" w:cs="Arial"/>
                <w:sz w:val="18"/>
                <w:szCs w:val="18"/>
              </w:rPr>
              <w:t>10</w:t>
            </w:r>
          </w:p>
        </w:tc>
        <w:tc>
          <w:tcPr>
            <w:tcW w:w="2520" w:type="dxa"/>
            <w:vAlign w:val="center"/>
          </w:tcPr>
          <w:p w:rsidR="00373887" w:rsidRPr="00CE43D3" w:rsidRDefault="00373887" w:rsidP="00373887">
            <w:pPr>
              <w:jc w:val="center"/>
              <w:rPr>
                <w:rFonts w:ascii="Arial" w:hAnsi="Arial" w:cs="Arial"/>
                <w:sz w:val="18"/>
                <w:szCs w:val="18"/>
              </w:rPr>
            </w:pPr>
            <w:r w:rsidRPr="00CE43D3">
              <w:rPr>
                <w:rFonts w:ascii="Arial" w:hAnsi="Arial" w:cs="Arial"/>
                <w:sz w:val="18"/>
                <w:szCs w:val="18"/>
              </w:rPr>
              <w:t>1/Quarter, when discharging</w:t>
            </w:r>
          </w:p>
        </w:tc>
        <w:tc>
          <w:tcPr>
            <w:tcW w:w="1800" w:type="dxa"/>
            <w:vAlign w:val="center"/>
          </w:tcPr>
          <w:p w:rsidR="00373887" w:rsidRPr="00CE43D3" w:rsidRDefault="00ED3F8A" w:rsidP="00373887">
            <w:pPr>
              <w:jc w:val="center"/>
              <w:rPr>
                <w:rFonts w:ascii="Arial" w:hAnsi="Arial" w:cs="Arial"/>
                <w:sz w:val="18"/>
                <w:szCs w:val="18"/>
              </w:rPr>
            </w:pPr>
            <w:r>
              <w:rPr>
                <w:rFonts w:ascii="Arial" w:hAnsi="Arial" w:cs="Arial"/>
                <w:sz w:val="18"/>
                <w:szCs w:val="18"/>
              </w:rPr>
              <w:t>See Note 7</w:t>
            </w:r>
          </w:p>
        </w:tc>
        <w:tc>
          <w:tcPr>
            <w:tcW w:w="2370" w:type="dxa"/>
            <w:vAlign w:val="center"/>
          </w:tcPr>
          <w:p w:rsidR="00373887" w:rsidRPr="00CE43D3" w:rsidRDefault="00373887" w:rsidP="00373887">
            <w:pPr>
              <w:jc w:val="center"/>
              <w:rPr>
                <w:rFonts w:ascii="Arial" w:hAnsi="Arial" w:cs="Arial"/>
                <w:sz w:val="18"/>
                <w:szCs w:val="18"/>
              </w:rPr>
            </w:pPr>
            <w:r w:rsidRPr="00CE43D3">
              <w:rPr>
                <w:rFonts w:ascii="Arial" w:hAnsi="Arial" w:cs="Arial"/>
                <w:sz w:val="18"/>
                <w:szCs w:val="18"/>
              </w:rPr>
              <w:t>Daily Values</w:t>
            </w:r>
          </w:p>
        </w:tc>
      </w:tr>
      <w:tr w:rsidR="00933ACC" w:rsidRPr="00772F91" w:rsidTr="00176503">
        <w:trPr>
          <w:trHeight w:val="259"/>
          <w:jc w:val="center"/>
        </w:trPr>
        <w:tc>
          <w:tcPr>
            <w:tcW w:w="2184" w:type="dxa"/>
            <w:vAlign w:val="center"/>
          </w:tcPr>
          <w:p w:rsidR="00933ACC" w:rsidRDefault="00933ACC" w:rsidP="006943FB">
            <w:pPr>
              <w:jc w:val="center"/>
              <w:rPr>
                <w:rFonts w:ascii="Arial" w:hAnsi="Arial" w:cs="Arial"/>
                <w:sz w:val="18"/>
                <w:szCs w:val="18"/>
              </w:rPr>
            </w:pPr>
            <w:r>
              <w:rPr>
                <w:rFonts w:ascii="Arial" w:hAnsi="Arial" w:cs="Arial"/>
                <w:sz w:val="18"/>
                <w:szCs w:val="18"/>
              </w:rPr>
              <w:t>Available Cyanide</w:t>
            </w:r>
          </w:p>
        </w:tc>
        <w:tc>
          <w:tcPr>
            <w:tcW w:w="1080" w:type="dxa"/>
            <w:vAlign w:val="center"/>
          </w:tcPr>
          <w:p w:rsidR="00933ACC" w:rsidRPr="00150ADC" w:rsidRDefault="00933ACC" w:rsidP="00B24FF2">
            <w:pPr>
              <w:keepNext/>
              <w:keepLines/>
              <w:jc w:val="center"/>
              <w:rPr>
                <w:rFonts w:ascii="Arial" w:hAnsi="Arial" w:cs="Arial"/>
                <w:color w:val="000000" w:themeColor="text1"/>
                <w:sz w:val="18"/>
                <w:szCs w:val="18"/>
              </w:rPr>
            </w:pPr>
            <w:r w:rsidRPr="00150ADC">
              <w:rPr>
                <w:rFonts w:ascii="Arial" w:hAnsi="Arial" w:cs="Arial"/>
                <w:color w:val="000000" w:themeColor="text1"/>
                <w:sz w:val="18"/>
                <w:szCs w:val="18"/>
              </w:rPr>
              <w:t>57125</w:t>
            </w:r>
          </w:p>
        </w:tc>
        <w:tc>
          <w:tcPr>
            <w:tcW w:w="606" w:type="dxa"/>
            <w:vAlign w:val="center"/>
          </w:tcPr>
          <w:p w:rsidR="00933ACC" w:rsidRPr="00150ADC" w:rsidRDefault="00933ACC" w:rsidP="00B24FF2">
            <w:pPr>
              <w:keepNext/>
              <w:keepLines/>
              <w:jc w:val="center"/>
              <w:rPr>
                <w:rFonts w:ascii="Arial" w:hAnsi="Arial" w:cs="Arial"/>
                <w:color w:val="000000" w:themeColor="text1"/>
                <w:sz w:val="18"/>
                <w:szCs w:val="18"/>
              </w:rPr>
            </w:pPr>
            <w:r w:rsidRPr="00150ADC">
              <w:rPr>
                <w:rFonts w:ascii="Arial" w:hAnsi="Arial" w:cs="Arial"/>
                <w:color w:val="000000" w:themeColor="text1"/>
                <w:sz w:val="18"/>
                <w:szCs w:val="18"/>
              </w:rPr>
              <w:t>-</w:t>
            </w:r>
          </w:p>
        </w:tc>
        <w:tc>
          <w:tcPr>
            <w:tcW w:w="2520" w:type="dxa"/>
            <w:vAlign w:val="center"/>
          </w:tcPr>
          <w:p w:rsidR="00933ACC" w:rsidRPr="00CE43D3" w:rsidRDefault="00933ACC" w:rsidP="004D5880">
            <w:pPr>
              <w:jc w:val="center"/>
              <w:rPr>
                <w:rFonts w:ascii="Arial" w:hAnsi="Arial" w:cs="Arial"/>
                <w:sz w:val="18"/>
                <w:szCs w:val="18"/>
              </w:rPr>
            </w:pPr>
            <w:r w:rsidRPr="00CE43D3">
              <w:rPr>
                <w:rFonts w:ascii="Arial" w:hAnsi="Arial" w:cs="Arial"/>
                <w:sz w:val="18"/>
                <w:szCs w:val="18"/>
              </w:rPr>
              <w:t>1/Quarter, when discharging</w:t>
            </w:r>
          </w:p>
        </w:tc>
        <w:tc>
          <w:tcPr>
            <w:tcW w:w="1800" w:type="dxa"/>
            <w:vAlign w:val="center"/>
          </w:tcPr>
          <w:p w:rsidR="00933ACC" w:rsidRPr="00CE43D3" w:rsidRDefault="00ED3F8A" w:rsidP="004D5880">
            <w:pPr>
              <w:jc w:val="center"/>
              <w:rPr>
                <w:rFonts w:ascii="Arial" w:hAnsi="Arial" w:cs="Arial"/>
                <w:sz w:val="18"/>
                <w:szCs w:val="18"/>
              </w:rPr>
            </w:pPr>
            <w:r>
              <w:rPr>
                <w:rFonts w:ascii="Arial" w:hAnsi="Arial" w:cs="Arial"/>
                <w:sz w:val="18"/>
                <w:szCs w:val="18"/>
              </w:rPr>
              <w:t>See Note 7</w:t>
            </w:r>
          </w:p>
        </w:tc>
        <w:tc>
          <w:tcPr>
            <w:tcW w:w="2370" w:type="dxa"/>
            <w:vAlign w:val="center"/>
          </w:tcPr>
          <w:p w:rsidR="00933ACC" w:rsidRPr="00CE43D3" w:rsidRDefault="00933ACC" w:rsidP="004D5880">
            <w:pPr>
              <w:jc w:val="center"/>
              <w:rPr>
                <w:rFonts w:ascii="Arial" w:hAnsi="Arial" w:cs="Arial"/>
                <w:sz w:val="18"/>
                <w:szCs w:val="18"/>
              </w:rPr>
            </w:pPr>
            <w:r w:rsidRPr="00CE43D3">
              <w:rPr>
                <w:rFonts w:ascii="Arial" w:hAnsi="Arial" w:cs="Arial"/>
                <w:sz w:val="18"/>
                <w:szCs w:val="18"/>
              </w:rPr>
              <w:t>Daily Values</w:t>
            </w:r>
          </w:p>
        </w:tc>
      </w:tr>
      <w:tr w:rsidR="00212CD6" w:rsidRPr="00772F91" w:rsidTr="00176503">
        <w:trPr>
          <w:trHeight w:val="259"/>
          <w:jc w:val="center"/>
        </w:trPr>
        <w:tc>
          <w:tcPr>
            <w:tcW w:w="2184" w:type="dxa"/>
            <w:shd w:val="clear" w:color="auto" w:fill="D9D9D9" w:themeFill="background1" w:themeFillShade="D9"/>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PAHs</w:t>
            </w:r>
          </w:p>
        </w:tc>
        <w:tc>
          <w:tcPr>
            <w:tcW w:w="1080" w:type="dxa"/>
            <w:shd w:val="clear" w:color="auto" w:fill="D9D9D9" w:themeFill="background1" w:themeFillShade="D9"/>
            <w:vAlign w:val="center"/>
          </w:tcPr>
          <w:p w:rsidR="00212CD6" w:rsidRPr="00772F91" w:rsidRDefault="00212CD6" w:rsidP="006943FB">
            <w:pPr>
              <w:jc w:val="center"/>
              <w:rPr>
                <w:rFonts w:ascii="Arial" w:hAnsi="Arial" w:cs="Arial"/>
                <w:sz w:val="18"/>
                <w:szCs w:val="18"/>
              </w:rPr>
            </w:pPr>
          </w:p>
        </w:tc>
        <w:tc>
          <w:tcPr>
            <w:tcW w:w="606" w:type="dxa"/>
            <w:shd w:val="clear" w:color="auto" w:fill="D9D9D9" w:themeFill="background1" w:themeFillShade="D9"/>
            <w:vAlign w:val="center"/>
          </w:tcPr>
          <w:p w:rsidR="00212CD6" w:rsidRPr="00772F91" w:rsidRDefault="00212CD6" w:rsidP="006943FB">
            <w:pPr>
              <w:jc w:val="center"/>
              <w:rPr>
                <w:rFonts w:ascii="Arial" w:hAnsi="Arial" w:cs="Arial"/>
                <w:sz w:val="18"/>
                <w:szCs w:val="18"/>
              </w:rPr>
            </w:pPr>
          </w:p>
        </w:tc>
        <w:tc>
          <w:tcPr>
            <w:tcW w:w="2520" w:type="dxa"/>
            <w:shd w:val="clear" w:color="auto" w:fill="D9D9D9" w:themeFill="background1" w:themeFillShade="D9"/>
            <w:vAlign w:val="center"/>
          </w:tcPr>
          <w:p w:rsidR="00212CD6" w:rsidRPr="00772F91" w:rsidRDefault="00212CD6" w:rsidP="006943FB">
            <w:pPr>
              <w:jc w:val="center"/>
              <w:rPr>
                <w:rFonts w:ascii="Arial" w:hAnsi="Arial" w:cs="Arial"/>
                <w:sz w:val="18"/>
                <w:szCs w:val="18"/>
              </w:rPr>
            </w:pPr>
          </w:p>
        </w:tc>
        <w:tc>
          <w:tcPr>
            <w:tcW w:w="1800" w:type="dxa"/>
            <w:shd w:val="clear" w:color="auto" w:fill="D9D9D9" w:themeFill="background1" w:themeFillShade="D9"/>
            <w:vAlign w:val="center"/>
          </w:tcPr>
          <w:p w:rsidR="00212CD6" w:rsidRPr="00772F91" w:rsidRDefault="00212CD6" w:rsidP="006943FB">
            <w:pPr>
              <w:jc w:val="center"/>
              <w:rPr>
                <w:rFonts w:ascii="Arial" w:hAnsi="Arial" w:cs="Arial"/>
                <w:sz w:val="18"/>
                <w:szCs w:val="18"/>
              </w:rPr>
            </w:pPr>
          </w:p>
        </w:tc>
        <w:tc>
          <w:tcPr>
            <w:tcW w:w="2370" w:type="dxa"/>
            <w:shd w:val="clear" w:color="auto" w:fill="D9D9D9" w:themeFill="background1" w:themeFillShade="D9"/>
            <w:vAlign w:val="center"/>
          </w:tcPr>
          <w:p w:rsidR="00212CD6" w:rsidRPr="00772F91" w:rsidRDefault="00212CD6" w:rsidP="006943FB">
            <w:pPr>
              <w:jc w:val="center"/>
              <w:rPr>
                <w:rFonts w:ascii="Arial" w:hAnsi="Arial" w:cs="Arial"/>
                <w:sz w:val="18"/>
                <w:szCs w:val="18"/>
              </w:rPr>
            </w:pPr>
          </w:p>
        </w:tc>
      </w:tr>
      <w:tr w:rsidR="00212CD6" w:rsidRPr="00772F91" w:rsidTr="00176503">
        <w:trPr>
          <w:trHeight w:val="259"/>
          <w:jc w:val="center"/>
        </w:trPr>
        <w:tc>
          <w:tcPr>
            <w:tcW w:w="2184"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Acenaphthene</w:t>
            </w:r>
          </w:p>
        </w:tc>
        <w:tc>
          <w:tcPr>
            <w:tcW w:w="1080"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83329</w:t>
            </w:r>
          </w:p>
        </w:tc>
        <w:tc>
          <w:tcPr>
            <w:tcW w:w="606"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1.0</w:t>
            </w:r>
          </w:p>
        </w:tc>
        <w:tc>
          <w:tcPr>
            <w:tcW w:w="252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1/Quarter, when discharging</w:t>
            </w:r>
          </w:p>
        </w:tc>
        <w:tc>
          <w:tcPr>
            <w:tcW w:w="1800" w:type="dxa"/>
            <w:vAlign w:val="center"/>
          </w:tcPr>
          <w:p w:rsidR="00212CD6" w:rsidRPr="00772F91" w:rsidRDefault="00212CD6" w:rsidP="006943FB">
            <w:pPr>
              <w:jc w:val="center"/>
              <w:rPr>
                <w:rFonts w:ascii="Arial" w:hAnsi="Arial" w:cs="Arial"/>
                <w:sz w:val="18"/>
                <w:szCs w:val="18"/>
                <w:vertAlign w:val="superscript"/>
              </w:rPr>
            </w:pPr>
            <w:r w:rsidRPr="00772F91">
              <w:rPr>
                <w:rFonts w:ascii="Arial" w:hAnsi="Arial" w:cs="Arial"/>
                <w:sz w:val="18"/>
                <w:szCs w:val="18"/>
              </w:rPr>
              <w:t>24-hour Composite</w:t>
            </w:r>
          </w:p>
        </w:tc>
        <w:tc>
          <w:tcPr>
            <w:tcW w:w="237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Daily Values</w:t>
            </w:r>
          </w:p>
        </w:tc>
      </w:tr>
      <w:tr w:rsidR="00212CD6" w:rsidRPr="00772F91" w:rsidTr="00176503">
        <w:trPr>
          <w:trHeight w:val="259"/>
          <w:jc w:val="center"/>
        </w:trPr>
        <w:tc>
          <w:tcPr>
            <w:tcW w:w="2184"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Acenaphthylene</w:t>
            </w:r>
          </w:p>
        </w:tc>
        <w:tc>
          <w:tcPr>
            <w:tcW w:w="1080"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208968</w:t>
            </w:r>
          </w:p>
        </w:tc>
        <w:tc>
          <w:tcPr>
            <w:tcW w:w="606"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1.0</w:t>
            </w:r>
          </w:p>
        </w:tc>
        <w:tc>
          <w:tcPr>
            <w:tcW w:w="252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1/Quarter, when discharging</w:t>
            </w:r>
          </w:p>
        </w:tc>
        <w:tc>
          <w:tcPr>
            <w:tcW w:w="180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24-hour Composite</w:t>
            </w:r>
          </w:p>
        </w:tc>
        <w:tc>
          <w:tcPr>
            <w:tcW w:w="237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Daily Values</w:t>
            </w:r>
          </w:p>
        </w:tc>
      </w:tr>
      <w:tr w:rsidR="00212CD6" w:rsidRPr="00772F91" w:rsidTr="00176503">
        <w:trPr>
          <w:trHeight w:val="259"/>
          <w:jc w:val="center"/>
        </w:trPr>
        <w:tc>
          <w:tcPr>
            <w:tcW w:w="2184"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Anthracene</w:t>
            </w:r>
          </w:p>
        </w:tc>
        <w:tc>
          <w:tcPr>
            <w:tcW w:w="1080"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120127</w:t>
            </w:r>
          </w:p>
        </w:tc>
        <w:tc>
          <w:tcPr>
            <w:tcW w:w="606"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1.0</w:t>
            </w:r>
          </w:p>
        </w:tc>
        <w:tc>
          <w:tcPr>
            <w:tcW w:w="252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1/Quarter, when discharging</w:t>
            </w:r>
          </w:p>
        </w:tc>
        <w:tc>
          <w:tcPr>
            <w:tcW w:w="180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24-hour Composite</w:t>
            </w:r>
          </w:p>
        </w:tc>
        <w:tc>
          <w:tcPr>
            <w:tcW w:w="237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Daily Values</w:t>
            </w:r>
          </w:p>
        </w:tc>
      </w:tr>
      <w:tr w:rsidR="00212CD6" w:rsidRPr="00772F91" w:rsidTr="00176503">
        <w:trPr>
          <w:trHeight w:val="259"/>
          <w:jc w:val="center"/>
        </w:trPr>
        <w:tc>
          <w:tcPr>
            <w:tcW w:w="2184"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Benzo(b)flouranthene 3,4</w:t>
            </w:r>
          </w:p>
        </w:tc>
        <w:tc>
          <w:tcPr>
            <w:tcW w:w="1080"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205992</w:t>
            </w:r>
          </w:p>
        </w:tc>
        <w:tc>
          <w:tcPr>
            <w:tcW w:w="606"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1.0</w:t>
            </w:r>
          </w:p>
        </w:tc>
        <w:tc>
          <w:tcPr>
            <w:tcW w:w="252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1/Quarter, when discharging</w:t>
            </w:r>
          </w:p>
        </w:tc>
        <w:tc>
          <w:tcPr>
            <w:tcW w:w="1800" w:type="dxa"/>
            <w:vAlign w:val="center"/>
          </w:tcPr>
          <w:p w:rsidR="00212CD6" w:rsidRPr="00772F91" w:rsidRDefault="00212CD6" w:rsidP="006943FB">
            <w:pPr>
              <w:jc w:val="center"/>
              <w:rPr>
                <w:rFonts w:ascii="Arial" w:hAnsi="Arial" w:cs="Arial"/>
                <w:sz w:val="18"/>
                <w:szCs w:val="18"/>
                <w:vertAlign w:val="superscript"/>
              </w:rPr>
            </w:pPr>
            <w:r w:rsidRPr="00772F91">
              <w:rPr>
                <w:rFonts w:ascii="Arial" w:hAnsi="Arial" w:cs="Arial"/>
                <w:sz w:val="18"/>
                <w:szCs w:val="18"/>
              </w:rPr>
              <w:t>24-hour Composite</w:t>
            </w:r>
          </w:p>
        </w:tc>
        <w:tc>
          <w:tcPr>
            <w:tcW w:w="237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Daily Values</w:t>
            </w:r>
          </w:p>
        </w:tc>
      </w:tr>
      <w:tr w:rsidR="00212CD6" w:rsidRPr="00772F91" w:rsidTr="00176503">
        <w:trPr>
          <w:trHeight w:val="259"/>
          <w:jc w:val="center"/>
        </w:trPr>
        <w:tc>
          <w:tcPr>
            <w:tcW w:w="2184"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Benzo(k)flouranthene</w:t>
            </w:r>
          </w:p>
        </w:tc>
        <w:tc>
          <w:tcPr>
            <w:tcW w:w="1080"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207089</w:t>
            </w:r>
          </w:p>
        </w:tc>
        <w:tc>
          <w:tcPr>
            <w:tcW w:w="606"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1.0</w:t>
            </w:r>
          </w:p>
        </w:tc>
        <w:tc>
          <w:tcPr>
            <w:tcW w:w="252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1/Quarter, when discharging</w:t>
            </w:r>
          </w:p>
        </w:tc>
        <w:tc>
          <w:tcPr>
            <w:tcW w:w="180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24-hour Composite</w:t>
            </w:r>
          </w:p>
        </w:tc>
        <w:tc>
          <w:tcPr>
            <w:tcW w:w="237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Daily Values</w:t>
            </w:r>
          </w:p>
        </w:tc>
      </w:tr>
      <w:tr w:rsidR="00F71EF7" w:rsidRPr="00CE43D3" w:rsidTr="00176503">
        <w:trPr>
          <w:trHeight w:val="259"/>
          <w:jc w:val="center"/>
        </w:trPr>
        <w:tc>
          <w:tcPr>
            <w:tcW w:w="2184" w:type="dxa"/>
            <w:vAlign w:val="center"/>
          </w:tcPr>
          <w:p w:rsidR="00F71EF7" w:rsidRPr="00CE43D3" w:rsidRDefault="00F71EF7" w:rsidP="00087BB7">
            <w:pPr>
              <w:jc w:val="center"/>
              <w:rPr>
                <w:rFonts w:ascii="Arial" w:hAnsi="Arial" w:cs="Arial"/>
                <w:sz w:val="18"/>
                <w:szCs w:val="18"/>
              </w:rPr>
            </w:pPr>
            <w:proofErr w:type="spellStart"/>
            <w:r>
              <w:rPr>
                <w:rFonts w:ascii="Arial" w:hAnsi="Arial" w:cs="Arial"/>
                <w:sz w:val="18"/>
                <w:szCs w:val="18"/>
              </w:rPr>
              <w:t>Benzo</w:t>
            </w:r>
            <w:proofErr w:type="spellEnd"/>
            <w:r>
              <w:rPr>
                <w:rFonts w:ascii="Arial" w:hAnsi="Arial" w:cs="Arial"/>
                <w:sz w:val="18"/>
                <w:szCs w:val="18"/>
              </w:rPr>
              <w:t>(</w:t>
            </w:r>
            <w:proofErr w:type="spellStart"/>
            <w:r>
              <w:rPr>
                <w:rFonts w:ascii="Arial" w:hAnsi="Arial" w:cs="Arial"/>
                <w:sz w:val="18"/>
                <w:szCs w:val="18"/>
              </w:rPr>
              <w:t>g,h,i</w:t>
            </w:r>
            <w:proofErr w:type="spellEnd"/>
            <w:r>
              <w:rPr>
                <w:rFonts w:ascii="Arial" w:hAnsi="Arial" w:cs="Arial"/>
                <w:sz w:val="18"/>
                <w:szCs w:val="18"/>
              </w:rPr>
              <w:t>)</w:t>
            </w:r>
            <w:proofErr w:type="spellStart"/>
            <w:r>
              <w:rPr>
                <w:rFonts w:ascii="Arial" w:hAnsi="Arial" w:cs="Arial"/>
                <w:sz w:val="18"/>
                <w:szCs w:val="18"/>
              </w:rPr>
              <w:t>perylene</w:t>
            </w:r>
            <w:proofErr w:type="spellEnd"/>
          </w:p>
        </w:tc>
        <w:tc>
          <w:tcPr>
            <w:tcW w:w="1080" w:type="dxa"/>
            <w:vAlign w:val="center"/>
          </w:tcPr>
          <w:p w:rsidR="00F71EF7" w:rsidRPr="00CE43D3" w:rsidRDefault="00F71EF7" w:rsidP="00087BB7">
            <w:pPr>
              <w:jc w:val="center"/>
              <w:rPr>
                <w:rFonts w:ascii="Arial" w:hAnsi="Arial" w:cs="Arial"/>
                <w:sz w:val="18"/>
                <w:szCs w:val="18"/>
              </w:rPr>
            </w:pPr>
            <w:r>
              <w:rPr>
                <w:rFonts w:ascii="Arial" w:hAnsi="Arial" w:cs="Arial"/>
                <w:sz w:val="18"/>
                <w:szCs w:val="18"/>
              </w:rPr>
              <w:t>191242</w:t>
            </w:r>
          </w:p>
        </w:tc>
        <w:tc>
          <w:tcPr>
            <w:tcW w:w="606" w:type="dxa"/>
            <w:vAlign w:val="center"/>
          </w:tcPr>
          <w:p w:rsidR="00F71EF7" w:rsidRPr="00CE43D3" w:rsidRDefault="00F71EF7" w:rsidP="00087BB7">
            <w:pPr>
              <w:jc w:val="center"/>
              <w:rPr>
                <w:rFonts w:ascii="Arial" w:hAnsi="Arial" w:cs="Arial"/>
                <w:sz w:val="18"/>
                <w:szCs w:val="18"/>
              </w:rPr>
            </w:pPr>
            <w:r w:rsidRPr="00CE43D3">
              <w:rPr>
                <w:sz w:val="20"/>
              </w:rPr>
              <w:t>1.0</w:t>
            </w:r>
          </w:p>
        </w:tc>
        <w:tc>
          <w:tcPr>
            <w:tcW w:w="2520" w:type="dxa"/>
            <w:vAlign w:val="center"/>
          </w:tcPr>
          <w:p w:rsidR="00F71EF7" w:rsidRPr="00CE43D3" w:rsidRDefault="00F71EF7" w:rsidP="00087BB7">
            <w:pPr>
              <w:jc w:val="center"/>
              <w:rPr>
                <w:rFonts w:ascii="Arial" w:hAnsi="Arial" w:cs="Arial"/>
                <w:sz w:val="18"/>
                <w:szCs w:val="18"/>
              </w:rPr>
            </w:pPr>
            <w:r w:rsidRPr="00CE43D3">
              <w:rPr>
                <w:rFonts w:ascii="Arial" w:hAnsi="Arial" w:cs="Arial"/>
                <w:sz w:val="18"/>
                <w:szCs w:val="18"/>
              </w:rPr>
              <w:t>1/Quarter, when discharging</w:t>
            </w:r>
          </w:p>
        </w:tc>
        <w:tc>
          <w:tcPr>
            <w:tcW w:w="1800" w:type="dxa"/>
            <w:vAlign w:val="center"/>
          </w:tcPr>
          <w:p w:rsidR="00F71EF7" w:rsidRPr="00CE43D3" w:rsidRDefault="00F71EF7" w:rsidP="00087BB7">
            <w:pPr>
              <w:jc w:val="center"/>
              <w:rPr>
                <w:rFonts w:ascii="Arial" w:hAnsi="Arial" w:cs="Arial"/>
                <w:sz w:val="18"/>
                <w:szCs w:val="18"/>
              </w:rPr>
            </w:pPr>
            <w:r w:rsidRPr="00CE43D3">
              <w:rPr>
                <w:rFonts w:ascii="Arial" w:hAnsi="Arial" w:cs="Arial"/>
                <w:sz w:val="18"/>
                <w:szCs w:val="18"/>
              </w:rPr>
              <w:t>24-hour Composite</w:t>
            </w:r>
          </w:p>
        </w:tc>
        <w:tc>
          <w:tcPr>
            <w:tcW w:w="2370" w:type="dxa"/>
            <w:vAlign w:val="center"/>
          </w:tcPr>
          <w:p w:rsidR="00F71EF7" w:rsidRPr="00CE43D3" w:rsidRDefault="00F71EF7" w:rsidP="00087BB7">
            <w:pPr>
              <w:jc w:val="center"/>
              <w:rPr>
                <w:rFonts w:ascii="Arial" w:hAnsi="Arial" w:cs="Arial"/>
                <w:sz w:val="18"/>
                <w:szCs w:val="18"/>
              </w:rPr>
            </w:pPr>
            <w:r w:rsidRPr="00CE43D3">
              <w:rPr>
                <w:rFonts w:ascii="Arial" w:hAnsi="Arial" w:cs="Arial"/>
                <w:sz w:val="18"/>
                <w:szCs w:val="18"/>
              </w:rPr>
              <w:t>Daily Values</w:t>
            </w:r>
          </w:p>
        </w:tc>
      </w:tr>
      <w:tr w:rsidR="00212CD6" w:rsidRPr="00772F91" w:rsidTr="00176503">
        <w:trPr>
          <w:trHeight w:val="259"/>
          <w:jc w:val="center"/>
        </w:trPr>
        <w:tc>
          <w:tcPr>
            <w:tcW w:w="2184" w:type="dxa"/>
            <w:vAlign w:val="center"/>
          </w:tcPr>
          <w:p w:rsidR="00212CD6" w:rsidRPr="00772F91" w:rsidRDefault="00212CD6" w:rsidP="006943FB">
            <w:pPr>
              <w:jc w:val="center"/>
              <w:rPr>
                <w:rFonts w:ascii="Arial" w:hAnsi="Arial" w:cs="Arial"/>
                <w:sz w:val="18"/>
                <w:szCs w:val="18"/>
              </w:rPr>
            </w:pPr>
            <w:proofErr w:type="spellStart"/>
            <w:r w:rsidRPr="00772F91">
              <w:rPr>
                <w:rFonts w:ascii="Arial" w:hAnsi="Arial" w:cs="Arial"/>
                <w:sz w:val="18"/>
                <w:szCs w:val="18"/>
              </w:rPr>
              <w:t>Carbazole</w:t>
            </w:r>
            <w:proofErr w:type="spellEnd"/>
          </w:p>
        </w:tc>
        <w:tc>
          <w:tcPr>
            <w:tcW w:w="108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86748</w:t>
            </w:r>
          </w:p>
        </w:tc>
        <w:tc>
          <w:tcPr>
            <w:tcW w:w="606"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w:t>
            </w:r>
          </w:p>
        </w:tc>
        <w:tc>
          <w:tcPr>
            <w:tcW w:w="252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1/Quarter, when discharging</w:t>
            </w:r>
          </w:p>
        </w:tc>
        <w:tc>
          <w:tcPr>
            <w:tcW w:w="180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24-hour Composite</w:t>
            </w:r>
          </w:p>
        </w:tc>
        <w:tc>
          <w:tcPr>
            <w:tcW w:w="237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Daily Values</w:t>
            </w:r>
          </w:p>
        </w:tc>
      </w:tr>
      <w:tr w:rsidR="00212CD6" w:rsidRPr="00772F91" w:rsidTr="00176503">
        <w:trPr>
          <w:trHeight w:val="259"/>
          <w:jc w:val="center"/>
        </w:trPr>
        <w:tc>
          <w:tcPr>
            <w:tcW w:w="2184"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Chrysene</w:t>
            </w:r>
          </w:p>
        </w:tc>
        <w:tc>
          <w:tcPr>
            <w:tcW w:w="1080"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218019</w:t>
            </w:r>
          </w:p>
        </w:tc>
        <w:tc>
          <w:tcPr>
            <w:tcW w:w="606"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1.0</w:t>
            </w:r>
          </w:p>
        </w:tc>
        <w:tc>
          <w:tcPr>
            <w:tcW w:w="252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1/Quarter, when discharging</w:t>
            </w:r>
          </w:p>
        </w:tc>
        <w:tc>
          <w:tcPr>
            <w:tcW w:w="1800" w:type="dxa"/>
            <w:vAlign w:val="center"/>
          </w:tcPr>
          <w:p w:rsidR="00212CD6" w:rsidRPr="00772F91" w:rsidRDefault="00212CD6" w:rsidP="006943FB">
            <w:pPr>
              <w:jc w:val="center"/>
              <w:rPr>
                <w:rFonts w:ascii="Arial" w:hAnsi="Arial" w:cs="Arial"/>
                <w:sz w:val="18"/>
                <w:szCs w:val="18"/>
                <w:vertAlign w:val="superscript"/>
              </w:rPr>
            </w:pPr>
            <w:r w:rsidRPr="00772F91">
              <w:rPr>
                <w:rFonts w:ascii="Arial" w:hAnsi="Arial" w:cs="Arial"/>
                <w:sz w:val="18"/>
                <w:szCs w:val="18"/>
              </w:rPr>
              <w:t>24-hour Composite</w:t>
            </w:r>
          </w:p>
        </w:tc>
        <w:tc>
          <w:tcPr>
            <w:tcW w:w="237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Daily Values</w:t>
            </w:r>
          </w:p>
        </w:tc>
      </w:tr>
      <w:tr w:rsidR="00212CD6" w:rsidRPr="00772F91" w:rsidTr="00176503">
        <w:trPr>
          <w:trHeight w:val="259"/>
          <w:jc w:val="center"/>
        </w:trPr>
        <w:tc>
          <w:tcPr>
            <w:tcW w:w="2184"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Dibenzofuran</w:t>
            </w:r>
          </w:p>
        </w:tc>
        <w:tc>
          <w:tcPr>
            <w:tcW w:w="1080"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132649</w:t>
            </w:r>
          </w:p>
        </w:tc>
        <w:tc>
          <w:tcPr>
            <w:tcW w:w="606"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w:t>
            </w:r>
          </w:p>
        </w:tc>
        <w:tc>
          <w:tcPr>
            <w:tcW w:w="252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1/Quarter, when discharging</w:t>
            </w:r>
          </w:p>
        </w:tc>
        <w:tc>
          <w:tcPr>
            <w:tcW w:w="180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24-hour Composite</w:t>
            </w:r>
          </w:p>
        </w:tc>
        <w:tc>
          <w:tcPr>
            <w:tcW w:w="237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Daily Values</w:t>
            </w:r>
          </w:p>
        </w:tc>
      </w:tr>
      <w:tr w:rsidR="00212CD6" w:rsidRPr="00772F91" w:rsidTr="00176503">
        <w:trPr>
          <w:trHeight w:val="350"/>
          <w:jc w:val="center"/>
        </w:trPr>
        <w:tc>
          <w:tcPr>
            <w:tcW w:w="2184"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Flouranthene</w:t>
            </w:r>
          </w:p>
        </w:tc>
        <w:tc>
          <w:tcPr>
            <w:tcW w:w="1080"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206440</w:t>
            </w:r>
          </w:p>
        </w:tc>
        <w:tc>
          <w:tcPr>
            <w:tcW w:w="606"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2.0</w:t>
            </w:r>
          </w:p>
        </w:tc>
        <w:tc>
          <w:tcPr>
            <w:tcW w:w="252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1/Quarter, when discharging</w:t>
            </w:r>
          </w:p>
        </w:tc>
        <w:tc>
          <w:tcPr>
            <w:tcW w:w="180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24-hour Composite</w:t>
            </w:r>
          </w:p>
        </w:tc>
        <w:tc>
          <w:tcPr>
            <w:tcW w:w="237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Daily Values</w:t>
            </w:r>
          </w:p>
        </w:tc>
      </w:tr>
      <w:tr w:rsidR="00212CD6" w:rsidRPr="00772F91" w:rsidTr="00176503">
        <w:trPr>
          <w:trHeight w:val="259"/>
          <w:jc w:val="center"/>
        </w:trPr>
        <w:tc>
          <w:tcPr>
            <w:tcW w:w="2184"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Flourene</w:t>
            </w:r>
          </w:p>
        </w:tc>
        <w:tc>
          <w:tcPr>
            <w:tcW w:w="1080"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86737</w:t>
            </w:r>
          </w:p>
        </w:tc>
        <w:tc>
          <w:tcPr>
            <w:tcW w:w="606"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1.0</w:t>
            </w:r>
          </w:p>
        </w:tc>
        <w:tc>
          <w:tcPr>
            <w:tcW w:w="252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1/Quarter, when discharging</w:t>
            </w:r>
          </w:p>
        </w:tc>
        <w:tc>
          <w:tcPr>
            <w:tcW w:w="1800" w:type="dxa"/>
            <w:vAlign w:val="center"/>
          </w:tcPr>
          <w:p w:rsidR="00212CD6" w:rsidRPr="00772F91" w:rsidRDefault="00212CD6" w:rsidP="006943FB">
            <w:pPr>
              <w:jc w:val="center"/>
              <w:rPr>
                <w:rFonts w:ascii="Arial" w:hAnsi="Arial" w:cs="Arial"/>
                <w:sz w:val="18"/>
                <w:szCs w:val="18"/>
                <w:vertAlign w:val="superscript"/>
              </w:rPr>
            </w:pPr>
            <w:r w:rsidRPr="00772F91">
              <w:rPr>
                <w:rFonts w:ascii="Arial" w:hAnsi="Arial" w:cs="Arial"/>
                <w:sz w:val="18"/>
                <w:szCs w:val="18"/>
              </w:rPr>
              <w:t>24-hour Composite</w:t>
            </w:r>
          </w:p>
        </w:tc>
        <w:tc>
          <w:tcPr>
            <w:tcW w:w="237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Daily Values</w:t>
            </w:r>
          </w:p>
        </w:tc>
      </w:tr>
      <w:tr w:rsidR="00212CD6" w:rsidRPr="00772F91" w:rsidTr="00176503">
        <w:trPr>
          <w:trHeight w:val="259"/>
          <w:jc w:val="center"/>
        </w:trPr>
        <w:tc>
          <w:tcPr>
            <w:tcW w:w="2184"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2-Methlynaphthalene</w:t>
            </w:r>
          </w:p>
        </w:tc>
        <w:tc>
          <w:tcPr>
            <w:tcW w:w="108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91576</w:t>
            </w:r>
          </w:p>
        </w:tc>
        <w:tc>
          <w:tcPr>
            <w:tcW w:w="606"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w:t>
            </w:r>
          </w:p>
        </w:tc>
        <w:tc>
          <w:tcPr>
            <w:tcW w:w="252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1/Quarter, when discharging</w:t>
            </w:r>
          </w:p>
        </w:tc>
        <w:tc>
          <w:tcPr>
            <w:tcW w:w="1800" w:type="dxa"/>
            <w:vAlign w:val="center"/>
          </w:tcPr>
          <w:p w:rsidR="00212CD6" w:rsidRPr="00772F91" w:rsidRDefault="00212CD6" w:rsidP="006943FB">
            <w:pPr>
              <w:jc w:val="center"/>
              <w:rPr>
                <w:rFonts w:ascii="Arial" w:hAnsi="Arial" w:cs="Arial"/>
                <w:sz w:val="18"/>
                <w:szCs w:val="18"/>
                <w:vertAlign w:val="superscript"/>
              </w:rPr>
            </w:pPr>
            <w:r w:rsidRPr="00772F91">
              <w:rPr>
                <w:rFonts w:ascii="Arial" w:hAnsi="Arial" w:cs="Arial"/>
                <w:sz w:val="18"/>
                <w:szCs w:val="18"/>
              </w:rPr>
              <w:t>24-hour Composite</w:t>
            </w:r>
          </w:p>
        </w:tc>
        <w:tc>
          <w:tcPr>
            <w:tcW w:w="237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Daily Values</w:t>
            </w:r>
          </w:p>
        </w:tc>
      </w:tr>
      <w:tr w:rsidR="00212CD6" w:rsidRPr="00772F91" w:rsidTr="00176503">
        <w:trPr>
          <w:trHeight w:val="259"/>
          <w:jc w:val="center"/>
        </w:trPr>
        <w:tc>
          <w:tcPr>
            <w:tcW w:w="2184"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Naphthalene</w:t>
            </w:r>
          </w:p>
        </w:tc>
        <w:tc>
          <w:tcPr>
            <w:tcW w:w="1080"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91203</w:t>
            </w:r>
          </w:p>
        </w:tc>
        <w:tc>
          <w:tcPr>
            <w:tcW w:w="606"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1.0</w:t>
            </w:r>
          </w:p>
        </w:tc>
        <w:tc>
          <w:tcPr>
            <w:tcW w:w="252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1/Quarter, when discharging</w:t>
            </w:r>
          </w:p>
        </w:tc>
        <w:tc>
          <w:tcPr>
            <w:tcW w:w="180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24-hour Composite</w:t>
            </w:r>
          </w:p>
        </w:tc>
        <w:tc>
          <w:tcPr>
            <w:tcW w:w="237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Daily Values</w:t>
            </w:r>
          </w:p>
        </w:tc>
      </w:tr>
      <w:tr w:rsidR="00933ACC" w:rsidRPr="00CE43D3" w:rsidTr="00176503">
        <w:trPr>
          <w:trHeight w:val="259"/>
          <w:jc w:val="center"/>
        </w:trPr>
        <w:tc>
          <w:tcPr>
            <w:tcW w:w="2184" w:type="dxa"/>
            <w:vAlign w:val="center"/>
          </w:tcPr>
          <w:p w:rsidR="00933ACC" w:rsidRPr="00CE43D3" w:rsidRDefault="00933ACC" w:rsidP="00087BB7">
            <w:pPr>
              <w:jc w:val="center"/>
              <w:rPr>
                <w:rFonts w:ascii="Arial" w:hAnsi="Arial" w:cs="Arial"/>
                <w:sz w:val="18"/>
                <w:szCs w:val="18"/>
              </w:rPr>
            </w:pPr>
            <w:proofErr w:type="spellStart"/>
            <w:r>
              <w:rPr>
                <w:rFonts w:ascii="Arial" w:hAnsi="Arial" w:cs="Arial"/>
                <w:sz w:val="18"/>
                <w:szCs w:val="18"/>
              </w:rPr>
              <w:t>Phenanthrene</w:t>
            </w:r>
            <w:proofErr w:type="spellEnd"/>
          </w:p>
        </w:tc>
        <w:tc>
          <w:tcPr>
            <w:tcW w:w="1080" w:type="dxa"/>
            <w:vAlign w:val="center"/>
          </w:tcPr>
          <w:p w:rsidR="00933ACC" w:rsidRPr="00150ADC" w:rsidRDefault="00933ACC" w:rsidP="00B24FF2">
            <w:pPr>
              <w:keepNext/>
              <w:keepLines/>
              <w:jc w:val="center"/>
              <w:rPr>
                <w:rFonts w:ascii="Arial" w:hAnsi="Arial" w:cs="Arial"/>
                <w:color w:val="000000" w:themeColor="text1"/>
                <w:sz w:val="18"/>
                <w:szCs w:val="18"/>
              </w:rPr>
            </w:pPr>
            <w:r w:rsidRPr="00150ADC">
              <w:rPr>
                <w:rFonts w:ascii="Arial" w:hAnsi="Arial" w:cs="Arial"/>
                <w:color w:val="000000" w:themeColor="text1"/>
                <w:sz w:val="18"/>
                <w:szCs w:val="18"/>
              </w:rPr>
              <w:t>85018</w:t>
            </w:r>
          </w:p>
        </w:tc>
        <w:tc>
          <w:tcPr>
            <w:tcW w:w="606" w:type="dxa"/>
            <w:vAlign w:val="center"/>
          </w:tcPr>
          <w:p w:rsidR="00933ACC" w:rsidRPr="00150ADC" w:rsidRDefault="00933ACC" w:rsidP="00B24FF2">
            <w:pPr>
              <w:keepNext/>
              <w:keepLines/>
              <w:jc w:val="center"/>
              <w:rPr>
                <w:rFonts w:ascii="Arial" w:hAnsi="Arial" w:cs="Arial"/>
                <w:color w:val="000000" w:themeColor="text1"/>
                <w:sz w:val="18"/>
                <w:szCs w:val="18"/>
              </w:rPr>
            </w:pPr>
            <w:r w:rsidRPr="00150ADC">
              <w:rPr>
                <w:rFonts w:ascii="Arial" w:hAnsi="Arial" w:cs="Arial"/>
                <w:color w:val="000000" w:themeColor="text1"/>
                <w:sz w:val="18"/>
                <w:szCs w:val="18"/>
              </w:rPr>
              <w:t>-</w:t>
            </w:r>
          </w:p>
        </w:tc>
        <w:tc>
          <w:tcPr>
            <w:tcW w:w="2520" w:type="dxa"/>
            <w:vAlign w:val="center"/>
          </w:tcPr>
          <w:p w:rsidR="00933ACC" w:rsidRPr="00CE43D3" w:rsidRDefault="00933ACC" w:rsidP="00087BB7">
            <w:pPr>
              <w:jc w:val="center"/>
              <w:rPr>
                <w:rFonts w:ascii="Arial" w:hAnsi="Arial" w:cs="Arial"/>
                <w:sz w:val="18"/>
                <w:szCs w:val="18"/>
              </w:rPr>
            </w:pPr>
            <w:r w:rsidRPr="00CE43D3">
              <w:rPr>
                <w:rFonts w:ascii="Arial" w:hAnsi="Arial" w:cs="Arial"/>
                <w:sz w:val="18"/>
                <w:szCs w:val="18"/>
              </w:rPr>
              <w:t>1/Quarter, when discharging</w:t>
            </w:r>
          </w:p>
        </w:tc>
        <w:tc>
          <w:tcPr>
            <w:tcW w:w="1800" w:type="dxa"/>
            <w:vAlign w:val="center"/>
          </w:tcPr>
          <w:p w:rsidR="00933ACC" w:rsidRPr="00CE43D3" w:rsidRDefault="00933ACC" w:rsidP="00087BB7">
            <w:pPr>
              <w:jc w:val="center"/>
              <w:rPr>
                <w:rFonts w:ascii="Arial" w:hAnsi="Arial" w:cs="Arial"/>
                <w:sz w:val="18"/>
                <w:szCs w:val="18"/>
              </w:rPr>
            </w:pPr>
            <w:r w:rsidRPr="00CE43D3">
              <w:rPr>
                <w:rFonts w:ascii="Arial" w:hAnsi="Arial" w:cs="Arial"/>
                <w:sz w:val="18"/>
                <w:szCs w:val="18"/>
              </w:rPr>
              <w:t>24-hour Composite</w:t>
            </w:r>
          </w:p>
        </w:tc>
        <w:tc>
          <w:tcPr>
            <w:tcW w:w="2370" w:type="dxa"/>
            <w:vAlign w:val="center"/>
          </w:tcPr>
          <w:p w:rsidR="00933ACC" w:rsidRPr="00CE43D3" w:rsidRDefault="00933ACC" w:rsidP="00087BB7">
            <w:pPr>
              <w:jc w:val="center"/>
              <w:rPr>
                <w:rFonts w:ascii="Arial" w:hAnsi="Arial" w:cs="Arial"/>
                <w:sz w:val="18"/>
                <w:szCs w:val="18"/>
              </w:rPr>
            </w:pPr>
            <w:r w:rsidRPr="00CE43D3">
              <w:rPr>
                <w:rFonts w:ascii="Arial" w:hAnsi="Arial" w:cs="Arial"/>
                <w:sz w:val="18"/>
                <w:szCs w:val="18"/>
              </w:rPr>
              <w:t>Daily Values</w:t>
            </w:r>
          </w:p>
        </w:tc>
      </w:tr>
      <w:tr w:rsidR="00212CD6" w:rsidRPr="00772F91" w:rsidTr="00176503">
        <w:trPr>
          <w:trHeight w:val="259"/>
          <w:jc w:val="center"/>
        </w:trPr>
        <w:tc>
          <w:tcPr>
            <w:tcW w:w="2184" w:type="dxa"/>
            <w:vAlign w:val="center"/>
          </w:tcPr>
          <w:p w:rsidR="00212CD6" w:rsidRPr="00772F91" w:rsidRDefault="00212CD6" w:rsidP="006943FB">
            <w:pPr>
              <w:jc w:val="center"/>
              <w:rPr>
                <w:rFonts w:ascii="Arial" w:hAnsi="Arial" w:cs="Arial"/>
                <w:sz w:val="18"/>
                <w:szCs w:val="18"/>
              </w:rPr>
            </w:pPr>
            <w:proofErr w:type="spellStart"/>
            <w:r w:rsidRPr="00772F91">
              <w:rPr>
                <w:rFonts w:ascii="Arial" w:hAnsi="Arial" w:cs="Arial"/>
                <w:sz w:val="18"/>
                <w:szCs w:val="18"/>
              </w:rPr>
              <w:t>Pyrene</w:t>
            </w:r>
            <w:proofErr w:type="spellEnd"/>
          </w:p>
        </w:tc>
        <w:tc>
          <w:tcPr>
            <w:tcW w:w="1080"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129000</w:t>
            </w:r>
          </w:p>
        </w:tc>
        <w:tc>
          <w:tcPr>
            <w:tcW w:w="606"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1.0</w:t>
            </w:r>
          </w:p>
        </w:tc>
        <w:tc>
          <w:tcPr>
            <w:tcW w:w="252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1/Quarter, when discharging</w:t>
            </w:r>
          </w:p>
        </w:tc>
        <w:tc>
          <w:tcPr>
            <w:tcW w:w="180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24-hour Composite</w:t>
            </w:r>
          </w:p>
        </w:tc>
        <w:tc>
          <w:tcPr>
            <w:tcW w:w="237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Daily Values</w:t>
            </w:r>
          </w:p>
        </w:tc>
      </w:tr>
      <w:tr w:rsidR="00212CD6" w:rsidRPr="00772F91" w:rsidTr="00176503">
        <w:trPr>
          <w:trHeight w:val="259"/>
          <w:jc w:val="center"/>
        </w:trPr>
        <w:tc>
          <w:tcPr>
            <w:tcW w:w="2184" w:type="dxa"/>
            <w:shd w:val="clear" w:color="auto" w:fill="D9D9D9" w:themeFill="background1" w:themeFillShade="D9"/>
            <w:vAlign w:val="center"/>
          </w:tcPr>
          <w:p w:rsidR="00212CD6" w:rsidRPr="00772F91" w:rsidRDefault="00212CD6" w:rsidP="006943FB">
            <w:pPr>
              <w:jc w:val="center"/>
              <w:rPr>
                <w:rFonts w:ascii="Arial" w:hAnsi="Arial" w:cs="Arial"/>
                <w:sz w:val="18"/>
                <w:szCs w:val="18"/>
                <w:vertAlign w:val="superscript"/>
              </w:rPr>
            </w:pPr>
            <w:r w:rsidRPr="00772F91">
              <w:rPr>
                <w:rFonts w:ascii="Arial" w:hAnsi="Arial" w:cs="Arial"/>
                <w:sz w:val="18"/>
                <w:szCs w:val="18"/>
              </w:rPr>
              <w:t>Metals</w:t>
            </w:r>
          </w:p>
        </w:tc>
        <w:tc>
          <w:tcPr>
            <w:tcW w:w="1080" w:type="dxa"/>
            <w:shd w:val="clear" w:color="auto" w:fill="D9D9D9" w:themeFill="background1" w:themeFillShade="D9"/>
            <w:vAlign w:val="center"/>
          </w:tcPr>
          <w:p w:rsidR="00212CD6" w:rsidRPr="00772F91" w:rsidRDefault="00212CD6" w:rsidP="006943FB">
            <w:pPr>
              <w:keepNext/>
              <w:keepLines/>
              <w:jc w:val="center"/>
              <w:rPr>
                <w:rFonts w:ascii="Arial" w:hAnsi="Arial" w:cs="Arial"/>
                <w:sz w:val="18"/>
                <w:szCs w:val="18"/>
              </w:rPr>
            </w:pPr>
          </w:p>
        </w:tc>
        <w:tc>
          <w:tcPr>
            <w:tcW w:w="606" w:type="dxa"/>
            <w:shd w:val="clear" w:color="auto" w:fill="D9D9D9" w:themeFill="background1" w:themeFillShade="D9"/>
            <w:vAlign w:val="center"/>
          </w:tcPr>
          <w:p w:rsidR="00212CD6" w:rsidRPr="00772F91" w:rsidRDefault="00212CD6" w:rsidP="006943FB">
            <w:pPr>
              <w:keepNext/>
              <w:keepLines/>
              <w:jc w:val="center"/>
              <w:rPr>
                <w:rFonts w:ascii="Arial" w:hAnsi="Arial" w:cs="Arial"/>
                <w:sz w:val="18"/>
                <w:szCs w:val="18"/>
              </w:rPr>
            </w:pPr>
          </w:p>
        </w:tc>
        <w:tc>
          <w:tcPr>
            <w:tcW w:w="2520" w:type="dxa"/>
            <w:shd w:val="clear" w:color="auto" w:fill="D9D9D9" w:themeFill="background1" w:themeFillShade="D9"/>
            <w:vAlign w:val="center"/>
          </w:tcPr>
          <w:p w:rsidR="00212CD6" w:rsidRPr="00772F91" w:rsidRDefault="00212CD6" w:rsidP="006943FB">
            <w:pPr>
              <w:jc w:val="center"/>
              <w:rPr>
                <w:rFonts w:ascii="Arial" w:hAnsi="Arial" w:cs="Arial"/>
                <w:sz w:val="18"/>
                <w:szCs w:val="18"/>
              </w:rPr>
            </w:pPr>
          </w:p>
        </w:tc>
        <w:tc>
          <w:tcPr>
            <w:tcW w:w="1800" w:type="dxa"/>
            <w:shd w:val="clear" w:color="auto" w:fill="D9D9D9" w:themeFill="background1" w:themeFillShade="D9"/>
            <w:vAlign w:val="center"/>
          </w:tcPr>
          <w:p w:rsidR="00212CD6" w:rsidRPr="00772F91" w:rsidRDefault="00212CD6" w:rsidP="006943FB">
            <w:pPr>
              <w:jc w:val="center"/>
              <w:rPr>
                <w:rFonts w:ascii="Arial" w:hAnsi="Arial" w:cs="Arial"/>
                <w:sz w:val="18"/>
                <w:szCs w:val="18"/>
              </w:rPr>
            </w:pPr>
          </w:p>
        </w:tc>
        <w:tc>
          <w:tcPr>
            <w:tcW w:w="2370" w:type="dxa"/>
            <w:shd w:val="clear" w:color="auto" w:fill="D9D9D9" w:themeFill="background1" w:themeFillShade="D9"/>
            <w:vAlign w:val="center"/>
          </w:tcPr>
          <w:p w:rsidR="00212CD6" w:rsidRPr="00772F91" w:rsidRDefault="00212CD6" w:rsidP="006943FB">
            <w:pPr>
              <w:jc w:val="center"/>
              <w:rPr>
                <w:rFonts w:ascii="Arial" w:hAnsi="Arial" w:cs="Arial"/>
                <w:sz w:val="18"/>
                <w:szCs w:val="18"/>
              </w:rPr>
            </w:pPr>
          </w:p>
        </w:tc>
      </w:tr>
      <w:tr w:rsidR="00212CD6" w:rsidRPr="00772F91" w:rsidTr="00176503">
        <w:trPr>
          <w:trHeight w:val="259"/>
          <w:jc w:val="center"/>
        </w:trPr>
        <w:tc>
          <w:tcPr>
            <w:tcW w:w="2184"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 xml:space="preserve">Arsenic (inorganic) </w:t>
            </w:r>
            <w:r w:rsidRPr="00772F91">
              <w:rPr>
                <w:rFonts w:ascii="Arial" w:hAnsi="Arial" w:cs="Arial"/>
                <w:sz w:val="18"/>
                <w:szCs w:val="18"/>
                <w:vertAlign w:val="superscript"/>
              </w:rPr>
              <w:t>4</w:t>
            </w:r>
          </w:p>
        </w:tc>
        <w:tc>
          <w:tcPr>
            <w:tcW w:w="1080"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7440382</w:t>
            </w:r>
          </w:p>
        </w:tc>
        <w:tc>
          <w:tcPr>
            <w:tcW w:w="606"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1.0</w:t>
            </w:r>
          </w:p>
        </w:tc>
        <w:tc>
          <w:tcPr>
            <w:tcW w:w="252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1/Quarter, when discharging</w:t>
            </w:r>
          </w:p>
        </w:tc>
        <w:tc>
          <w:tcPr>
            <w:tcW w:w="1800" w:type="dxa"/>
            <w:vAlign w:val="center"/>
          </w:tcPr>
          <w:p w:rsidR="00212CD6" w:rsidRPr="00772F91" w:rsidRDefault="00212CD6" w:rsidP="006943FB">
            <w:pPr>
              <w:jc w:val="center"/>
              <w:rPr>
                <w:rFonts w:ascii="Arial" w:hAnsi="Arial" w:cs="Arial"/>
                <w:sz w:val="18"/>
                <w:szCs w:val="18"/>
                <w:vertAlign w:val="superscript"/>
              </w:rPr>
            </w:pPr>
            <w:r w:rsidRPr="00772F91">
              <w:rPr>
                <w:rFonts w:ascii="Arial" w:hAnsi="Arial" w:cs="Arial"/>
                <w:sz w:val="18"/>
                <w:szCs w:val="18"/>
              </w:rPr>
              <w:t>24-hour Composite</w:t>
            </w:r>
          </w:p>
        </w:tc>
        <w:tc>
          <w:tcPr>
            <w:tcW w:w="237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Daily Values</w:t>
            </w:r>
          </w:p>
        </w:tc>
      </w:tr>
      <w:tr w:rsidR="007449F4" w:rsidRPr="00772F91" w:rsidTr="00176503">
        <w:trPr>
          <w:trHeight w:val="259"/>
          <w:jc w:val="center"/>
        </w:trPr>
        <w:tc>
          <w:tcPr>
            <w:tcW w:w="2184" w:type="dxa"/>
            <w:vAlign w:val="center"/>
          </w:tcPr>
          <w:p w:rsidR="007449F4" w:rsidRPr="007449F4" w:rsidRDefault="007449F4" w:rsidP="007449F4">
            <w:pPr>
              <w:jc w:val="center"/>
              <w:rPr>
                <w:rFonts w:ascii="Arial" w:hAnsi="Arial" w:cs="Arial"/>
                <w:sz w:val="18"/>
                <w:szCs w:val="18"/>
              </w:rPr>
            </w:pPr>
            <w:r w:rsidRPr="007449F4">
              <w:rPr>
                <w:rFonts w:ascii="Arial" w:hAnsi="Arial" w:cs="Arial"/>
                <w:sz w:val="18"/>
                <w:szCs w:val="18"/>
              </w:rPr>
              <w:t>Cadmium</w:t>
            </w:r>
            <w:r w:rsidRPr="007449F4">
              <w:rPr>
                <w:rFonts w:ascii="Arial" w:hAnsi="Arial" w:cs="Arial"/>
                <w:sz w:val="18"/>
                <w:szCs w:val="18"/>
                <w:vertAlign w:val="superscript"/>
              </w:rPr>
              <w:t>3</w:t>
            </w:r>
          </w:p>
        </w:tc>
        <w:tc>
          <w:tcPr>
            <w:tcW w:w="1080" w:type="dxa"/>
            <w:vAlign w:val="center"/>
          </w:tcPr>
          <w:p w:rsidR="007449F4" w:rsidRPr="007449F4" w:rsidRDefault="007449F4" w:rsidP="007449F4">
            <w:pPr>
              <w:keepNext/>
              <w:keepLines/>
              <w:jc w:val="center"/>
              <w:rPr>
                <w:rFonts w:ascii="Arial" w:hAnsi="Arial" w:cs="Arial"/>
                <w:sz w:val="18"/>
                <w:szCs w:val="18"/>
              </w:rPr>
            </w:pPr>
            <w:r w:rsidRPr="007449F4">
              <w:rPr>
                <w:rFonts w:ascii="Arial" w:hAnsi="Arial" w:cs="Arial"/>
                <w:sz w:val="18"/>
                <w:szCs w:val="18"/>
              </w:rPr>
              <w:t>7440439</w:t>
            </w:r>
          </w:p>
        </w:tc>
        <w:tc>
          <w:tcPr>
            <w:tcW w:w="606" w:type="dxa"/>
            <w:vAlign w:val="center"/>
          </w:tcPr>
          <w:p w:rsidR="007449F4" w:rsidRPr="007449F4" w:rsidRDefault="007449F4" w:rsidP="007449F4">
            <w:pPr>
              <w:keepNext/>
              <w:keepLines/>
              <w:jc w:val="center"/>
              <w:rPr>
                <w:rFonts w:ascii="Arial" w:hAnsi="Arial" w:cs="Arial"/>
                <w:sz w:val="18"/>
                <w:szCs w:val="18"/>
              </w:rPr>
            </w:pPr>
            <w:r w:rsidRPr="007449F4">
              <w:rPr>
                <w:rFonts w:ascii="Arial" w:hAnsi="Arial" w:cs="Arial"/>
                <w:sz w:val="18"/>
                <w:szCs w:val="18"/>
              </w:rPr>
              <w:t>0.10</w:t>
            </w:r>
          </w:p>
        </w:tc>
        <w:tc>
          <w:tcPr>
            <w:tcW w:w="2520" w:type="dxa"/>
            <w:vAlign w:val="center"/>
          </w:tcPr>
          <w:p w:rsidR="007449F4" w:rsidRPr="007449F4" w:rsidRDefault="007449F4" w:rsidP="007449F4">
            <w:pPr>
              <w:jc w:val="center"/>
              <w:rPr>
                <w:rFonts w:ascii="Arial" w:hAnsi="Arial" w:cs="Arial"/>
                <w:sz w:val="18"/>
                <w:szCs w:val="18"/>
              </w:rPr>
            </w:pPr>
            <w:r w:rsidRPr="007449F4">
              <w:rPr>
                <w:rFonts w:ascii="Arial" w:hAnsi="Arial" w:cs="Arial"/>
                <w:sz w:val="18"/>
                <w:szCs w:val="18"/>
              </w:rPr>
              <w:t>1/Week, when discharging</w:t>
            </w:r>
          </w:p>
        </w:tc>
        <w:tc>
          <w:tcPr>
            <w:tcW w:w="1800" w:type="dxa"/>
            <w:vAlign w:val="center"/>
          </w:tcPr>
          <w:p w:rsidR="007449F4" w:rsidRPr="007449F4" w:rsidRDefault="007449F4" w:rsidP="007449F4">
            <w:pPr>
              <w:jc w:val="center"/>
              <w:rPr>
                <w:rFonts w:ascii="Arial" w:hAnsi="Arial" w:cs="Arial"/>
                <w:sz w:val="18"/>
                <w:szCs w:val="18"/>
              </w:rPr>
            </w:pPr>
            <w:r w:rsidRPr="007449F4">
              <w:rPr>
                <w:rFonts w:ascii="Arial" w:hAnsi="Arial" w:cs="Arial"/>
                <w:sz w:val="18"/>
                <w:szCs w:val="18"/>
              </w:rPr>
              <w:t>24-hour Composite</w:t>
            </w:r>
          </w:p>
        </w:tc>
        <w:tc>
          <w:tcPr>
            <w:tcW w:w="2370" w:type="dxa"/>
            <w:vAlign w:val="center"/>
          </w:tcPr>
          <w:p w:rsidR="007449F4" w:rsidRPr="007449F4" w:rsidRDefault="00B92B17" w:rsidP="007449F4">
            <w:pPr>
              <w:suppressAutoHyphens/>
              <w:jc w:val="center"/>
              <w:rPr>
                <w:rFonts w:ascii="Arial" w:hAnsi="Arial" w:cs="Arial"/>
                <w:sz w:val="18"/>
                <w:szCs w:val="18"/>
              </w:rPr>
            </w:pPr>
            <w:r w:rsidRPr="00772F91">
              <w:rPr>
                <w:rFonts w:ascii="Arial" w:hAnsi="Arial" w:cs="Arial"/>
                <w:sz w:val="18"/>
                <w:szCs w:val="18"/>
              </w:rPr>
              <w:t>Daily Values</w:t>
            </w:r>
          </w:p>
        </w:tc>
      </w:tr>
      <w:tr w:rsidR="00212CD6" w:rsidRPr="00772F91" w:rsidTr="00176503">
        <w:trPr>
          <w:trHeight w:val="259"/>
          <w:jc w:val="center"/>
        </w:trPr>
        <w:tc>
          <w:tcPr>
            <w:tcW w:w="2184"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 xml:space="preserve">Chromium (total) </w:t>
            </w:r>
            <w:r w:rsidRPr="00772F91">
              <w:rPr>
                <w:rFonts w:ascii="Arial" w:hAnsi="Arial" w:cs="Arial"/>
                <w:sz w:val="18"/>
                <w:szCs w:val="18"/>
                <w:vertAlign w:val="superscript"/>
              </w:rPr>
              <w:t>3,5</w:t>
            </w:r>
          </w:p>
        </w:tc>
        <w:tc>
          <w:tcPr>
            <w:tcW w:w="1080"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7440473</w:t>
            </w:r>
          </w:p>
        </w:tc>
        <w:tc>
          <w:tcPr>
            <w:tcW w:w="606"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0.4</w:t>
            </w:r>
          </w:p>
        </w:tc>
        <w:tc>
          <w:tcPr>
            <w:tcW w:w="252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1/Quarter, when discharging</w:t>
            </w:r>
          </w:p>
        </w:tc>
        <w:tc>
          <w:tcPr>
            <w:tcW w:w="180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24-hour Composite</w:t>
            </w:r>
          </w:p>
        </w:tc>
        <w:tc>
          <w:tcPr>
            <w:tcW w:w="237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Daily Values</w:t>
            </w:r>
          </w:p>
        </w:tc>
      </w:tr>
      <w:tr w:rsidR="00212CD6" w:rsidRPr="00772F91" w:rsidTr="00176503">
        <w:trPr>
          <w:trHeight w:val="259"/>
          <w:jc w:val="center"/>
        </w:trPr>
        <w:tc>
          <w:tcPr>
            <w:tcW w:w="2184"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 xml:space="preserve">Chromium III </w:t>
            </w:r>
            <w:r w:rsidR="00A80659">
              <w:rPr>
                <w:rFonts w:ascii="Arial" w:hAnsi="Arial" w:cs="Arial"/>
                <w:sz w:val="18"/>
                <w:szCs w:val="18"/>
                <w:vertAlign w:val="superscript"/>
              </w:rPr>
              <w:t>5,6</w:t>
            </w:r>
          </w:p>
        </w:tc>
        <w:tc>
          <w:tcPr>
            <w:tcW w:w="1080"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16065831</w:t>
            </w:r>
          </w:p>
        </w:tc>
        <w:tc>
          <w:tcPr>
            <w:tcW w:w="606"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10</w:t>
            </w:r>
          </w:p>
        </w:tc>
        <w:tc>
          <w:tcPr>
            <w:tcW w:w="252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1/Quarter, when discharging</w:t>
            </w:r>
          </w:p>
        </w:tc>
        <w:tc>
          <w:tcPr>
            <w:tcW w:w="1800" w:type="dxa"/>
            <w:vAlign w:val="center"/>
          </w:tcPr>
          <w:p w:rsidR="00212CD6" w:rsidRPr="00772F91" w:rsidRDefault="00212CD6" w:rsidP="006943FB">
            <w:pPr>
              <w:jc w:val="center"/>
              <w:rPr>
                <w:rFonts w:ascii="Arial" w:hAnsi="Arial" w:cs="Arial"/>
                <w:sz w:val="18"/>
                <w:szCs w:val="18"/>
                <w:vertAlign w:val="superscript"/>
              </w:rPr>
            </w:pPr>
            <w:r w:rsidRPr="00772F91">
              <w:rPr>
                <w:rFonts w:ascii="Arial" w:hAnsi="Arial" w:cs="Arial"/>
                <w:sz w:val="18"/>
                <w:szCs w:val="18"/>
              </w:rPr>
              <w:t>24-hour Composite</w:t>
            </w:r>
          </w:p>
        </w:tc>
        <w:tc>
          <w:tcPr>
            <w:tcW w:w="237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Daily Values</w:t>
            </w:r>
          </w:p>
        </w:tc>
      </w:tr>
      <w:tr w:rsidR="00212CD6" w:rsidRPr="00772F91" w:rsidTr="00176503">
        <w:trPr>
          <w:trHeight w:val="259"/>
          <w:jc w:val="center"/>
        </w:trPr>
        <w:tc>
          <w:tcPr>
            <w:tcW w:w="2184" w:type="dxa"/>
            <w:vAlign w:val="center"/>
          </w:tcPr>
          <w:p w:rsidR="00212CD6" w:rsidRPr="00FC56C6" w:rsidRDefault="00212CD6" w:rsidP="00373887">
            <w:pPr>
              <w:jc w:val="center"/>
              <w:rPr>
                <w:rFonts w:ascii="Arial" w:hAnsi="Arial" w:cs="Arial"/>
                <w:sz w:val="18"/>
                <w:szCs w:val="18"/>
              </w:rPr>
            </w:pPr>
            <w:r>
              <w:rPr>
                <w:rFonts w:ascii="Arial" w:hAnsi="Arial" w:cs="Arial"/>
                <w:sz w:val="18"/>
                <w:szCs w:val="18"/>
              </w:rPr>
              <w:t xml:space="preserve">Chromium </w:t>
            </w:r>
            <w:r w:rsidRPr="00FC56C6">
              <w:rPr>
                <w:rFonts w:ascii="Arial" w:hAnsi="Arial" w:cs="Arial"/>
                <w:sz w:val="18"/>
                <w:szCs w:val="18"/>
              </w:rPr>
              <w:t>VI</w:t>
            </w:r>
            <w:r w:rsidR="00A80659">
              <w:rPr>
                <w:rFonts w:ascii="Arial" w:hAnsi="Arial" w:cs="Arial"/>
                <w:sz w:val="18"/>
                <w:szCs w:val="18"/>
              </w:rPr>
              <w:t xml:space="preserve"> </w:t>
            </w:r>
            <w:r w:rsidR="00A80659">
              <w:rPr>
                <w:rFonts w:ascii="Arial" w:hAnsi="Arial" w:cs="Arial"/>
                <w:sz w:val="18"/>
                <w:szCs w:val="18"/>
                <w:vertAlign w:val="superscript"/>
              </w:rPr>
              <w:t>5,6</w:t>
            </w:r>
          </w:p>
        </w:tc>
        <w:tc>
          <w:tcPr>
            <w:tcW w:w="1080" w:type="dxa"/>
            <w:vAlign w:val="center"/>
          </w:tcPr>
          <w:p w:rsidR="00212CD6" w:rsidRPr="00FC56C6" w:rsidRDefault="00212CD6" w:rsidP="00373887">
            <w:pPr>
              <w:keepNext/>
              <w:keepLines/>
              <w:jc w:val="center"/>
              <w:rPr>
                <w:rFonts w:ascii="Arial" w:hAnsi="Arial" w:cs="Arial"/>
                <w:sz w:val="18"/>
                <w:szCs w:val="18"/>
              </w:rPr>
            </w:pPr>
            <w:r w:rsidRPr="00FC56C6">
              <w:rPr>
                <w:rFonts w:ascii="Arial" w:hAnsi="Arial" w:cs="Arial"/>
                <w:sz w:val="18"/>
                <w:szCs w:val="18"/>
              </w:rPr>
              <w:t>18540299</w:t>
            </w:r>
          </w:p>
        </w:tc>
        <w:tc>
          <w:tcPr>
            <w:tcW w:w="606" w:type="dxa"/>
            <w:vAlign w:val="center"/>
          </w:tcPr>
          <w:p w:rsidR="00212CD6" w:rsidRPr="00FC56C6" w:rsidRDefault="00212CD6" w:rsidP="00373887">
            <w:pPr>
              <w:keepNext/>
              <w:keepLines/>
              <w:jc w:val="center"/>
              <w:rPr>
                <w:rFonts w:ascii="Arial" w:hAnsi="Arial" w:cs="Arial"/>
                <w:sz w:val="18"/>
                <w:szCs w:val="18"/>
              </w:rPr>
            </w:pPr>
            <w:r w:rsidRPr="00FC56C6">
              <w:rPr>
                <w:rFonts w:ascii="Arial" w:hAnsi="Arial" w:cs="Arial"/>
                <w:sz w:val="18"/>
                <w:szCs w:val="18"/>
              </w:rPr>
              <w:t>10</w:t>
            </w:r>
          </w:p>
        </w:tc>
        <w:tc>
          <w:tcPr>
            <w:tcW w:w="2520" w:type="dxa"/>
            <w:vAlign w:val="center"/>
          </w:tcPr>
          <w:p w:rsidR="00212CD6" w:rsidRPr="006943FB" w:rsidRDefault="00212CD6" w:rsidP="00373887">
            <w:pPr>
              <w:jc w:val="center"/>
              <w:rPr>
                <w:rFonts w:ascii="Arial" w:hAnsi="Arial" w:cs="Arial"/>
                <w:color w:val="000000" w:themeColor="text1"/>
                <w:sz w:val="18"/>
                <w:szCs w:val="18"/>
              </w:rPr>
            </w:pPr>
            <w:r w:rsidRPr="00772F91">
              <w:rPr>
                <w:rFonts w:ascii="Arial" w:hAnsi="Arial" w:cs="Arial"/>
                <w:sz w:val="18"/>
                <w:szCs w:val="18"/>
              </w:rPr>
              <w:t>1/Quarter, when discharging</w:t>
            </w:r>
          </w:p>
        </w:tc>
        <w:tc>
          <w:tcPr>
            <w:tcW w:w="1800" w:type="dxa"/>
            <w:vAlign w:val="center"/>
          </w:tcPr>
          <w:p w:rsidR="00212CD6" w:rsidRPr="00FC56C6" w:rsidRDefault="00212CD6" w:rsidP="00373887">
            <w:pPr>
              <w:jc w:val="center"/>
              <w:rPr>
                <w:rFonts w:ascii="Arial" w:hAnsi="Arial" w:cs="Arial"/>
                <w:sz w:val="18"/>
                <w:szCs w:val="18"/>
              </w:rPr>
            </w:pPr>
            <w:r w:rsidRPr="00FC56C6">
              <w:rPr>
                <w:rFonts w:ascii="Arial" w:hAnsi="Arial" w:cs="Arial"/>
                <w:sz w:val="18"/>
                <w:szCs w:val="18"/>
              </w:rPr>
              <w:t>24-hour Composite</w:t>
            </w:r>
          </w:p>
        </w:tc>
        <w:tc>
          <w:tcPr>
            <w:tcW w:w="2370" w:type="dxa"/>
            <w:vAlign w:val="center"/>
          </w:tcPr>
          <w:p w:rsidR="00212CD6" w:rsidRPr="006943FB" w:rsidRDefault="00212CD6" w:rsidP="00373887">
            <w:pPr>
              <w:suppressAutoHyphens/>
              <w:jc w:val="center"/>
              <w:rPr>
                <w:rFonts w:ascii="Arial" w:hAnsi="Arial" w:cs="Arial"/>
                <w:sz w:val="18"/>
                <w:szCs w:val="18"/>
              </w:rPr>
            </w:pPr>
            <w:r w:rsidRPr="00772F91">
              <w:rPr>
                <w:rFonts w:ascii="Arial" w:hAnsi="Arial" w:cs="Arial"/>
                <w:sz w:val="18"/>
                <w:szCs w:val="18"/>
              </w:rPr>
              <w:t>Daily Values</w:t>
            </w:r>
          </w:p>
        </w:tc>
      </w:tr>
      <w:tr w:rsidR="00212CD6" w:rsidRPr="00772F91" w:rsidTr="00176503">
        <w:trPr>
          <w:trHeight w:val="259"/>
          <w:jc w:val="center"/>
        </w:trPr>
        <w:tc>
          <w:tcPr>
            <w:tcW w:w="2184"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 xml:space="preserve">Nickel </w:t>
            </w:r>
            <w:r w:rsidR="00A80659">
              <w:rPr>
                <w:rFonts w:ascii="Arial" w:hAnsi="Arial" w:cs="Arial"/>
                <w:sz w:val="18"/>
                <w:szCs w:val="18"/>
                <w:vertAlign w:val="superscript"/>
              </w:rPr>
              <w:t>6</w:t>
            </w:r>
          </w:p>
        </w:tc>
        <w:tc>
          <w:tcPr>
            <w:tcW w:w="1080"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7440020</w:t>
            </w:r>
          </w:p>
        </w:tc>
        <w:tc>
          <w:tcPr>
            <w:tcW w:w="606"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10</w:t>
            </w:r>
          </w:p>
        </w:tc>
        <w:tc>
          <w:tcPr>
            <w:tcW w:w="252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1/Quarter, when discharging</w:t>
            </w:r>
          </w:p>
        </w:tc>
        <w:tc>
          <w:tcPr>
            <w:tcW w:w="180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24-hour Composite</w:t>
            </w:r>
          </w:p>
        </w:tc>
        <w:tc>
          <w:tcPr>
            <w:tcW w:w="237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Daily Values</w:t>
            </w:r>
          </w:p>
        </w:tc>
      </w:tr>
      <w:tr w:rsidR="00212CD6" w:rsidRPr="00772F91" w:rsidTr="00176503">
        <w:trPr>
          <w:trHeight w:val="259"/>
          <w:jc w:val="center"/>
        </w:trPr>
        <w:tc>
          <w:tcPr>
            <w:tcW w:w="2184"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 xml:space="preserve">Selenium </w:t>
            </w:r>
            <w:r w:rsidRPr="00772F91">
              <w:rPr>
                <w:rFonts w:ascii="Arial" w:hAnsi="Arial" w:cs="Arial"/>
                <w:sz w:val="18"/>
                <w:szCs w:val="18"/>
                <w:vertAlign w:val="superscript"/>
              </w:rPr>
              <w:t>3</w:t>
            </w:r>
          </w:p>
        </w:tc>
        <w:tc>
          <w:tcPr>
            <w:tcW w:w="1080"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7782492</w:t>
            </w:r>
          </w:p>
        </w:tc>
        <w:tc>
          <w:tcPr>
            <w:tcW w:w="606"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2.0</w:t>
            </w:r>
          </w:p>
        </w:tc>
        <w:tc>
          <w:tcPr>
            <w:tcW w:w="252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1/Quarter, when discharging</w:t>
            </w:r>
          </w:p>
        </w:tc>
        <w:tc>
          <w:tcPr>
            <w:tcW w:w="1800" w:type="dxa"/>
            <w:vAlign w:val="center"/>
          </w:tcPr>
          <w:p w:rsidR="00212CD6" w:rsidRPr="00772F91" w:rsidRDefault="00212CD6" w:rsidP="006943FB">
            <w:pPr>
              <w:jc w:val="center"/>
              <w:rPr>
                <w:rFonts w:ascii="Arial" w:hAnsi="Arial" w:cs="Arial"/>
                <w:sz w:val="18"/>
                <w:szCs w:val="18"/>
                <w:vertAlign w:val="superscript"/>
              </w:rPr>
            </w:pPr>
            <w:r w:rsidRPr="00772F91">
              <w:rPr>
                <w:rFonts w:ascii="Arial" w:hAnsi="Arial" w:cs="Arial"/>
                <w:sz w:val="18"/>
                <w:szCs w:val="18"/>
              </w:rPr>
              <w:t>24-hour Composite</w:t>
            </w:r>
          </w:p>
        </w:tc>
        <w:tc>
          <w:tcPr>
            <w:tcW w:w="237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Daily Values</w:t>
            </w:r>
          </w:p>
        </w:tc>
      </w:tr>
      <w:tr w:rsidR="00212CD6" w:rsidRPr="00772F91" w:rsidTr="00176503">
        <w:trPr>
          <w:trHeight w:val="259"/>
          <w:jc w:val="center"/>
        </w:trPr>
        <w:tc>
          <w:tcPr>
            <w:tcW w:w="2184"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 xml:space="preserve">Silver </w:t>
            </w:r>
            <w:r w:rsidR="00A80659">
              <w:rPr>
                <w:rFonts w:ascii="Arial" w:hAnsi="Arial" w:cs="Arial"/>
                <w:sz w:val="18"/>
                <w:szCs w:val="18"/>
                <w:vertAlign w:val="superscript"/>
              </w:rPr>
              <w:t>6</w:t>
            </w:r>
          </w:p>
        </w:tc>
        <w:tc>
          <w:tcPr>
            <w:tcW w:w="1080"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7440224</w:t>
            </w:r>
          </w:p>
        </w:tc>
        <w:tc>
          <w:tcPr>
            <w:tcW w:w="606"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1.0</w:t>
            </w:r>
          </w:p>
        </w:tc>
        <w:tc>
          <w:tcPr>
            <w:tcW w:w="252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1/Quarter, when discharging</w:t>
            </w:r>
          </w:p>
        </w:tc>
        <w:tc>
          <w:tcPr>
            <w:tcW w:w="180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24-hour Composite</w:t>
            </w:r>
          </w:p>
        </w:tc>
        <w:tc>
          <w:tcPr>
            <w:tcW w:w="237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Daily Values</w:t>
            </w:r>
          </w:p>
        </w:tc>
      </w:tr>
      <w:tr w:rsidR="00212CD6" w:rsidRPr="00772F91" w:rsidTr="00176503">
        <w:trPr>
          <w:trHeight w:val="259"/>
          <w:jc w:val="center"/>
        </w:trPr>
        <w:tc>
          <w:tcPr>
            <w:tcW w:w="2184"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Zinc</w:t>
            </w:r>
            <w:r w:rsidRPr="00772F91">
              <w:rPr>
                <w:rFonts w:ascii="Arial" w:hAnsi="Arial" w:cs="Arial"/>
                <w:sz w:val="18"/>
                <w:szCs w:val="18"/>
                <w:vertAlign w:val="superscript"/>
              </w:rPr>
              <w:t xml:space="preserve"> </w:t>
            </w:r>
            <w:r w:rsidR="00A80659">
              <w:rPr>
                <w:rFonts w:ascii="Arial" w:hAnsi="Arial" w:cs="Arial"/>
                <w:sz w:val="18"/>
                <w:szCs w:val="18"/>
                <w:vertAlign w:val="superscript"/>
              </w:rPr>
              <w:t>6</w:t>
            </w:r>
          </w:p>
        </w:tc>
        <w:tc>
          <w:tcPr>
            <w:tcW w:w="1080"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7440666</w:t>
            </w:r>
          </w:p>
        </w:tc>
        <w:tc>
          <w:tcPr>
            <w:tcW w:w="606" w:type="dxa"/>
            <w:vAlign w:val="center"/>
          </w:tcPr>
          <w:p w:rsidR="00212CD6" w:rsidRPr="00772F91" w:rsidRDefault="00212CD6" w:rsidP="006943FB">
            <w:pPr>
              <w:keepNext/>
              <w:keepLines/>
              <w:jc w:val="center"/>
              <w:rPr>
                <w:rFonts w:ascii="Arial" w:hAnsi="Arial" w:cs="Arial"/>
                <w:sz w:val="18"/>
                <w:szCs w:val="18"/>
              </w:rPr>
            </w:pPr>
            <w:r w:rsidRPr="00772F91">
              <w:rPr>
                <w:rFonts w:ascii="Arial" w:hAnsi="Arial" w:cs="Arial"/>
                <w:sz w:val="18"/>
                <w:szCs w:val="18"/>
              </w:rPr>
              <w:t>5.0</w:t>
            </w:r>
          </w:p>
        </w:tc>
        <w:tc>
          <w:tcPr>
            <w:tcW w:w="252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1/Quarter, when discharging</w:t>
            </w:r>
          </w:p>
        </w:tc>
        <w:tc>
          <w:tcPr>
            <w:tcW w:w="180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24-hour Composite</w:t>
            </w:r>
          </w:p>
        </w:tc>
        <w:tc>
          <w:tcPr>
            <w:tcW w:w="2370" w:type="dxa"/>
            <w:vAlign w:val="center"/>
          </w:tcPr>
          <w:p w:rsidR="00212CD6" w:rsidRPr="00772F91" w:rsidRDefault="00212CD6" w:rsidP="006943FB">
            <w:pPr>
              <w:jc w:val="center"/>
              <w:rPr>
                <w:rFonts w:ascii="Arial" w:hAnsi="Arial" w:cs="Arial"/>
                <w:sz w:val="18"/>
                <w:szCs w:val="18"/>
              </w:rPr>
            </w:pPr>
            <w:r w:rsidRPr="00772F91">
              <w:rPr>
                <w:rFonts w:ascii="Arial" w:hAnsi="Arial" w:cs="Arial"/>
                <w:sz w:val="18"/>
                <w:szCs w:val="18"/>
              </w:rPr>
              <w:t>Daily Values</w:t>
            </w:r>
          </w:p>
        </w:tc>
      </w:tr>
    </w:tbl>
    <w:p w:rsidR="007401A9" w:rsidRDefault="007401A9">
      <w:pPr>
        <w:jc w:val="left"/>
        <w:rPr>
          <w:rFonts w:cs="Times New Roman"/>
          <w:b/>
          <w:bCs/>
        </w:rPr>
      </w:pPr>
    </w:p>
    <w:p w:rsidR="007401A9" w:rsidRDefault="007401A9">
      <w:pPr>
        <w:jc w:val="left"/>
        <w:rPr>
          <w:rFonts w:cs="Times New Roman"/>
          <w:b/>
          <w:bCs/>
        </w:rPr>
      </w:pPr>
      <w:r>
        <w:rPr>
          <w:rFonts w:cs="Times New Roman"/>
          <w:b/>
          <w:bCs/>
        </w:rPr>
        <w:br w:type="page"/>
      </w:r>
    </w:p>
    <w:tbl>
      <w:tblPr>
        <w:tblW w:w="10562" w:type="dxa"/>
        <w:jc w:val="center"/>
        <w:tblInd w:w="74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401"/>
        <w:gridCol w:w="900"/>
        <w:gridCol w:w="630"/>
        <w:gridCol w:w="2520"/>
        <w:gridCol w:w="1890"/>
        <w:gridCol w:w="2221"/>
      </w:tblGrid>
      <w:tr w:rsidR="006943FB" w:rsidRPr="00004D2C" w:rsidTr="006943FB">
        <w:trPr>
          <w:trHeight w:val="323"/>
          <w:jc w:val="center"/>
        </w:trPr>
        <w:tc>
          <w:tcPr>
            <w:tcW w:w="10562" w:type="dxa"/>
            <w:gridSpan w:val="6"/>
            <w:shd w:val="clear" w:color="auto" w:fill="D9D9D9" w:themeFill="background1" w:themeFillShade="D9"/>
            <w:vAlign w:val="center"/>
          </w:tcPr>
          <w:p w:rsidR="006943FB" w:rsidRPr="00772F91" w:rsidRDefault="00FD5D1F" w:rsidP="006F721C">
            <w:pPr>
              <w:spacing w:before="80" w:after="80"/>
              <w:jc w:val="center"/>
              <w:rPr>
                <w:rFonts w:ascii="Arial" w:hAnsi="Arial" w:cs="Arial"/>
                <w:b/>
                <w:u w:val="single"/>
              </w:rPr>
            </w:pPr>
            <w:r w:rsidRPr="00772F91">
              <w:rPr>
                <w:rFonts w:ascii="Arial" w:hAnsi="Arial" w:cs="Arial"/>
                <w:b/>
                <w:sz w:val="22"/>
                <w:szCs w:val="22"/>
              </w:rPr>
              <w:lastRenderedPageBreak/>
              <w:t>Table 1</w:t>
            </w:r>
            <w:r w:rsidR="006F721C">
              <w:rPr>
                <w:rFonts w:ascii="Arial" w:hAnsi="Arial" w:cs="Arial"/>
                <w:b/>
                <w:sz w:val="22"/>
                <w:szCs w:val="22"/>
              </w:rPr>
              <w:t>1</w:t>
            </w:r>
            <w:r w:rsidR="006943FB" w:rsidRPr="00772F91">
              <w:rPr>
                <w:rFonts w:ascii="Arial" w:hAnsi="Arial" w:cs="Arial"/>
                <w:b/>
                <w:sz w:val="22"/>
                <w:szCs w:val="22"/>
              </w:rPr>
              <w:t>: Proposed Outfall 001 Characterization Monitoring Requirements (Continued)</w:t>
            </w:r>
          </w:p>
        </w:tc>
      </w:tr>
      <w:tr w:rsidR="006943FB" w:rsidRPr="00004D2C" w:rsidTr="006943FB">
        <w:trPr>
          <w:trHeight w:val="323"/>
          <w:jc w:val="center"/>
        </w:trPr>
        <w:tc>
          <w:tcPr>
            <w:tcW w:w="2401" w:type="dxa"/>
            <w:shd w:val="clear" w:color="auto" w:fill="D9D9D9" w:themeFill="background1" w:themeFillShade="D9"/>
            <w:vAlign w:val="center"/>
          </w:tcPr>
          <w:p w:rsidR="006943FB" w:rsidRPr="00772F91" w:rsidRDefault="006943FB" w:rsidP="006943FB">
            <w:pPr>
              <w:spacing w:before="80" w:after="80"/>
              <w:jc w:val="center"/>
              <w:rPr>
                <w:rFonts w:ascii="Arial" w:hAnsi="Arial" w:cs="Arial"/>
                <w:b/>
                <w:sz w:val="18"/>
                <w:szCs w:val="18"/>
                <w:u w:val="single"/>
              </w:rPr>
            </w:pPr>
            <w:r w:rsidRPr="00772F91">
              <w:rPr>
                <w:rFonts w:ascii="Arial" w:hAnsi="Arial" w:cs="Arial"/>
                <w:b/>
                <w:sz w:val="18"/>
                <w:szCs w:val="18"/>
                <w:u w:val="single"/>
              </w:rPr>
              <w:t>Parameter</w:t>
            </w:r>
          </w:p>
        </w:tc>
        <w:tc>
          <w:tcPr>
            <w:tcW w:w="900" w:type="dxa"/>
            <w:shd w:val="clear" w:color="auto" w:fill="D9D9D9" w:themeFill="background1" w:themeFillShade="D9"/>
            <w:vAlign w:val="center"/>
          </w:tcPr>
          <w:p w:rsidR="006943FB" w:rsidRPr="00772F91" w:rsidRDefault="006943FB" w:rsidP="006943FB">
            <w:pPr>
              <w:spacing w:before="80" w:after="80"/>
              <w:jc w:val="center"/>
              <w:rPr>
                <w:rFonts w:ascii="Arial" w:hAnsi="Arial" w:cs="Arial"/>
                <w:b/>
                <w:sz w:val="18"/>
                <w:szCs w:val="18"/>
                <w:u w:val="single"/>
              </w:rPr>
            </w:pPr>
            <w:r w:rsidRPr="00772F91">
              <w:rPr>
                <w:rFonts w:ascii="Arial" w:hAnsi="Arial" w:cs="Arial"/>
                <w:b/>
                <w:sz w:val="18"/>
                <w:szCs w:val="18"/>
                <w:u w:val="single"/>
              </w:rPr>
              <w:t>CAS</w:t>
            </w:r>
            <w:r w:rsidRPr="00772F91">
              <w:rPr>
                <w:rFonts w:ascii="Arial" w:hAnsi="Arial" w:cs="Arial"/>
                <w:b/>
                <w:sz w:val="18"/>
                <w:szCs w:val="18"/>
                <w:u w:val="single"/>
                <w:vertAlign w:val="superscript"/>
              </w:rPr>
              <w:t>1</w:t>
            </w:r>
          </w:p>
        </w:tc>
        <w:tc>
          <w:tcPr>
            <w:tcW w:w="630" w:type="dxa"/>
            <w:shd w:val="clear" w:color="auto" w:fill="D9D9D9" w:themeFill="background1" w:themeFillShade="D9"/>
            <w:vAlign w:val="center"/>
          </w:tcPr>
          <w:p w:rsidR="006943FB" w:rsidRPr="00772F91" w:rsidRDefault="006943FB" w:rsidP="006943FB">
            <w:pPr>
              <w:spacing w:before="80" w:after="80"/>
              <w:jc w:val="center"/>
              <w:rPr>
                <w:rFonts w:ascii="Arial" w:hAnsi="Arial" w:cs="Arial"/>
                <w:b/>
                <w:sz w:val="18"/>
                <w:szCs w:val="18"/>
                <w:u w:val="single"/>
                <w:vertAlign w:val="superscript"/>
              </w:rPr>
            </w:pPr>
            <w:r w:rsidRPr="00772F91">
              <w:rPr>
                <w:rFonts w:ascii="Arial" w:hAnsi="Arial" w:cs="Arial"/>
                <w:b/>
                <w:sz w:val="18"/>
                <w:szCs w:val="18"/>
                <w:u w:val="single"/>
              </w:rPr>
              <w:t>QL</w:t>
            </w:r>
            <w:r w:rsidRPr="00772F91">
              <w:rPr>
                <w:rFonts w:ascii="Arial" w:hAnsi="Arial" w:cs="Arial"/>
                <w:b/>
                <w:sz w:val="18"/>
                <w:szCs w:val="18"/>
                <w:u w:val="single"/>
                <w:vertAlign w:val="superscript"/>
              </w:rPr>
              <w:t>2</w:t>
            </w:r>
          </w:p>
        </w:tc>
        <w:tc>
          <w:tcPr>
            <w:tcW w:w="2520" w:type="dxa"/>
            <w:shd w:val="clear" w:color="auto" w:fill="D9D9D9" w:themeFill="background1" w:themeFillShade="D9"/>
            <w:vAlign w:val="center"/>
          </w:tcPr>
          <w:p w:rsidR="006943FB" w:rsidRPr="00772F91" w:rsidRDefault="006943FB" w:rsidP="006943FB">
            <w:pPr>
              <w:spacing w:before="80" w:after="80"/>
              <w:jc w:val="center"/>
              <w:rPr>
                <w:rFonts w:ascii="Arial" w:hAnsi="Arial" w:cs="Arial"/>
                <w:b/>
                <w:sz w:val="18"/>
                <w:szCs w:val="18"/>
                <w:u w:val="single"/>
              </w:rPr>
            </w:pPr>
            <w:r w:rsidRPr="00772F91">
              <w:rPr>
                <w:rFonts w:ascii="Arial" w:hAnsi="Arial" w:cs="Arial"/>
                <w:b/>
                <w:sz w:val="18"/>
                <w:szCs w:val="18"/>
                <w:u w:val="single"/>
              </w:rPr>
              <w:t>Minimum Frequency</w:t>
            </w:r>
          </w:p>
        </w:tc>
        <w:tc>
          <w:tcPr>
            <w:tcW w:w="1890" w:type="dxa"/>
            <w:shd w:val="clear" w:color="auto" w:fill="D9D9D9" w:themeFill="background1" w:themeFillShade="D9"/>
            <w:vAlign w:val="center"/>
          </w:tcPr>
          <w:p w:rsidR="006943FB" w:rsidRPr="00772F91" w:rsidRDefault="006943FB" w:rsidP="006943FB">
            <w:pPr>
              <w:spacing w:before="80" w:after="80"/>
              <w:jc w:val="center"/>
              <w:rPr>
                <w:rFonts w:ascii="Arial" w:hAnsi="Arial" w:cs="Arial"/>
                <w:b/>
                <w:sz w:val="18"/>
                <w:szCs w:val="18"/>
                <w:u w:val="single"/>
              </w:rPr>
            </w:pPr>
            <w:r w:rsidRPr="00772F91">
              <w:rPr>
                <w:rFonts w:ascii="Arial" w:hAnsi="Arial" w:cs="Arial"/>
                <w:b/>
                <w:sz w:val="18"/>
                <w:szCs w:val="18"/>
                <w:u w:val="single"/>
              </w:rPr>
              <w:t>Sample Type</w:t>
            </w:r>
          </w:p>
        </w:tc>
        <w:tc>
          <w:tcPr>
            <w:tcW w:w="2221" w:type="dxa"/>
            <w:shd w:val="clear" w:color="auto" w:fill="D9D9D9" w:themeFill="background1" w:themeFillShade="D9"/>
            <w:vAlign w:val="center"/>
          </w:tcPr>
          <w:p w:rsidR="006943FB" w:rsidRPr="00772F91" w:rsidRDefault="006943FB" w:rsidP="006943FB">
            <w:pPr>
              <w:spacing w:before="80" w:after="80"/>
              <w:jc w:val="center"/>
              <w:rPr>
                <w:rFonts w:ascii="Arial" w:hAnsi="Arial" w:cs="Arial"/>
                <w:b/>
                <w:sz w:val="18"/>
                <w:szCs w:val="18"/>
                <w:u w:val="single"/>
              </w:rPr>
            </w:pPr>
            <w:r w:rsidRPr="00772F91">
              <w:rPr>
                <w:rFonts w:ascii="Arial" w:hAnsi="Arial" w:cs="Arial"/>
                <w:b/>
                <w:sz w:val="18"/>
                <w:szCs w:val="18"/>
                <w:u w:val="single"/>
              </w:rPr>
              <w:t>Report</w:t>
            </w:r>
          </w:p>
        </w:tc>
      </w:tr>
      <w:tr w:rsidR="006943FB" w:rsidRPr="00AF304B" w:rsidTr="006943FB">
        <w:trPr>
          <w:trHeight w:val="259"/>
          <w:jc w:val="center"/>
        </w:trPr>
        <w:tc>
          <w:tcPr>
            <w:tcW w:w="2401" w:type="dxa"/>
            <w:shd w:val="clear" w:color="auto" w:fill="D9D9D9" w:themeFill="background1" w:themeFillShade="D9"/>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VOCs</w:t>
            </w:r>
          </w:p>
        </w:tc>
        <w:tc>
          <w:tcPr>
            <w:tcW w:w="900" w:type="dxa"/>
            <w:shd w:val="clear" w:color="auto" w:fill="D9D9D9" w:themeFill="background1" w:themeFillShade="D9"/>
            <w:vAlign w:val="center"/>
          </w:tcPr>
          <w:p w:rsidR="006943FB" w:rsidRPr="00772F91" w:rsidRDefault="006943FB" w:rsidP="006943FB">
            <w:pPr>
              <w:keepNext/>
              <w:keepLines/>
              <w:jc w:val="center"/>
              <w:rPr>
                <w:sz w:val="18"/>
                <w:szCs w:val="18"/>
              </w:rPr>
            </w:pPr>
          </w:p>
        </w:tc>
        <w:tc>
          <w:tcPr>
            <w:tcW w:w="630" w:type="dxa"/>
            <w:shd w:val="clear" w:color="auto" w:fill="D9D9D9" w:themeFill="background1" w:themeFillShade="D9"/>
            <w:vAlign w:val="center"/>
          </w:tcPr>
          <w:p w:rsidR="006943FB" w:rsidRPr="00772F91" w:rsidRDefault="006943FB" w:rsidP="006943FB">
            <w:pPr>
              <w:keepNext/>
              <w:keepLines/>
              <w:jc w:val="center"/>
              <w:rPr>
                <w:sz w:val="18"/>
                <w:szCs w:val="18"/>
              </w:rPr>
            </w:pPr>
          </w:p>
        </w:tc>
        <w:tc>
          <w:tcPr>
            <w:tcW w:w="2520" w:type="dxa"/>
            <w:shd w:val="clear" w:color="auto" w:fill="D9D9D9" w:themeFill="background1" w:themeFillShade="D9"/>
            <w:vAlign w:val="center"/>
          </w:tcPr>
          <w:p w:rsidR="006943FB" w:rsidRPr="00772F91" w:rsidRDefault="006943FB" w:rsidP="006943FB">
            <w:pPr>
              <w:jc w:val="center"/>
              <w:rPr>
                <w:rFonts w:ascii="Arial" w:hAnsi="Arial" w:cs="Arial"/>
                <w:sz w:val="18"/>
                <w:szCs w:val="18"/>
              </w:rPr>
            </w:pPr>
          </w:p>
        </w:tc>
        <w:tc>
          <w:tcPr>
            <w:tcW w:w="1890" w:type="dxa"/>
            <w:shd w:val="clear" w:color="auto" w:fill="D9D9D9" w:themeFill="background1" w:themeFillShade="D9"/>
            <w:vAlign w:val="center"/>
          </w:tcPr>
          <w:p w:rsidR="006943FB" w:rsidRPr="00772F91" w:rsidRDefault="006943FB" w:rsidP="006943FB">
            <w:pPr>
              <w:jc w:val="center"/>
              <w:rPr>
                <w:rFonts w:ascii="Arial" w:hAnsi="Arial" w:cs="Arial"/>
                <w:sz w:val="18"/>
                <w:szCs w:val="18"/>
              </w:rPr>
            </w:pPr>
          </w:p>
        </w:tc>
        <w:tc>
          <w:tcPr>
            <w:tcW w:w="2221" w:type="dxa"/>
            <w:shd w:val="clear" w:color="auto" w:fill="D9D9D9" w:themeFill="background1" w:themeFillShade="D9"/>
            <w:vAlign w:val="center"/>
          </w:tcPr>
          <w:p w:rsidR="006943FB" w:rsidRPr="00772F91" w:rsidRDefault="006943FB" w:rsidP="006943FB">
            <w:pPr>
              <w:jc w:val="center"/>
              <w:rPr>
                <w:rFonts w:ascii="Arial" w:hAnsi="Arial" w:cs="Arial"/>
                <w:sz w:val="18"/>
                <w:szCs w:val="18"/>
              </w:rPr>
            </w:pPr>
          </w:p>
        </w:tc>
      </w:tr>
      <w:tr w:rsidR="006943FB" w:rsidRPr="00AF304B" w:rsidTr="006943FB">
        <w:trPr>
          <w:trHeight w:val="259"/>
          <w:jc w:val="center"/>
        </w:trPr>
        <w:tc>
          <w:tcPr>
            <w:tcW w:w="240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Acetone</w:t>
            </w:r>
          </w:p>
        </w:tc>
        <w:tc>
          <w:tcPr>
            <w:tcW w:w="90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67641</w:t>
            </w:r>
          </w:p>
        </w:tc>
        <w:tc>
          <w:tcPr>
            <w:tcW w:w="63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w:t>
            </w:r>
          </w:p>
        </w:tc>
        <w:tc>
          <w:tcPr>
            <w:tcW w:w="252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vAlign w:val="center"/>
          </w:tcPr>
          <w:p w:rsidR="006943FB" w:rsidRPr="00772F91" w:rsidRDefault="00ED3F8A" w:rsidP="006943FB">
            <w:pPr>
              <w:jc w:val="center"/>
              <w:rPr>
                <w:rFonts w:ascii="Arial" w:hAnsi="Arial" w:cs="Arial"/>
                <w:sz w:val="18"/>
                <w:szCs w:val="18"/>
              </w:rPr>
            </w:pPr>
            <w:r>
              <w:rPr>
                <w:rFonts w:ascii="Arial" w:hAnsi="Arial" w:cs="Arial"/>
                <w:sz w:val="18"/>
                <w:szCs w:val="18"/>
              </w:rPr>
              <w:t>See Note 8</w:t>
            </w:r>
          </w:p>
        </w:tc>
        <w:tc>
          <w:tcPr>
            <w:tcW w:w="222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Daily Values</w:t>
            </w:r>
          </w:p>
        </w:tc>
      </w:tr>
      <w:tr w:rsidR="00ED3F8A" w:rsidRPr="00AF304B" w:rsidTr="00850063">
        <w:trPr>
          <w:trHeight w:val="259"/>
          <w:jc w:val="center"/>
        </w:trPr>
        <w:tc>
          <w:tcPr>
            <w:tcW w:w="240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Benzene</w:t>
            </w:r>
          </w:p>
        </w:tc>
        <w:tc>
          <w:tcPr>
            <w:tcW w:w="900" w:type="dxa"/>
            <w:vAlign w:val="center"/>
          </w:tcPr>
          <w:p w:rsidR="00ED3F8A" w:rsidRPr="00772F91" w:rsidRDefault="00ED3F8A" w:rsidP="006943FB">
            <w:pPr>
              <w:keepNext/>
              <w:keepLines/>
              <w:jc w:val="center"/>
              <w:rPr>
                <w:sz w:val="18"/>
                <w:szCs w:val="18"/>
              </w:rPr>
            </w:pPr>
            <w:r w:rsidRPr="00772F91">
              <w:rPr>
                <w:sz w:val="18"/>
                <w:szCs w:val="18"/>
              </w:rPr>
              <w:t>71432</w:t>
            </w:r>
          </w:p>
        </w:tc>
        <w:tc>
          <w:tcPr>
            <w:tcW w:w="630" w:type="dxa"/>
            <w:vAlign w:val="center"/>
          </w:tcPr>
          <w:p w:rsidR="00ED3F8A" w:rsidRPr="00772F91" w:rsidRDefault="00ED3F8A" w:rsidP="006943FB">
            <w:pPr>
              <w:keepNext/>
              <w:keepLines/>
              <w:jc w:val="center"/>
              <w:rPr>
                <w:sz w:val="18"/>
                <w:szCs w:val="18"/>
              </w:rPr>
            </w:pPr>
            <w:r w:rsidRPr="00772F91">
              <w:rPr>
                <w:sz w:val="18"/>
                <w:szCs w:val="18"/>
              </w:rPr>
              <w:t>0.50</w:t>
            </w:r>
          </w:p>
        </w:tc>
        <w:tc>
          <w:tcPr>
            <w:tcW w:w="2520"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tcPr>
          <w:p w:rsidR="00ED3F8A" w:rsidRDefault="00ED3F8A" w:rsidP="00ED3F8A">
            <w:pPr>
              <w:jc w:val="center"/>
            </w:pPr>
            <w:r w:rsidRPr="00E04A74">
              <w:rPr>
                <w:rFonts w:ascii="Arial" w:hAnsi="Arial" w:cs="Arial"/>
                <w:sz w:val="18"/>
                <w:szCs w:val="18"/>
              </w:rPr>
              <w:t>See Note 8</w:t>
            </w:r>
          </w:p>
        </w:tc>
        <w:tc>
          <w:tcPr>
            <w:tcW w:w="222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Daily Values</w:t>
            </w:r>
          </w:p>
        </w:tc>
      </w:tr>
      <w:tr w:rsidR="00ED3F8A" w:rsidRPr="00AF304B" w:rsidTr="00850063">
        <w:trPr>
          <w:trHeight w:val="259"/>
          <w:jc w:val="center"/>
        </w:trPr>
        <w:tc>
          <w:tcPr>
            <w:tcW w:w="240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2-Butanone</w:t>
            </w:r>
          </w:p>
        </w:tc>
        <w:tc>
          <w:tcPr>
            <w:tcW w:w="900"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78933</w:t>
            </w:r>
          </w:p>
        </w:tc>
        <w:tc>
          <w:tcPr>
            <w:tcW w:w="630"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w:t>
            </w:r>
          </w:p>
        </w:tc>
        <w:tc>
          <w:tcPr>
            <w:tcW w:w="2520"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tcPr>
          <w:p w:rsidR="00ED3F8A" w:rsidRDefault="00ED3F8A" w:rsidP="00ED3F8A">
            <w:pPr>
              <w:jc w:val="center"/>
            </w:pPr>
            <w:r w:rsidRPr="00E04A74">
              <w:rPr>
                <w:rFonts w:ascii="Arial" w:hAnsi="Arial" w:cs="Arial"/>
                <w:sz w:val="18"/>
                <w:szCs w:val="18"/>
              </w:rPr>
              <w:t>See Note 8</w:t>
            </w:r>
          </w:p>
        </w:tc>
        <w:tc>
          <w:tcPr>
            <w:tcW w:w="222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Daily Values</w:t>
            </w:r>
          </w:p>
        </w:tc>
      </w:tr>
      <w:tr w:rsidR="00ED3F8A" w:rsidRPr="00AF304B" w:rsidTr="00850063">
        <w:trPr>
          <w:trHeight w:val="259"/>
          <w:jc w:val="center"/>
        </w:trPr>
        <w:tc>
          <w:tcPr>
            <w:tcW w:w="240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Dichloroethylene 1,1</w:t>
            </w:r>
          </w:p>
        </w:tc>
        <w:tc>
          <w:tcPr>
            <w:tcW w:w="900" w:type="dxa"/>
            <w:vAlign w:val="center"/>
          </w:tcPr>
          <w:p w:rsidR="00ED3F8A" w:rsidRPr="00772F91" w:rsidRDefault="00ED3F8A" w:rsidP="006943FB">
            <w:pPr>
              <w:keepNext/>
              <w:keepLines/>
              <w:jc w:val="center"/>
              <w:rPr>
                <w:sz w:val="18"/>
                <w:szCs w:val="18"/>
              </w:rPr>
            </w:pPr>
            <w:r w:rsidRPr="00772F91">
              <w:rPr>
                <w:sz w:val="18"/>
                <w:szCs w:val="18"/>
              </w:rPr>
              <w:t>75354</w:t>
            </w:r>
          </w:p>
        </w:tc>
        <w:tc>
          <w:tcPr>
            <w:tcW w:w="630" w:type="dxa"/>
            <w:vAlign w:val="center"/>
          </w:tcPr>
          <w:p w:rsidR="00ED3F8A" w:rsidRPr="00772F91" w:rsidRDefault="00ED3F8A" w:rsidP="006943FB">
            <w:pPr>
              <w:keepNext/>
              <w:keepLines/>
              <w:jc w:val="center"/>
              <w:rPr>
                <w:sz w:val="18"/>
                <w:szCs w:val="18"/>
              </w:rPr>
            </w:pPr>
            <w:r w:rsidRPr="00772F91">
              <w:rPr>
                <w:sz w:val="18"/>
                <w:szCs w:val="18"/>
              </w:rPr>
              <w:t>0.50</w:t>
            </w:r>
          </w:p>
        </w:tc>
        <w:tc>
          <w:tcPr>
            <w:tcW w:w="2520"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tcPr>
          <w:p w:rsidR="00ED3F8A" w:rsidRDefault="00ED3F8A" w:rsidP="00ED3F8A">
            <w:pPr>
              <w:jc w:val="center"/>
            </w:pPr>
            <w:r w:rsidRPr="00E04A74">
              <w:rPr>
                <w:rFonts w:ascii="Arial" w:hAnsi="Arial" w:cs="Arial"/>
                <w:sz w:val="18"/>
                <w:szCs w:val="18"/>
              </w:rPr>
              <w:t>See Note 8</w:t>
            </w:r>
          </w:p>
        </w:tc>
        <w:tc>
          <w:tcPr>
            <w:tcW w:w="222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Daily Values</w:t>
            </w:r>
          </w:p>
        </w:tc>
      </w:tr>
      <w:tr w:rsidR="00ED3F8A" w:rsidRPr="00AF304B" w:rsidTr="00850063">
        <w:trPr>
          <w:trHeight w:val="259"/>
          <w:jc w:val="center"/>
        </w:trPr>
        <w:tc>
          <w:tcPr>
            <w:tcW w:w="240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Dichloroethylene  trans 1,2</w:t>
            </w:r>
          </w:p>
        </w:tc>
        <w:tc>
          <w:tcPr>
            <w:tcW w:w="900" w:type="dxa"/>
            <w:vAlign w:val="center"/>
          </w:tcPr>
          <w:p w:rsidR="00ED3F8A" w:rsidRPr="00772F91" w:rsidRDefault="00ED3F8A" w:rsidP="006943FB">
            <w:pPr>
              <w:keepNext/>
              <w:keepLines/>
              <w:jc w:val="center"/>
              <w:rPr>
                <w:sz w:val="18"/>
                <w:szCs w:val="18"/>
              </w:rPr>
            </w:pPr>
            <w:r w:rsidRPr="00772F91">
              <w:rPr>
                <w:sz w:val="18"/>
                <w:szCs w:val="18"/>
              </w:rPr>
              <w:t>156605</w:t>
            </w:r>
          </w:p>
        </w:tc>
        <w:tc>
          <w:tcPr>
            <w:tcW w:w="630" w:type="dxa"/>
            <w:vAlign w:val="center"/>
          </w:tcPr>
          <w:p w:rsidR="00ED3F8A" w:rsidRPr="00772F91" w:rsidRDefault="00ED3F8A" w:rsidP="006943FB">
            <w:pPr>
              <w:keepNext/>
              <w:keepLines/>
              <w:jc w:val="center"/>
              <w:rPr>
                <w:sz w:val="18"/>
                <w:szCs w:val="18"/>
              </w:rPr>
            </w:pPr>
            <w:r w:rsidRPr="00772F91">
              <w:rPr>
                <w:sz w:val="18"/>
                <w:szCs w:val="18"/>
              </w:rPr>
              <w:t>0.50</w:t>
            </w:r>
          </w:p>
        </w:tc>
        <w:tc>
          <w:tcPr>
            <w:tcW w:w="2520"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tcPr>
          <w:p w:rsidR="00ED3F8A" w:rsidRDefault="00ED3F8A" w:rsidP="00ED3F8A">
            <w:pPr>
              <w:jc w:val="center"/>
            </w:pPr>
            <w:r w:rsidRPr="00E04A74">
              <w:rPr>
                <w:rFonts w:ascii="Arial" w:hAnsi="Arial" w:cs="Arial"/>
                <w:sz w:val="18"/>
                <w:szCs w:val="18"/>
              </w:rPr>
              <w:t>See Note 8</w:t>
            </w:r>
          </w:p>
        </w:tc>
        <w:tc>
          <w:tcPr>
            <w:tcW w:w="222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Daily Values</w:t>
            </w:r>
          </w:p>
        </w:tc>
      </w:tr>
      <w:tr w:rsidR="00ED3F8A" w:rsidRPr="00AF304B" w:rsidTr="00850063">
        <w:trPr>
          <w:trHeight w:val="259"/>
          <w:jc w:val="center"/>
        </w:trPr>
        <w:tc>
          <w:tcPr>
            <w:tcW w:w="2401" w:type="dxa"/>
            <w:vAlign w:val="center"/>
          </w:tcPr>
          <w:p w:rsidR="00ED3F8A" w:rsidRPr="00772F91" w:rsidRDefault="00ED3F8A" w:rsidP="006943FB">
            <w:pPr>
              <w:jc w:val="center"/>
              <w:rPr>
                <w:rFonts w:ascii="Arial" w:hAnsi="Arial" w:cs="Arial"/>
                <w:sz w:val="18"/>
                <w:szCs w:val="18"/>
              </w:rPr>
            </w:pPr>
            <w:proofErr w:type="spellStart"/>
            <w:r w:rsidRPr="00772F91">
              <w:rPr>
                <w:rFonts w:ascii="Arial" w:hAnsi="Arial" w:cs="Arial"/>
                <w:sz w:val="18"/>
                <w:szCs w:val="18"/>
              </w:rPr>
              <w:t>Ethylbenzene</w:t>
            </w:r>
            <w:proofErr w:type="spellEnd"/>
          </w:p>
        </w:tc>
        <w:tc>
          <w:tcPr>
            <w:tcW w:w="900" w:type="dxa"/>
            <w:vAlign w:val="center"/>
          </w:tcPr>
          <w:p w:rsidR="00ED3F8A" w:rsidRPr="00772F91" w:rsidRDefault="00ED3F8A" w:rsidP="006943FB">
            <w:pPr>
              <w:keepNext/>
              <w:keepLines/>
              <w:jc w:val="center"/>
              <w:rPr>
                <w:sz w:val="18"/>
                <w:szCs w:val="18"/>
              </w:rPr>
            </w:pPr>
            <w:r w:rsidRPr="00772F91">
              <w:rPr>
                <w:sz w:val="18"/>
                <w:szCs w:val="18"/>
              </w:rPr>
              <w:t>100414</w:t>
            </w:r>
          </w:p>
        </w:tc>
        <w:tc>
          <w:tcPr>
            <w:tcW w:w="630" w:type="dxa"/>
            <w:vAlign w:val="center"/>
          </w:tcPr>
          <w:p w:rsidR="00ED3F8A" w:rsidRPr="00772F91" w:rsidRDefault="00ED3F8A" w:rsidP="006943FB">
            <w:pPr>
              <w:keepNext/>
              <w:keepLines/>
              <w:jc w:val="center"/>
              <w:rPr>
                <w:sz w:val="18"/>
                <w:szCs w:val="18"/>
              </w:rPr>
            </w:pPr>
            <w:r w:rsidRPr="00772F91">
              <w:rPr>
                <w:sz w:val="18"/>
                <w:szCs w:val="18"/>
              </w:rPr>
              <w:t>0.50</w:t>
            </w:r>
          </w:p>
        </w:tc>
        <w:tc>
          <w:tcPr>
            <w:tcW w:w="2520"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tcPr>
          <w:p w:rsidR="00ED3F8A" w:rsidRDefault="00ED3F8A" w:rsidP="00ED3F8A">
            <w:pPr>
              <w:jc w:val="center"/>
            </w:pPr>
            <w:r w:rsidRPr="00E04A74">
              <w:rPr>
                <w:rFonts w:ascii="Arial" w:hAnsi="Arial" w:cs="Arial"/>
                <w:sz w:val="18"/>
                <w:szCs w:val="18"/>
              </w:rPr>
              <w:t>See Note 8</w:t>
            </w:r>
          </w:p>
        </w:tc>
        <w:tc>
          <w:tcPr>
            <w:tcW w:w="222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Daily Values</w:t>
            </w:r>
          </w:p>
        </w:tc>
      </w:tr>
      <w:tr w:rsidR="00ED3F8A" w:rsidRPr="00AF304B" w:rsidTr="00850063">
        <w:trPr>
          <w:trHeight w:val="259"/>
          <w:jc w:val="center"/>
        </w:trPr>
        <w:tc>
          <w:tcPr>
            <w:tcW w:w="240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Tetrachloroethylene</w:t>
            </w:r>
          </w:p>
        </w:tc>
        <w:tc>
          <w:tcPr>
            <w:tcW w:w="900" w:type="dxa"/>
            <w:vAlign w:val="center"/>
          </w:tcPr>
          <w:p w:rsidR="00ED3F8A" w:rsidRPr="00772F91" w:rsidRDefault="00ED3F8A" w:rsidP="006943FB">
            <w:pPr>
              <w:keepNext/>
              <w:keepLines/>
              <w:jc w:val="center"/>
              <w:rPr>
                <w:sz w:val="18"/>
                <w:szCs w:val="18"/>
              </w:rPr>
            </w:pPr>
            <w:r w:rsidRPr="00772F91">
              <w:rPr>
                <w:sz w:val="18"/>
                <w:szCs w:val="18"/>
              </w:rPr>
              <w:t>127184</w:t>
            </w:r>
          </w:p>
        </w:tc>
        <w:tc>
          <w:tcPr>
            <w:tcW w:w="630" w:type="dxa"/>
            <w:vAlign w:val="center"/>
          </w:tcPr>
          <w:p w:rsidR="00ED3F8A" w:rsidRPr="00772F91" w:rsidRDefault="00ED3F8A" w:rsidP="006943FB">
            <w:pPr>
              <w:keepNext/>
              <w:keepLines/>
              <w:jc w:val="center"/>
              <w:rPr>
                <w:sz w:val="18"/>
                <w:szCs w:val="18"/>
              </w:rPr>
            </w:pPr>
            <w:r w:rsidRPr="00772F91">
              <w:rPr>
                <w:sz w:val="18"/>
                <w:szCs w:val="18"/>
              </w:rPr>
              <w:t>0.50</w:t>
            </w:r>
          </w:p>
        </w:tc>
        <w:tc>
          <w:tcPr>
            <w:tcW w:w="2520"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tcPr>
          <w:p w:rsidR="00ED3F8A" w:rsidRDefault="00ED3F8A" w:rsidP="00ED3F8A">
            <w:pPr>
              <w:jc w:val="center"/>
            </w:pPr>
            <w:r w:rsidRPr="00E04A74">
              <w:rPr>
                <w:rFonts w:ascii="Arial" w:hAnsi="Arial" w:cs="Arial"/>
                <w:sz w:val="18"/>
                <w:szCs w:val="18"/>
              </w:rPr>
              <w:t>See Note 8</w:t>
            </w:r>
          </w:p>
        </w:tc>
        <w:tc>
          <w:tcPr>
            <w:tcW w:w="222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Daily Values</w:t>
            </w:r>
          </w:p>
        </w:tc>
      </w:tr>
      <w:tr w:rsidR="00ED3F8A" w:rsidRPr="00AF304B" w:rsidTr="00850063">
        <w:trPr>
          <w:trHeight w:val="259"/>
          <w:jc w:val="center"/>
        </w:trPr>
        <w:tc>
          <w:tcPr>
            <w:tcW w:w="240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Toluene</w:t>
            </w:r>
          </w:p>
        </w:tc>
        <w:tc>
          <w:tcPr>
            <w:tcW w:w="900" w:type="dxa"/>
            <w:vAlign w:val="center"/>
          </w:tcPr>
          <w:p w:rsidR="00ED3F8A" w:rsidRPr="00772F91" w:rsidRDefault="00ED3F8A" w:rsidP="006943FB">
            <w:pPr>
              <w:keepNext/>
              <w:keepLines/>
              <w:jc w:val="center"/>
              <w:rPr>
                <w:sz w:val="18"/>
                <w:szCs w:val="18"/>
              </w:rPr>
            </w:pPr>
            <w:r w:rsidRPr="00772F91">
              <w:rPr>
                <w:sz w:val="18"/>
                <w:szCs w:val="18"/>
              </w:rPr>
              <w:t>108883</w:t>
            </w:r>
          </w:p>
        </w:tc>
        <w:tc>
          <w:tcPr>
            <w:tcW w:w="630" w:type="dxa"/>
            <w:vAlign w:val="center"/>
          </w:tcPr>
          <w:p w:rsidR="00ED3F8A" w:rsidRPr="00772F91" w:rsidRDefault="00ED3F8A" w:rsidP="006943FB">
            <w:pPr>
              <w:keepNext/>
              <w:keepLines/>
              <w:jc w:val="center"/>
              <w:rPr>
                <w:sz w:val="18"/>
                <w:szCs w:val="18"/>
              </w:rPr>
            </w:pPr>
            <w:r w:rsidRPr="00772F91">
              <w:rPr>
                <w:sz w:val="18"/>
                <w:szCs w:val="18"/>
              </w:rPr>
              <w:t>0.50</w:t>
            </w:r>
          </w:p>
        </w:tc>
        <w:tc>
          <w:tcPr>
            <w:tcW w:w="2520"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tcPr>
          <w:p w:rsidR="00ED3F8A" w:rsidRDefault="00ED3F8A" w:rsidP="00ED3F8A">
            <w:pPr>
              <w:jc w:val="center"/>
            </w:pPr>
            <w:r w:rsidRPr="00E04A74">
              <w:rPr>
                <w:rFonts w:ascii="Arial" w:hAnsi="Arial" w:cs="Arial"/>
                <w:sz w:val="18"/>
                <w:szCs w:val="18"/>
              </w:rPr>
              <w:t>See Note 8</w:t>
            </w:r>
          </w:p>
        </w:tc>
        <w:tc>
          <w:tcPr>
            <w:tcW w:w="222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Daily Values</w:t>
            </w:r>
          </w:p>
        </w:tc>
      </w:tr>
      <w:tr w:rsidR="00ED3F8A" w:rsidRPr="00AF304B" w:rsidTr="00850063">
        <w:trPr>
          <w:trHeight w:val="259"/>
          <w:jc w:val="center"/>
        </w:trPr>
        <w:tc>
          <w:tcPr>
            <w:tcW w:w="240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Trichloroethylene</w:t>
            </w:r>
          </w:p>
        </w:tc>
        <w:tc>
          <w:tcPr>
            <w:tcW w:w="900" w:type="dxa"/>
            <w:vAlign w:val="center"/>
          </w:tcPr>
          <w:p w:rsidR="00ED3F8A" w:rsidRPr="00772F91" w:rsidRDefault="00ED3F8A" w:rsidP="006943FB">
            <w:pPr>
              <w:keepNext/>
              <w:keepLines/>
              <w:jc w:val="center"/>
              <w:rPr>
                <w:sz w:val="18"/>
                <w:szCs w:val="18"/>
              </w:rPr>
            </w:pPr>
            <w:r w:rsidRPr="00772F91">
              <w:rPr>
                <w:sz w:val="18"/>
                <w:szCs w:val="18"/>
              </w:rPr>
              <w:t>79016</w:t>
            </w:r>
          </w:p>
        </w:tc>
        <w:tc>
          <w:tcPr>
            <w:tcW w:w="630" w:type="dxa"/>
            <w:vAlign w:val="center"/>
          </w:tcPr>
          <w:p w:rsidR="00ED3F8A" w:rsidRPr="00772F91" w:rsidRDefault="00ED3F8A" w:rsidP="006943FB">
            <w:pPr>
              <w:keepNext/>
              <w:keepLines/>
              <w:jc w:val="center"/>
              <w:rPr>
                <w:sz w:val="18"/>
                <w:szCs w:val="18"/>
              </w:rPr>
            </w:pPr>
            <w:r w:rsidRPr="00772F91">
              <w:rPr>
                <w:sz w:val="18"/>
                <w:szCs w:val="18"/>
              </w:rPr>
              <w:t>0.50</w:t>
            </w:r>
          </w:p>
        </w:tc>
        <w:tc>
          <w:tcPr>
            <w:tcW w:w="2520"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tcPr>
          <w:p w:rsidR="00ED3F8A" w:rsidRDefault="00ED3F8A" w:rsidP="00ED3F8A">
            <w:pPr>
              <w:jc w:val="center"/>
            </w:pPr>
            <w:r w:rsidRPr="00E04A74">
              <w:rPr>
                <w:rFonts w:ascii="Arial" w:hAnsi="Arial" w:cs="Arial"/>
                <w:sz w:val="18"/>
                <w:szCs w:val="18"/>
              </w:rPr>
              <w:t>See Note 8</w:t>
            </w:r>
          </w:p>
        </w:tc>
        <w:tc>
          <w:tcPr>
            <w:tcW w:w="222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Daily Values</w:t>
            </w:r>
          </w:p>
        </w:tc>
      </w:tr>
      <w:tr w:rsidR="00ED3F8A" w:rsidRPr="00AF304B" w:rsidTr="00850063">
        <w:trPr>
          <w:trHeight w:val="259"/>
          <w:jc w:val="center"/>
        </w:trPr>
        <w:tc>
          <w:tcPr>
            <w:tcW w:w="240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1,2,4-Trimethylbenzene</w:t>
            </w:r>
          </w:p>
        </w:tc>
        <w:tc>
          <w:tcPr>
            <w:tcW w:w="900"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95636</w:t>
            </w:r>
          </w:p>
        </w:tc>
        <w:tc>
          <w:tcPr>
            <w:tcW w:w="630"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w:t>
            </w:r>
          </w:p>
        </w:tc>
        <w:tc>
          <w:tcPr>
            <w:tcW w:w="2520"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tcPr>
          <w:p w:rsidR="00ED3F8A" w:rsidRDefault="00ED3F8A" w:rsidP="00ED3F8A">
            <w:pPr>
              <w:jc w:val="center"/>
            </w:pPr>
            <w:r w:rsidRPr="00E04A74">
              <w:rPr>
                <w:rFonts w:ascii="Arial" w:hAnsi="Arial" w:cs="Arial"/>
                <w:sz w:val="18"/>
                <w:szCs w:val="18"/>
              </w:rPr>
              <w:t>See Note 8</w:t>
            </w:r>
          </w:p>
        </w:tc>
        <w:tc>
          <w:tcPr>
            <w:tcW w:w="222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Daily Values</w:t>
            </w:r>
          </w:p>
        </w:tc>
      </w:tr>
      <w:tr w:rsidR="00ED3F8A" w:rsidRPr="00AF304B" w:rsidTr="00850063">
        <w:trPr>
          <w:trHeight w:val="259"/>
          <w:jc w:val="center"/>
        </w:trPr>
        <w:tc>
          <w:tcPr>
            <w:tcW w:w="240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1,3,5-Trimethylbenzene</w:t>
            </w:r>
          </w:p>
        </w:tc>
        <w:tc>
          <w:tcPr>
            <w:tcW w:w="900"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108678</w:t>
            </w:r>
          </w:p>
        </w:tc>
        <w:tc>
          <w:tcPr>
            <w:tcW w:w="630"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w:t>
            </w:r>
          </w:p>
        </w:tc>
        <w:tc>
          <w:tcPr>
            <w:tcW w:w="2520"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tcPr>
          <w:p w:rsidR="00ED3F8A" w:rsidRDefault="00ED3F8A" w:rsidP="00ED3F8A">
            <w:pPr>
              <w:jc w:val="center"/>
            </w:pPr>
            <w:r w:rsidRPr="00E04A74">
              <w:rPr>
                <w:rFonts w:ascii="Arial" w:hAnsi="Arial" w:cs="Arial"/>
                <w:sz w:val="18"/>
                <w:szCs w:val="18"/>
              </w:rPr>
              <w:t>See Note 8</w:t>
            </w:r>
          </w:p>
        </w:tc>
        <w:tc>
          <w:tcPr>
            <w:tcW w:w="222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Daily Values</w:t>
            </w:r>
          </w:p>
        </w:tc>
      </w:tr>
      <w:tr w:rsidR="00ED3F8A" w:rsidRPr="00AF304B" w:rsidTr="00850063">
        <w:trPr>
          <w:trHeight w:val="259"/>
          <w:jc w:val="center"/>
        </w:trPr>
        <w:tc>
          <w:tcPr>
            <w:tcW w:w="240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Vinyl chloride</w:t>
            </w:r>
          </w:p>
        </w:tc>
        <w:tc>
          <w:tcPr>
            <w:tcW w:w="900" w:type="dxa"/>
            <w:vAlign w:val="center"/>
          </w:tcPr>
          <w:p w:rsidR="00ED3F8A" w:rsidRPr="00772F91" w:rsidRDefault="00ED3F8A" w:rsidP="006943FB">
            <w:pPr>
              <w:keepNext/>
              <w:keepLines/>
              <w:jc w:val="center"/>
              <w:rPr>
                <w:sz w:val="18"/>
                <w:szCs w:val="18"/>
              </w:rPr>
            </w:pPr>
            <w:r w:rsidRPr="00772F91">
              <w:rPr>
                <w:sz w:val="18"/>
                <w:szCs w:val="18"/>
              </w:rPr>
              <w:t>75014</w:t>
            </w:r>
          </w:p>
        </w:tc>
        <w:tc>
          <w:tcPr>
            <w:tcW w:w="630" w:type="dxa"/>
            <w:vAlign w:val="center"/>
          </w:tcPr>
          <w:p w:rsidR="00ED3F8A" w:rsidRPr="00772F91" w:rsidRDefault="00ED3F8A" w:rsidP="006943FB">
            <w:pPr>
              <w:keepNext/>
              <w:keepLines/>
              <w:jc w:val="center"/>
              <w:rPr>
                <w:sz w:val="18"/>
                <w:szCs w:val="18"/>
              </w:rPr>
            </w:pPr>
            <w:r w:rsidRPr="00772F91">
              <w:rPr>
                <w:sz w:val="18"/>
                <w:szCs w:val="18"/>
              </w:rPr>
              <w:t>0.50</w:t>
            </w:r>
          </w:p>
        </w:tc>
        <w:tc>
          <w:tcPr>
            <w:tcW w:w="2520"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tcPr>
          <w:p w:rsidR="00ED3F8A" w:rsidRDefault="00ED3F8A" w:rsidP="00ED3F8A">
            <w:pPr>
              <w:jc w:val="center"/>
            </w:pPr>
            <w:r w:rsidRPr="00E04A74">
              <w:rPr>
                <w:rFonts w:ascii="Arial" w:hAnsi="Arial" w:cs="Arial"/>
                <w:sz w:val="18"/>
                <w:szCs w:val="18"/>
              </w:rPr>
              <w:t>See Note 8</w:t>
            </w:r>
          </w:p>
        </w:tc>
        <w:tc>
          <w:tcPr>
            <w:tcW w:w="222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Daily Values</w:t>
            </w:r>
          </w:p>
        </w:tc>
      </w:tr>
      <w:tr w:rsidR="00ED3F8A" w:rsidRPr="00AF304B" w:rsidTr="00850063">
        <w:trPr>
          <w:trHeight w:val="259"/>
          <w:jc w:val="center"/>
        </w:trPr>
        <w:tc>
          <w:tcPr>
            <w:tcW w:w="240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Xylene</w:t>
            </w:r>
          </w:p>
        </w:tc>
        <w:tc>
          <w:tcPr>
            <w:tcW w:w="900"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w:t>
            </w:r>
          </w:p>
        </w:tc>
        <w:tc>
          <w:tcPr>
            <w:tcW w:w="630"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w:t>
            </w:r>
          </w:p>
        </w:tc>
        <w:tc>
          <w:tcPr>
            <w:tcW w:w="2520"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tcPr>
          <w:p w:rsidR="00ED3F8A" w:rsidRDefault="00ED3F8A" w:rsidP="00ED3F8A">
            <w:pPr>
              <w:jc w:val="center"/>
            </w:pPr>
            <w:r w:rsidRPr="00E04A74">
              <w:rPr>
                <w:rFonts w:ascii="Arial" w:hAnsi="Arial" w:cs="Arial"/>
                <w:sz w:val="18"/>
                <w:szCs w:val="18"/>
              </w:rPr>
              <w:t>See Note 8</w:t>
            </w:r>
          </w:p>
        </w:tc>
        <w:tc>
          <w:tcPr>
            <w:tcW w:w="2221" w:type="dxa"/>
            <w:vAlign w:val="center"/>
          </w:tcPr>
          <w:p w:rsidR="00ED3F8A" w:rsidRPr="00772F91" w:rsidRDefault="00ED3F8A" w:rsidP="006943FB">
            <w:pPr>
              <w:jc w:val="center"/>
              <w:rPr>
                <w:rFonts w:ascii="Arial" w:hAnsi="Arial" w:cs="Arial"/>
                <w:sz w:val="18"/>
                <w:szCs w:val="18"/>
              </w:rPr>
            </w:pPr>
            <w:r w:rsidRPr="00772F91">
              <w:rPr>
                <w:rFonts w:ascii="Arial" w:hAnsi="Arial" w:cs="Arial"/>
                <w:sz w:val="18"/>
                <w:szCs w:val="18"/>
              </w:rPr>
              <w:t>Daily Values</w:t>
            </w:r>
          </w:p>
        </w:tc>
      </w:tr>
      <w:tr w:rsidR="006943FB" w:rsidRPr="00AF304B" w:rsidTr="006943FB">
        <w:trPr>
          <w:trHeight w:val="259"/>
          <w:jc w:val="center"/>
        </w:trPr>
        <w:tc>
          <w:tcPr>
            <w:tcW w:w="2401" w:type="dxa"/>
            <w:shd w:val="clear" w:color="auto" w:fill="D9D9D9" w:themeFill="background1" w:themeFillShade="D9"/>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Phenols</w:t>
            </w:r>
          </w:p>
        </w:tc>
        <w:tc>
          <w:tcPr>
            <w:tcW w:w="900" w:type="dxa"/>
            <w:shd w:val="clear" w:color="auto" w:fill="D9D9D9" w:themeFill="background1" w:themeFillShade="D9"/>
            <w:vAlign w:val="center"/>
          </w:tcPr>
          <w:p w:rsidR="006943FB" w:rsidRPr="00772F91" w:rsidRDefault="006943FB" w:rsidP="006943FB">
            <w:pPr>
              <w:jc w:val="center"/>
              <w:rPr>
                <w:rFonts w:ascii="Arial" w:hAnsi="Arial" w:cs="Arial"/>
                <w:sz w:val="18"/>
                <w:szCs w:val="18"/>
              </w:rPr>
            </w:pPr>
          </w:p>
        </w:tc>
        <w:tc>
          <w:tcPr>
            <w:tcW w:w="630" w:type="dxa"/>
            <w:shd w:val="clear" w:color="auto" w:fill="D9D9D9" w:themeFill="background1" w:themeFillShade="D9"/>
            <w:vAlign w:val="center"/>
          </w:tcPr>
          <w:p w:rsidR="006943FB" w:rsidRPr="00772F91" w:rsidRDefault="006943FB" w:rsidP="006943FB">
            <w:pPr>
              <w:jc w:val="center"/>
              <w:rPr>
                <w:rFonts w:ascii="Arial" w:hAnsi="Arial" w:cs="Arial"/>
                <w:sz w:val="18"/>
                <w:szCs w:val="18"/>
              </w:rPr>
            </w:pPr>
          </w:p>
        </w:tc>
        <w:tc>
          <w:tcPr>
            <w:tcW w:w="2520" w:type="dxa"/>
            <w:shd w:val="clear" w:color="auto" w:fill="D9D9D9" w:themeFill="background1" w:themeFillShade="D9"/>
            <w:vAlign w:val="center"/>
          </w:tcPr>
          <w:p w:rsidR="006943FB" w:rsidRPr="00772F91" w:rsidRDefault="006943FB" w:rsidP="006943FB">
            <w:pPr>
              <w:jc w:val="center"/>
              <w:rPr>
                <w:rFonts w:ascii="Arial" w:hAnsi="Arial" w:cs="Arial"/>
                <w:sz w:val="18"/>
                <w:szCs w:val="18"/>
              </w:rPr>
            </w:pPr>
          </w:p>
        </w:tc>
        <w:tc>
          <w:tcPr>
            <w:tcW w:w="1890" w:type="dxa"/>
            <w:shd w:val="clear" w:color="auto" w:fill="D9D9D9" w:themeFill="background1" w:themeFillShade="D9"/>
            <w:vAlign w:val="center"/>
          </w:tcPr>
          <w:p w:rsidR="006943FB" w:rsidRPr="00772F91" w:rsidRDefault="006943FB" w:rsidP="006943FB">
            <w:pPr>
              <w:jc w:val="center"/>
              <w:rPr>
                <w:rFonts w:ascii="Arial" w:hAnsi="Arial" w:cs="Arial"/>
                <w:sz w:val="18"/>
                <w:szCs w:val="18"/>
              </w:rPr>
            </w:pPr>
          </w:p>
        </w:tc>
        <w:tc>
          <w:tcPr>
            <w:tcW w:w="2221" w:type="dxa"/>
            <w:shd w:val="clear" w:color="auto" w:fill="D9D9D9" w:themeFill="background1" w:themeFillShade="D9"/>
            <w:vAlign w:val="center"/>
          </w:tcPr>
          <w:p w:rsidR="006943FB" w:rsidRPr="00772F91" w:rsidRDefault="006943FB" w:rsidP="006943FB">
            <w:pPr>
              <w:jc w:val="center"/>
              <w:rPr>
                <w:rFonts w:ascii="Arial" w:hAnsi="Arial" w:cs="Arial"/>
                <w:sz w:val="18"/>
                <w:szCs w:val="18"/>
              </w:rPr>
            </w:pPr>
          </w:p>
        </w:tc>
      </w:tr>
      <w:tr w:rsidR="006943FB" w:rsidRPr="00AF304B" w:rsidTr="006943FB">
        <w:trPr>
          <w:trHeight w:val="259"/>
          <w:jc w:val="center"/>
        </w:trPr>
        <w:tc>
          <w:tcPr>
            <w:tcW w:w="240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Chlorophenol 2</w:t>
            </w:r>
          </w:p>
        </w:tc>
        <w:tc>
          <w:tcPr>
            <w:tcW w:w="900" w:type="dxa"/>
            <w:vAlign w:val="center"/>
          </w:tcPr>
          <w:p w:rsidR="006943FB" w:rsidRPr="00772F91" w:rsidRDefault="006943FB" w:rsidP="006943FB">
            <w:pPr>
              <w:keepNext/>
              <w:keepLines/>
              <w:jc w:val="center"/>
              <w:rPr>
                <w:sz w:val="18"/>
                <w:szCs w:val="18"/>
              </w:rPr>
            </w:pPr>
            <w:r w:rsidRPr="00772F91">
              <w:rPr>
                <w:sz w:val="18"/>
                <w:szCs w:val="18"/>
              </w:rPr>
              <w:t>95578</w:t>
            </w:r>
          </w:p>
        </w:tc>
        <w:tc>
          <w:tcPr>
            <w:tcW w:w="630" w:type="dxa"/>
            <w:vAlign w:val="center"/>
          </w:tcPr>
          <w:p w:rsidR="006943FB" w:rsidRPr="00772F91" w:rsidRDefault="006943FB" w:rsidP="006943FB">
            <w:pPr>
              <w:keepNext/>
              <w:keepLines/>
              <w:jc w:val="center"/>
              <w:rPr>
                <w:sz w:val="18"/>
                <w:szCs w:val="18"/>
              </w:rPr>
            </w:pPr>
            <w:r w:rsidRPr="00772F91">
              <w:rPr>
                <w:sz w:val="18"/>
                <w:szCs w:val="18"/>
              </w:rPr>
              <w:t>1.0</w:t>
            </w:r>
          </w:p>
        </w:tc>
        <w:tc>
          <w:tcPr>
            <w:tcW w:w="252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24-hour Composite</w:t>
            </w:r>
          </w:p>
        </w:tc>
        <w:tc>
          <w:tcPr>
            <w:tcW w:w="222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Daily Values</w:t>
            </w:r>
          </w:p>
        </w:tc>
      </w:tr>
      <w:tr w:rsidR="006943FB" w:rsidRPr="00AF304B" w:rsidTr="006943FB">
        <w:trPr>
          <w:trHeight w:val="259"/>
          <w:jc w:val="center"/>
        </w:trPr>
        <w:tc>
          <w:tcPr>
            <w:tcW w:w="240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Dichlorophenol 2,4</w:t>
            </w:r>
          </w:p>
        </w:tc>
        <w:tc>
          <w:tcPr>
            <w:tcW w:w="900" w:type="dxa"/>
            <w:vAlign w:val="center"/>
          </w:tcPr>
          <w:p w:rsidR="006943FB" w:rsidRPr="00772F91" w:rsidRDefault="006943FB" w:rsidP="006943FB">
            <w:pPr>
              <w:keepNext/>
              <w:keepLines/>
              <w:jc w:val="center"/>
              <w:rPr>
                <w:sz w:val="18"/>
                <w:szCs w:val="18"/>
              </w:rPr>
            </w:pPr>
            <w:r w:rsidRPr="00772F91">
              <w:rPr>
                <w:sz w:val="18"/>
                <w:szCs w:val="18"/>
              </w:rPr>
              <w:t>120832</w:t>
            </w:r>
          </w:p>
        </w:tc>
        <w:tc>
          <w:tcPr>
            <w:tcW w:w="630" w:type="dxa"/>
            <w:vAlign w:val="center"/>
          </w:tcPr>
          <w:p w:rsidR="006943FB" w:rsidRPr="00772F91" w:rsidRDefault="006943FB" w:rsidP="006943FB">
            <w:pPr>
              <w:keepNext/>
              <w:keepLines/>
              <w:jc w:val="center"/>
              <w:rPr>
                <w:sz w:val="18"/>
                <w:szCs w:val="18"/>
              </w:rPr>
            </w:pPr>
            <w:r w:rsidRPr="00772F91">
              <w:rPr>
                <w:sz w:val="18"/>
                <w:szCs w:val="18"/>
              </w:rPr>
              <w:t>1.0</w:t>
            </w:r>
          </w:p>
        </w:tc>
        <w:tc>
          <w:tcPr>
            <w:tcW w:w="252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24-hour Composite</w:t>
            </w:r>
          </w:p>
        </w:tc>
        <w:tc>
          <w:tcPr>
            <w:tcW w:w="222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Daily Values</w:t>
            </w:r>
          </w:p>
        </w:tc>
      </w:tr>
      <w:tr w:rsidR="006943FB" w:rsidRPr="00AF304B" w:rsidTr="006943FB">
        <w:trPr>
          <w:trHeight w:val="259"/>
          <w:jc w:val="center"/>
        </w:trPr>
        <w:tc>
          <w:tcPr>
            <w:tcW w:w="240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Dimethylphenol 2,4</w:t>
            </w:r>
          </w:p>
        </w:tc>
        <w:tc>
          <w:tcPr>
            <w:tcW w:w="900" w:type="dxa"/>
            <w:vAlign w:val="center"/>
          </w:tcPr>
          <w:p w:rsidR="006943FB" w:rsidRPr="00772F91" w:rsidRDefault="006943FB" w:rsidP="006943FB">
            <w:pPr>
              <w:keepNext/>
              <w:keepLines/>
              <w:jc w:val="center"/>
              <w:rPr>
                <w:sz w:val="18"/>
                <w:szCs w:val="18"/>
              </w:rPr>
            </w:pPr>
            <w:r w:rsidRPr="00772F91">
              <w:rPr>
                <w:sz w:val="18"/>
                <w:szCs w:val="18"/>
              </w:rPr>
              <w:t>105679</w:t>
            </w:r>
          </w:p>
        </w:tc>
        <w:tc>
          <w:tcPr>
            <w:tcW w:w="630" w:type="dxa"/>
            <w:vAlign w:val="center"/>
          </w:tcPr>
          <w:p w:rsidR="006943FB" w:rsidRPr="00772F91" w:rsidRDefault="006943FB" w:rsidP="006943FB">
            <w:pPr>
              <w:keepNext/>
              <w:keepLines/>
              <w:jc w:val="center"/>
              <w:rPr>
                <w:sz w:val="18"/>
                <w:szCs w:val="18"/>
              </w:rPr>
            </w:pPr>
            <w:r w:rsidRPr="00772F91">
              <w:rPr>
                <w:sz w:val="18"/>
                <w:szCs w:val="18"/>
              </w:rPr>
              <w:t>5.0</w:t>
            </w:r>
          </w:p>
        </w:tc>
        <w:tc>
          <w:tcPr>
            <w:tcW w:w="252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vAlign w:val="center"/>
          </w:tcPr>
          <w:p w:rsidR="006943FB" w:rsidRPr="00772F91" w:rsidRDefault="006943FB" w:rsidP="006943FB">
            <w:pPr>
              <w:jc w:val="center"/>
              <w:rPr>
                <w:rFonts w:ascii="Arial" w:hAnsi="Arial" w:cs="Arial"/>
                <w:sz w:val="18"/>
                <w:szCs w:val="18"/>
                <w:vertAlign w:val="superscript"/>
              </w:rPr>
            </w:pPr>
            <w:r w:rsidRPr="00772F91">
              <w:rPr>
                <w:rFonts w:ascii="Arial" w:hAnsi="Arial" w:cs="Arial"/>
                <w:sz w:val="18"/>
                <w:szCs w:val="18"/>
              </w:rPr>
              <w:t>24-hour Composite</w:t>
            </w:r>
          </w:p>
        </w:tc>
        <w:tc>
          <w:tcPr>
            <w:tcW w:w="222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Daily Values</w:t>
            </w:r>
          </w:p>
        </w:tc>
      </w:tr>
      <w:tr w:rsidR="006943FB" w:rsidRPr="00AF304B" w:rsidTr="006943FB">
        <w:trPr>
          <w:trHeight w:val="259"/>
          <w:jc w:val="center"/>
        </w:trPr>
        <w:tc>
          <w:tcPr>
            <w:tcW w:w="240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Methyl-4,6-Dinitrophenol 2</w:t>
            </w:r>
          </w:p>
        </w:tc>
        <w:tc>
          <w:tcPr>
            <w:tcW w:w="90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534521</w:t>
            </w:r>
          </w:p>
        </w:tc>
        <w:tc>
          <w:tcPr>
            <w:tcW w:w="63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2.0</w:t>
            </w:r>
          </w:p>
        </w:tc>
        <w:tc>
          <w:tcPr>
            <w:tcW w:w="252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24-hour Composite</w:t>
            </w:r>
          </w:p>
        </w:tc>
        <w:tc>
          <w:tcPr>
            <w:tcW w:w="222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Daily Values</w:t>
            </w:r>
          </w:p>
        </w:tc>
      </w:tr>
      <w:tr w:rsidR="006943FB" w:rsidRPr="00AF304B" w:rsidTr="006943FB">
        <w:trPr>
          <w:trHeight w:val="259"/>
          <w:jc w:val="center"/>
        </w:trPr>
        <w:tc>
          <w:tcPr>
            <w:tcW w:w="240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2-methylphenol</w:t>
            </w:r>
          </w:p>
        </w:tc>
        <w:tc>
          <w:tcPr>
            <w:tcW w:w="90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95487</w:t>
            </w:r>
          </w:p>
        </w:tc>
        <w:tc>
          <w:tcPr>
            <w:tcW w:w="63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w:t>
            </w:r>
          </w:p>
        </w:tc>
        <w:tc>
          <w:tcPr>
            <w:tcW w:w="252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24-hour Composite</w:t>
            </w:r>
          </w:p>
        </w:tc>
        <w:tc>
          <w:tcPr>
            <w:tcW w:w="222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Daily Values</w:t>
            </w:r>
          </w:p>
        </w:tc>
      </w:tr>
      <w:tr w:rsidR="006943FB" w:rsidRPr="00AF304B" w:rsidTr="006943FB">
        <w:trPr>
          <w:trHeight w:val="259"/>
          <w:jc w:val="center"/>
        </w:trPr>
        <w:tc>
          <w:tcPr>
            <w:tcW w:w="240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2-nitrophenol</w:t>
            </w:r>
          </w:p>
        </w:tc>
        <w:tc>
          <w:tcPr>
            <w:tcW w:w="900" w:type="dxa"/>
            <w:vAlign w:val="center"/>
          </w:tcPr>
          <w:p w:rsidR="006943FB" w:rsidRPr="00772F91" w:rsidRDefault="006943FB" w:rsidP="006943FB">
            <w:pPr>
              <w:keepNext/>
              <w:keepLines/>
              <w:jc w:val="center"/>
              <w:rPr>
                <w:sz w:val="18"/>
                <w:szCs w:val="18"/>
              </w:rPr>
            </w:pPr>
            <w:r w:rsidRPr="00772F91">
              <w:rPr>
                <w:sz w:val="18"/>
                <w:szCs w:val="18"/>
              </w:rPr>
              <w:t>88755</w:t>
            </w:r>
          </w:p>
        </w:tc>
        <w:tc>
          <w:tcPr>
            <w:tcW w:w="630" w:type="dxa"/>
            <w:vAlign w:val="center"/>
          </w:tcPr>
          <w:p w:rsidR="006943FB" w:rsidRPr="00772F91" w:rsidRDefault="006943FB" w:rsidP="006943FB">
            <w:pPr>
              <w:keepNext/>
              <w:keepLines/>
              <w:jc w:val="center"/>
              <w:rPr>
                <w:sz w:val="18"/>
                <w:szCs w:val="18"/>
              </w:rPr>
            </w:pPr>
            <w:r w:rsidRPr="00772F91">
              <w:rPr>
                <w:sz w:val="18"/>
                <w:szCs w:val="18"/>
              </w:rPr>
              <w:t>2.0</w:t>
            </w:r>
          </w:p>
        </w:tc>
        <w:tc>
          <w:tcPr>
            <w:tcW w:w="252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24-hour Composite</w:t>
            </w:r>
          </w:p>
        </w:tc>
        <w:tc>
          <w:tcPr>
            <w:tcW w:w="222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Daily Values</w:t>
            </w:r>
          </w:p>
        </w:tc>
      </w:tr>
      <w:tr w:rsidR="006943FB" w:rsidRPr="00AF304B" w:rsidTr="006943FB">
        <w:trPr>
          <w:trHeight w:val="259"/>
          <w:jc w:val="center"/>
        </w:trPr>
        <w:tc>
          <w:tcPr>
            <w:tcW w:w="240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4-nitrophenol</w:t>
            </w:r>
          </w:p>
        </w:tc>
        <w:tc>
          <w:tcPr>
            <w:tcW w:w="900" w:type="dxa"/>
            <w:vAlign w:val="center"/>
          </w:tcPr>
          <w:p w:rsidR="006943FB" w:rsidRPr="00772F91" w:rsidRDefault="006943FB" w:rsidP="006943FB">
            <w:pPr>
              <w:keepNext/>
              <w:keepLines/>
              <w:jc w:val="center"/>
              <w:rPr>
                <w:sz w:val="18"/>
                <w:szCs w:val="18"/>
              </w:rPr>
            </w:pPr>
            <w:r w:rsidRPr="00772F91">
              <w:rPr>
                <w:sz w:val="18"/>
                <w:szCs w:val="18"/>
              </w:rPr>
              <w:t>100027</w:t>
            </w:r>
          </w:p>
        </w:tc>
        <w:tc>
          <w:tcPr>
            <w:tcW w:w="630" w:type="dxa"/>
            <w:vAlign w:val="center"/>
          </w:tcPr>
          <w:p w:rsidR="006943FB" w:rsidRPr="00772F91" w:rsidRDefault="006943FB" w:rsidP="006943FB">
            <w:pPr>
              <w:keepNext/>
              <w:keepLines/>
              <w:jc w:val="center"/>
              <w:rPr>
                <w:sz w:val="18"/>
                <w:szCs w:val="18"/>
              </w:rPr>
            </w:pPr>
            <w:r w:rsidRPr="00772F91">
              <w:rPr>
                <w:sz w:val="18"/>
                <w:szCs w:val="18"/>
              </w:rPr>
              <w:t>5.0</w:t>
            </w:r>
          </w:p>
        </w:tc>
        <w:tc>
          <w:tcPr>
            <w:tcW w:w="252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24-hour Composite</w:t>
            </w:r>
          </w:p>
        </w:tc>
        <w:tc>
          <w:tcPr>
            <w:tcW w:w="222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Daily Values</w:t>
            </w:r>
          </w:p>
        </w:tc>
      </w:tr>
      <w:tr w:rsidR="006943FB" w:rsidRPr="00AF304B" w:rsidTr="006943FB">
        <w:trPr>
          <w:trHeight w:val="259"/>
          <w:jc w:val="center"/>
        </w:trPr>
        <w:tc>
          <w:tcPr>
            <w:tcW w:w="240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Pentachlorophenol</w:t>
            </w:r>
          </w:p>
        </w:tc>
        <w:tc>
          <w:tcPr>
            <w:tcW w:w="900" w:type="dxa"/>
            <w:vAlign w:val="center"/>
          </w:tcPr>
          <w:p w:rsidR="006943FB" w:rsidRPr="00772F91" w:rsidRDefault="006943FB" w:rsidP="006943FB">
            <w:pPr>
              <w:keepNext/>
              <w:keepLines/>
              <w:jc w:val="center"/>
              <w:rPr>
                <w:sz w:val="18"/>
                <w:szCs w:val="18"/>
              </w:rPr>
            </w:pPr>
            <w:r w:rsidRPr="00772F91">
              <w:rPr>
                <w:sz w:val="18"/>
                <w:szCs w:val="18"/>
              </w:rPr>
              <w:t>87865</w:t>
            </w:r>
          </w:p>
        </w:tc>
        <w:tc>
          <w:tcPr>
            <w:tcW w:w="630" w:type="dxa"/>
            <w:vAlign w:val="center"/>
          </w:tcPr>
          <w:p w:rsidR="006943FB" w:rsidRPr="00772F91" w:rsidRDefault="006943FB" w:rsidP="006943FB">
            <w:pPr>
              <w:keepNext/>
              <w:keepLines/>
              <w:jc w:val="center"/>
              <w:rPr>
                <w:sz w:val="18"/>
                <w:szCs w:val="18"/>
              </w:rPr>
            </w:pPr>
            <w:r w:rsidRPr="00772F91">
              <w:rPr>
                <w:sz w:val="18"/>
                <w:szCs w:val="18"/>
              </w:rPr>
              <w:t>2.0</w:t>
            </w:r>
          </w:p>
        </w:tc>
        <w:tc>
          <w:tcPr>
            <w:tcW w:w="252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24-hour Composite</w:t>
            </w:r>
          </w:p>
        </w:tc>
        <w:tc>
          <w:tcPr>
            <w:tcW w:w="222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Daily Values</w:t>
            </w:r>
          </w:p>
        </w:tc>
      </w:tr>
      <w:tr w:rsidR="006943FB" w:rsidRPr="00AF304B" w:rsidTr="006943FB">
        <w:trPr>
          <w:trHeight w:val="259"/>
          <w:jc w:val="center"/>
        </w:trPr>
        <w:tc>
          <w:tcPr>
            <w:tcW w:w="240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Phenol</w:t>
            </w:r>
          </w:p>
        </w:tc>
        <w:tc>
          <w:tcPr>
            <w:tcW w:w="900" w:type="dxa"/>
            <w:vAlign w:val="center"/>
          </w:tcPr>
          <w:p w:rsidR="006943FB" w:rsidRPr="00772F91" w:rsidRDefault="006943FB" w:rsidP="006943FB">
            <w:pPr>
              <w:keepNext/>
              <w:keepLines/>
              <w:jc w:val="center"/>
              <w:rPr>
                <w:sz w:val="18"/>
                <w:szCs w:val="18"/>
              </w:rPr>
            </w:pPr>
            <w:r w:rsidRPr="00772F91">
              <w:rPr>
                <w:sz w:val="18"/>
                <w:szCs w:val="18"/>
              </w:rPr>
              <w:t>108952</w:t>
            </w:r>
          </w:p>
        </w:tc>
        <w:tc>
          <w:tcPr>
            <w:tcW w:w="630" w:type="dxa"/>
            <w:vAlign w:val="center"/>
          </w:tcPr>
          <w:p w:rsidR="006943FB" w:rsidRPr="00772F91" w:rsidRDefault="006943FB" w:rsidP="006943FB">
            <w:pPr>
              <w:keepNext/>
              <w:keepLines/>
              <w:jc w:val="center"/>
              <w:rPr>
                <w:sz w:val="18"/>
                <w:szCs w:val="18"/>
              </w:rPr>
            </w:pPr>
            <w:r w:rsidRPr="00772F91">
              <w:rPr>
                <w:sz w:val="18"/>
                <w:szCs w:val="18"/>
              </w:rPr>
              <w:t>1.0</w:t>
            </w:r>
          </w:p>
        </w:tc>
        <w:tc>
          <w:tcPr>
            <w:tcW w:w="252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24-hour Composite</w:t>
            </w:r>
          </w:p>
        </w:tc>
        <w:tc>
          <w:tcPr>
            <w:tcW w:w="222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Daily Values</w:t>
            </w:r>
          </w:p>
        </w:tc>
      </w:tr>
      <w:tr w:rsidR="006943FB" w:rsidRPr="00AF304B" w:rsidTr="00772F91">
        <w:trPr>
          <w:trHeight w:val="65"/>
          <w:jc w:val="center"/>
        </w:trPr>
        <w:tc>
          <w:tcPr>
            <w:tcW w:w="240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2,4,5-Trichlorophenol</w:t>
            </w:r>
          </w:p>
        </w:tc>
        <w:tc>
          <w:tcPr>
            <w:tcW w:w="900" w:type="dxa"/>
            <w:vAlign w:val="center"/>
          </w:tcPr>
          <w:p w:rsidR="006943FB" w:rsidRPr="00772F91" w:rsidRDefault="006943FB" w:rsidP="006943FB">
            <w:pPr>
              <w:keepNext/>
              <w:keepLines/>
              <w:jc w:val="center"/>
              <w:rPr>
                <w:sz w:val="18"/>
                <w:szCs w:val="18"/>
              </w:rPr>
            </w:pPr>
            <w:r w:rsidRPr="00772F91">
              <w:rPr>
                <w:sz w:val="18"/>
                <w:szCs w:val="18"/>
              </w:rPr>
              <w:t>95954</w:t>
            </w:r>
          </w:p>
        </w:tc>
        <w:tc>
          <w:tcPr>
            <w:tcW w:w="630" w:type="dxa"/>
            <w:vAlign w:val="center"/>
          </w:tcPr>
          <w:p w:rsidR="006943FB" w:rsidRPr="00772F91" w:rsidRDefault="006943FB" w:rsidP="006943FB">
            <w:pPr>
              <w:keepNext/>
              <w:keepLines/>
              <w:jc w:val="center"/>
              <w:rPr>
                <w:sz w:val="18"/>
                <w:szCs w:val="18"/>
              </w:rPr>
            </w:pPr>
            <w:r w:rsidRPr="00772F91">
              <w:rPr>
                <w:sz w:val="18"/>
                <w:szCs w:val="18"/>
              </w:rPr>
              <w:t>2.0</w:t>
            </w:r>
          </w:p>
        </w:tc>
        <w:tc>
          <w:tcPr>
            <w:tcW w:w="252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vAlign w:val="center"/>
          </w:tcPr>
          <w:p w:rsidR="006943FB" w:rsidRPr="00772F91" w:rsidRDefault="006943FB" w:rsidP="006943FB">
            <w:pPr>
              <w:jc w:val="center"/>
              <w:rPr>
                <w:rFonts w:ascii="Arial" w:hAnsi="Arial" w:cs="Arial"/>
                <w:sz w:val="18"/>
                <w:szCs w:val="18"/>
                <w:vertAlign w:val="superscript"/>
              </w:rPr>
            </w:pPr>
            <w:r w:rsidRPr="00772F91">
              <w:rPr>
                <w:rFonts w:ascii="Arial" w:hAnsi="Arial" w:cs="Arial"/>
                <w:sz w:val="18"/>
                <w:szCs w:val="18"/>
              </w:rPr>
              <w:t>24-hour Composite</w:t>
            </w:r>
          </w:p>
        </w:tc>
        <w:tc>
          <w:tcPr>
            <w:tcW w:w="222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Daily Values</w:t>
            </w:r>
          </w:p>
        </w:tc>
      </w:tr>
      <w:tr w:rsidR="006943FB" w:rsidRPr="00AF304B" w:rsidTr="006943FB">
        <w:trPr>
          <w:trHeight w:val="259"/>
          <w:jc w:val="center"/>
        </w:trPr>
        <w:tc>
          <w:tcPr>
            <w:tcW w:w="240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2,4,6-Trichlorophenol</w:t>
            </w:r>
          </w:p>
        </w:tc>
        <w:tc>
          <w:tcPr>
            <w:tcW w:w="900" w:type="dxa"/>
            <w:vAlign w:val="center"/>
          </w:tcPr>
          <w:p w:rsidR="006943FB" w:rsidRPr="00772F91" w:rsidRDefault="006943FB" w:rsidP="006943FB">
            <w:pPr>
              <w:keepNext/>
              <w:keepLines/>
              <w:jc w:val="center"/>
              <w:rPr>
                <w:sz w:val="18"/>
                <w:szCs w:val="18"/>
              </w:rPr>
            </w:pPr>
            <w:r w:rsidRPr="00772F91">
              <w:rPr>
                <w:sz w:val="18"/>
                <w:szCs w:val="18"/>
              </w:rPr>
              <w:t>88062</w:t>
            </w:r>
          </w:p>
        </w:tc>
        <w:tc>
          <w:tcPr>
            <w:tcW w:w="630" w:type="dxa"/>
            <w:vAlign w:val="center"/>
          </w:tcPr>
          <w:p w:rsidR="006943FB" w:rsidRPr="00772F91" w:rsidRDefault="006943FB" w:rsidP="006943FB">
            <w:pPr>
              <w:keepNext/>
              <w:keepLines/>
              <w:jc w:val="center"/>
              <w:rPr>
                <w:sz w:val="18"/>
                <w:szCs w:val="18"/>
              </w:rPr>
            </w:pPr>
            <w:r w:rsidRPr="00772F91">
              <w:rPr>
                <w:sz w:val="18"/>
                <w:szCs w:val="18"/>
              </w:rPr>
              <w:t>1.0</w:t>
            </w:r>
          </w:p>
        </w:tc>
        <w:tc>
          <w:tcPr>
            <w:tcW w:w="252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1/Quarter, when discharging</w:t>
            </w:r>
          </w:p>
        </w:tc>
        <w:tc>
          <w:tcPr>
            <w:tcW w:w="1890"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24-hour Composite</w:t>
            </w:r>
          </w:p>
        </w:tc>
        <w:tc>
          <w:tcPr>
            <w:tcW w:w="2221" w:type="dxa"/>
            <w:vAlign w:val="center"/>
          </w:tcPr>
          <w:p w:rsidR="006943FB" w:rsidRPr="00772F91" w:rsidRDefault="006943FB" w:rsidP="006943FB">
            <w:pPr>
              <w:jc w:val="center"/>
              <w:rPr>
                <w:rFonts w:ascii="Arial" w:hAnsi="Arial" w:cs="Arial"/>
                <w:sz w:val="18"/>
                <w:szCs w:val="18"/>
              </w:rPr>
            </w:pPr>
            <w:r w:rsidRPr="00772F91">
              <w:rPr>
                <w:rFonts w:ascii="Arial" w:hAnsi="Arial" w:cs="Arial"/>
                <w:sz w:val="18"/>
                <w:szCs w:val="18"/>
              </w:rPr>
              <w:t>Daily Values</w:t>
            </w:r>
          </w:p>
        </w:tc>
      </w:tr>
    </w:tbl>
    <w:p w:rsidR="00ED3F8A" w:rsidRDefault="00ED3F8A" w:rsidP="00CC7048">
      <w:pPr>
        <w:pStyle w:val="BodyText"/>
        <w:tabs>
          <w:tab w:val="left" w:pos="0"/>
        </w:tabs>
        <w:ind w:left="1091" w:right="450" w:hanging="371"/>
        <w:outlineLvl w:val="0"/>
        <w:rPr>
          <w:sz w:val="20"/>
          <w:szCs w:val="20"/>
          <w:u w:val="single"/>
        </w:rPr>
      </w:pPr>
    </w:p>
    <w:p w:rsidR="00D469ED" w:rsidRPr="00ED3F8A" w:rsidRDefault="00D469ED" w:rsidP="00CC7048">
      <w:pPr>
        <w:pStyle w:val="BodyText"/>
        <w:tabs>
          <w:tab w:val="left" w:pos="0"/>
        </w:tabs>
        <w:ind w:left="1091" w:right="450" w:hanging="371"/>
        <w:outlineLvl w:val="0"/>
        <w:rPr>
          <w:sz w:val="20"/>
          <w:szCs w:val="20"/>
          <w:u w:val="single"/>
        </w:rPr>
      </w:pPr>
      <w:r w:rsidRPr="00ED3F8A">
        <w:rPr>
          <w:sz w:val="20"/>
          <w:szCs w:val="20"/>
          <w:u w:val="single"/>
        </w:rPr>
        <w:t xml:space="preserve">Table </w:t>
      </w:r>
      <w:r w:rsidR="00113B65" w:rsidRPr="00ED3F8A">
        <w:rPr>
          <w:sz w:val="20"/>
          <w:szCs w:val="20"/>
          <w:u w:val="single"/>
        </w:rPr>
        <w:t>1</w:t>
      </w:r>
      <w:r w:rsidR="001D0D64" w:rsidRPr="00ED3F8A">
        <w:rPr>
          <w:sz w:val="20"/>
          <w:szCs w:val="20"/>
          <w:u w:val="single"/>
        </w:rPr>
        <w:t>1</w:t>
      </w:r>
      <w:r w:rsidR="00CC7048" w:rsidRPr="00ED3F8A">
        <w:rPr>
          <w:sz w:val="20"/>
          <w:szCs w:val="20"/>
          <w:u w:val="single"/>
        </w:rPr>
        <w:t xml:space="preserve"> Notes (included in the proposed permit):</w:t>
      </w:r>
    </w:p>
    <w:p w:rsidR="00D469ED" w:rsidRPr="00ED3F8A" w:rsidRDefault="00D469ED" w:rsidP="00CC7048">
      <w:pPr>
        <w:pStyle w:val="ListParagraph"/>
        <w:keepNext/>
        <w:keepLines/>
        <w:numPr>
          <w:ilvl w:val="0"/>
          <w:numId w:val="17"/>
        </w:numPr>
        <w:ind w:left="1080"/>
        <w:contextualSpacing/>
        <w:jc w:val="left"/>
        <w:rPr>
          <w:sz w:val="20"/>
          <w:szCs w:val="20"/>
        </w:rPr>
      </w:pPr>
      <w:r w:rsidRPr="00ED3F8A">
        <w:rPr>
          <w:sz w:val="20"/>
          <w:szCs w:val="20"/>
        </w:rPr>
        <w:t>Chemical Abstract Service</w:t>
      </w:r>
    </w:p>
    <w:p w:rsidR="00D469ED" w:rsidRPr="00ED3F8A" w:rsidRDefault="00D469ED" w:rsidP="00CC7048">
      <w:pPr>
        <w:pStyle w:val="BodyText"/>
        <w:numPr>
          <w:ilvl w:val="0"/>
          <w:numId w:val="17"/>
        </w:numPr>
        <w:tabs>
          <w:tab w:val="left" w:pos="0"/>
        </w:tabs>
        <w:spacing w:after="0"/>
        <w:ind w:left="1080" w:right="450"/>
        <w:jc w:val="left"/>
        <w:outlineLvl w:val="0"/>
        <w:rPr>
          <w:sz w:val="20"/>
          <w:szCs w:val="20"/>
        </w:rPr>
      </w:pPr>
      <w:r w:rsidRPr="00ED3F8A">
        <w:rPr>
          <w:sz w:val="20"/>
          <w:szCs w:val="20"/>
        </w:rPr>
        <w:t xml:space="preserve">Some QL’s may need methods with modification allowed by EPA’s Solutions for Analytical Chemistry Problems w/Clean Water Methods, March 2007.  </w:t>
      </w:r>
      <w:r w:rsidR="004D5880" w:rsidRPr="00ED3F8A">
        <w:rPr>
          <w:sz w:val="20"/>
          <w:szCs w:val="20"/>
        </w:rPr>
        <w:t xml:space="preserve">The units for the QL’s shown are µg/L.  </w:t>
      </w:r>
    </w:p>
    <w:p w:rsidR="00D469ED" w:rsidRPr="00ED3F8A" w:rsidRDefault="00D469ED" w:rsidP="00CC7048">
      <w:pPr>
        <w:pStyle w:val="BodyText"/>
        <w:numPr>
          <w:ilvl w:val="0"/>
          <w:numId w:val="17"/>
        </w:numPr>
        <w:tabs>
          <w:tab w:val="left" w:pos="0"/>
        </w:tabs>
        <w:spacing w:after="0"/>
        <w:ind w:left="1080" w:right="450"/>
        <w:jc w:val="left"/>
        <w:outlineLvl w:val="0"/>
        <w:rPr>
          <w:sz w:val="20"/>
          <w:szCs w:val="20"/>
        </w:rPr>
      </w:pPr>
      <w:r w:rsidRPr="00ED3F8A">
        <w:rPr>
          <w:sz w:val="20"/>
          <w:szCs w:val="20"/>
        </w:rPr>
        <w:t xml:space="preserve">Total Recoverable </w:t>
      </w:r>
    </w:p>
    <w:p w:rsidR="00D469ED" w:rsidRPr="00ED3F8A" w:rsidRDefault="00D469ED" w:rsidP="00CC7048">
      <w:pPr>
        <w:pStyle w:val="BodyText"/>
        <w:numPr>
          <w:ilvl w:val="0"/>
          <w:numId w:val="17"/>
        </w:numPr>
        <w:tabs>
          <w:tab w:val="left" w:pos="0"/>
        </w:tabs>
        <w:spacing w:after="0"/>
        <w:ind w:left="1080" w:right="450"/>
        <w:jc w:val="left"/>
        <w:outlineLvl w:val="0"/>
        <w:rPr>
          <w:sz w:val="20"/>
          <w:szCs w:val="20"/>
        </w:rPr>
      </w:pPr>
      <w:r w:rsidRPr="00ED3F8A">
        <w:rPr>
          <w:sz w:val="20"/>
          <w:szCs w:val="20"/>
        </w:rPr>
        <w:t>Arsenic Methods: Measurement of Total Arsenic meets the requirement for Inorganic Arsenic as long as the Total Arsenic is &lt; 1.0 µg/L (the QL for Inorganic Arsenic).  Otherwise, Method 1632A should be used to monitor for Inorganic Arsenic.</w:t>
      </w:r>
    </w:p>
    <w:p w:rsidR="00D469ED" w:rsidRPr="00ED3F8A" w:rsidRDefault="00D469ED" w:rsidP="00CC7048">
      <w:pPr>
        <w:pStyle w:val="BodyText"/>
        <w:numPr>
          <w:ilvl w:val="0"/>
          <w:numId w:val="17"/>
        </w:numPr>
        <w:tabs>
          <w:tab w:val="left" w:pos="0"/>
        </w:tabs>
        <w:spacing w:after="0"/>
        <w:ind w:left="1080" w:right="450"/>
        <w:jc w:val="left"/>
        <w:outlineLvl w:val="0"/>
        <w:rPr>
          <w:sz w:val="20"/>
          <w:szCs w:val="20"/>
        </w:rPr>
      </w:pPr>
      <w:r w:rsidRPr="00ED3F8A">
        <w:rPr>
          <w:sz w:val="20"/>
          <w:szCs w:val="20"/>
        </w:rPr>
        <w:t>Chromium Methods: Measurement of Total Chromium meets the requirement for Chromium III and Chromium VI as long as the Total Chromium result is &lt; 10 µg/L.</w:t>
      </w:r>
    </w:p>
    <w:p w:rsidR="00A80659" w:rsidRPr="00ED3F8A" w:rsidRDefault="00A80659" w:rsidP="00CC7048">
      <w:pPr>
        <w:pStyle w:val="BodyText"/>
        <w:numPr>
          <w:ilvl w:val="0"/>
          <w:numId w:val="17"/>
        </w:numPr>
        <w:tabs>
          <w:tab w:val="left" w:pos="0"/>
        </w:tabs>
        <w:spacing w:after="0"/>
        <w:ind w:left="1080" w:right="450"/>
        <w:jc w:val="left"/>
        <w:outlineLvl w:val="0"/>
        <w:rPr>
          <w:sz w:val="20"/>
          <w:szCs w:val="20"/>
        </w:rPr>
      </w:pPr>
      <w:r w:rsidRPr="00ED3F8A">
        <w:rPr>
          <w:sz w:val="20"/>
          <w:szCs w:val="20"/>
        </w:rPr>
        <w:t xml:space="preserve">Total Recoverable </w:t>
      </w:r>
      <w:r w:rsidRPr="00ED3F8A">
        <w:rPr>
          <w:sz w:val="20"/>
          <w:szCs w:val="20"/>
          <w:u w:val="single"/>
        </w:rPr>
        <w:t>and</w:t>
      </w:r>
      <w:r w:rsidRPr="00ED3F8A">
        <w:rPr>
          <w:sz w:val="20"/>
          <w:szCs w:val="20"/>
        </w:rPr>
        <w:t xml:space="preserve"> Dissolved</w:t>
      </w:r>
    </w:p>
    <w:p w:rsidR="00ED3F8A" w:rsidRPr="00ED3F8A" w:rsidRDefault="00ED3F8A" w:rsidP="00ED3F8A">
      <w:pPr>
        <w:pStyle w:val="BodyText"/>
        <w:numPr>
          <w:ilvl w:val="0"/>
          <w:numId w:val="17"/>
        </w:numPr>
        <w:tabs>
          <w:tab w:val="left" w:pos="0"/>
        </w:tabs>
        <w:spacing w:after="0"/>
        <w:ind w:left="1080" w:right="446"/>
        <w:jc w:val="left"/>
        <w:outlineLvl w:val="0"/>
        <w:rPr>
          <w:sz w:val="20"/>
          <w:szCs w:val="20"/>
        </w:rPr>
      </w:pPr>
      <w:r w:rsidRPr="00ED3F8A">
        <w:rPr>
          <w:sz w:val="20"/>
          <w:szCs w:val="20"/>
        </w:rPr>
        <w:t xml:space="preserve">When sampling for Cyanide, at least six discrete grab samples must be collected over the operating day with samples collected no less than one hour apart. The aliquot must be at least 100 </w:t>
      </w:r>
      <w:proofErr w:type="spellStart"/>
      <w:r w:rsidRPr="00ED3F8A">
        <w:rPr>
          <w:sz w:val="20"/>
          <w:szCs w:val="20"/>
        </w:rPr>
        <w:t>mL</w:t>
      </w:r>
      <w:proofErr w:type="spellEnd"/>
      <w:r w:rsidRPr="00ED3F8A">
        <w:rPr>
          <w:sz w:val="20"/>
          <w:szCs w:val="20"/>
        </w:rPr>
        <w:t xml:space="preserve"> and collected and composited into a larger container that has been preserved with sodium hydroxide to insure sample integrity.</w:t>
      </w:r>
    </w:p>
    <w:p w:rsidR="00ED3F8A" w:rsidRPr="00ED3F8A" w:rsidRDefault="00ED3F8A" w:rsidP="00ED3F8A">
      <w:pPr>
        <w:pStyle w:val="BodyText"/>
        <w:numPr>
          <w:ilvl w:val="0"/>
          <w:numId w:val="17"/>
        </w:numPr>
        <w:tabs>
          <w:tab w:val="left" w:pos="0"/>
        </w:tabs>
        <w:spacing w:after="0"/>
        <w:ind w:left="1080" w:right="450"/>
        <w:jc w:val="left"/>
        <w:outlineLvl w:val="0"/>
        <w:rPr>
          <w:sz w:val="20"/>
          <w:szCs w:val="20"/>
        </w:rPr>
      </w:pPr>
      <w:r w:rsidRPr="00ED3F8A">
        <w:rPr>
          <w:sz w:val="20"/>
          <w:szCs w:val="20"/>
        </w:rPr>
        <w:t xml:space="preserve">When sampling for VOCs six discrete samples (not less than 40 </w:t>
      </w:r>
      <w:proofErr w:type="spellStart"/>
      <w:r w:rsidRPr="00ED3F8A">
        <w:rPr>
          <w:sz w:val="20"/>
          <w:szCs w:val="20"/>
        </w:rPr>
        <w:t>mL</w:t>
      </w:r>
      <w:proofErr w:type="spellEnd"/>
      <w:r w:rsidRPr="00ED3F8A">
        <w:rPr>
          <w:sz w:val="20"/>
          <w:szCs w:val="20"/>
        </w:rPr>
        <w:t xml:space="preserve">) must be collected over the operating day at intervals of at least one hour.  The samples may be analyzed separately or composited.  If analyzed separately, the analytical results for all samples must be averaged for reporting purposes.  If composited, they must be proportionally composited in the laboratory at the time of analysis and this must be done in a manner that maintains the integrity of the samples and prevents the loss of volatile </w:t>
      </w:r>
      <w:proofErr w:type="spellStart"/>
      <w:r w:rsidRPr="00ED3F8A">
        <w:rPr>
          <w:sz w:val="20"/>
          <w:szCs w:val="20"/>
        </w:rPr>
        <w:t>analytes</w:t>
      </w:r>
      <w:proofErr w:type="spellEnd"/>
      <w:r w:rsidRPr="00ED3F8A">
        <w:rPr>
          <w:sz w:val="20"/>
          <w:szCs w:val="20"/>
        </w:rPr>
        <w:t xml:space="preserve">. The quantitation limits listed above remain in effect for composite samples.  </w:t>
      </w:r>
    </w:p>
    <w:p w:rsidR="00D469ED" w:rsidRPr="00D469ED" w:rsidRDefault="00D469ED">
      <w:pPr>
        <w:jc w:val="left"/>
        <w:rPr>
          <w:rFonts w:cs="Times New Roman"/>
          <w:bCs/>
          <w:sz w:val="22"/>
          <w:szCs w:val="22"/>
        </w:rPr>
      </w:pPr>
      <w:r w:rsidRPr="00D469ED">
        <w:rPr>
          <w:rFonts w:cs="Times New Roman"/>
          <w:bCs/>
          <w:sz w:val="22"/>
          <w:szCs w:val="22"/>
        </w:rPr>
        <w:lastRenderedPageBreak/>
        <w:t>Schedule B of the proposed permit also includes a table (Table B3 in the permit)</w:t>
      </w:r>
      <w:r w:rsidR="00CC7048">
        <w:rPr>
          <w:rFonts w:cs="Times New Roman"/>
          <w:bCs/>
          <w:sz w:val="22"/>
          <w:szCs w:val="22"/>
        </w:rPr>
        <w:t xml:space="preserve"> </w:t>
      </w:r>
      <w:r w:rsidRPr="00D469ED">
        <w:rPr>
          <w:rFonts w:cs="Times New Roman"/>
          <w:bCs/>
          <w:sz w:val="22"/>
          <w:szCs w:val="22"/>
        </w:rPr>
        <w:t>specifying the permit’s minimum report requ</w:t>
      </w:r>
      <w:r w:rsidR="00FD5D1F">
        <w:rPr>
          <w:rFonts w:cs="Times New Roman"/>
          <w:bCs/>
          <w:sz w:val="22"/>
          <w:szCs w:val="22"/>
        </w:rPr>
        <w:t>irements and due dates (Table 1</w:t>
      </w:r>
      <w:r w:rsidR="006F721C">
        <w:rPr>
          <w:rFonts w:cs="Times New Roman"/>
          <w:bCs/>
          <w:sz w:val="22"/>
          <w:szCs w:val="22"/>
        </w:rPr>
        <w:t>2</w:t>
      </w:r>
      <w:r w:rsidRPr="00D469ED">
        <w:rPr>
          <w:rFonts w:cs="Times New Roman"/>
          <w:bCs/>
          <w:sz w:val="22"/>
          <w:szCs w:val="22"/>
        </w:rPr>
        <w:t>, below).</w:t>
      </w:r>
    </w:p>
    <w:p w:rsidR="00D469ED" w:rsidRDefault="00D469ED">
      <w:pPr>
        <w:jc w:val="left"/>
        <w:rPr>
          <w:rFonts w:cs="Times New Roman"/>
          <w:b/>
          <w:bCs/>
        </w:rPr>
      </w:pPr>
    </w:p>
    <w:p w:rsidR="00FD5D1F" w:rsidRDefault="00FD5D1F">
      <w:pPr>
        <w:jc w:val="left"/>
        <w:rPr>
          <w:rFonts w:cs="Times New Roman"/>
          <w:b/>
          <w:bCs/>
        </w:rPr>
      </w:pPr>
    </w:p>
    <w:tbl>
      <w:tblPr>
        <w:tblStyle w:val="TableGrid"/>
        <w:tblW w:w="9855" w:type="dxa"/>
        <w:jc w:val="center"/>
        <w:tblLayout w:type="fixed"/>
        <w:tblLook w:val="04A0"/>
      </w:tblPr>
      <w:tblGrid>
        <w:gridCol w:w="2565"/>
        <w:gridCol w:w="1710"/>
        <w:gridCol w:w="1620"/>
        <w:gridCol w:w="1913"/>
        <w:gridCol w:w="2047"/>
      </w:tblGrid>
      <w:tr w:rsidR="00D469ED" w:rsidRPr="00731D45" w:rsidTr="00D469ED">
        <w:trPr>
          <w:cantSplit/>
          <w:trHeight w:val="432"/>
          <w:tblHeader/>
          <w:jc w:val="center"/>
        </w:trPr>
        <w:tc>
          <w:tcPr>
            <w:tcW w:w="9855" w:type="dxa"/>
            <w:gridSpan w:val="5"/>
            <w:shd w:val="clear" w:color="auto" w:fill="D9D9D9" w:themeFill="background1" w:themeFillShade="D9"/>
            <w:vAlign w:val="center"/>
          </w:tcPr>
          <w:p w:rsidR="00D469ED" w:rsidRPr="00156422" w:rsidRDefault="00FD5D1F" w:rsidP="001D0D64">
            <w:pPr>
              <w:jc w:val="center"/>
              <w:rPr>
                <w:rFonts w:ascii="Arial" w:hAnsi="Arial" w:cs="Arial"/>
                <w:b/>
                <w:sz w:val="22"/>
                <w:szCs w:val="22"/>
              </w:rPr>
            </w:pPr>
            <w:r>
              <w:rPr>
                <w:rFonts w:ascii="Arial" w:hAnsi="Arial" w:cs="Arial"/>
                <w:b/>
                <w:sz w:val="22"/>
                <w:szCs w:val="22"/>
              </w:rPr>
              <w:t>Table 1</w:t>
            </w:r>
            <w:r w:rsidR="001D0D64">
              <w:rPr>
                <w:rFonts w:ascii="Arial" w:hAnsi="Arial" w:cs="Arial"/>
                <w:b/>
                <w:sz w:val="22"/>
                <w:szCs w:val="22"/>
              </w:rPr>
              <w:t>2</w:t>
            </w:r>
            <w:r w:rsidR="00D469ED" w:rsidRPr="00156422">
              <w:rPr>
                <w:rFonts w:ascii="Arial" w:hAnsi="Arial" w:cs="Arial"/>
                <w:b/>
                <w:sz w:val="22"/>
                <w:szCs w:val="22"/>
              </w:rPr>
              <w:t>: Minimum Reporting Requirements and Due Dates</w:t>
            </w:r>
          </w:p>
        </w:tc>
      </w:tr>
      <w:tr w:rsidR="00D469ED" w:rsidRPr="00731D45" w:rsidTr="00D469ED">
        <w:trPr>
          <w:cantSplit/>
          <w:trHeight w:val="432"/>
          <w:tblHeader/>
          <w:jc w:val="center"/>
        </w:trPr>
        <w:tc>
          <w:tcPr>
            <w:tcW w:w="2565" w:type="dxa"/>
            <w:shd w:val="clear" w:color="auto" w:fill="D9D9D9" w:themeFill="background1" w:themeFillShade="D9"/>
            <w:vAlign w:val="center"/>
          </w:tcPr>
          <w:p w:rsidR="00D469ED" w:rsidRPr="00D469ED" w:rsidRDefault="00D469ED" w:rsidP="00D469ED">
            <w:pPr>
              <w:jc w:val="center"/>
              <w:rPr>
                <w:rFonts w:ascii="Arial" w:hAnsi="Arial" w:cs="Arial"/>
                <w:b/>
                <w:sz w:val="18"/>
                <w:szCs w:val="18"/>
              </w:rPr>
            </w:pPr>
            <w:r w:rsidRPr="00D469ED">
              <w:rPr>
                <w:rFonts w:ascii="Arial" w:hAnsi="Arial" w:cs="Arial"/>
                <w:b/>
                <w:sz w:val="18"/>
                <w:szCs w:val="18"/>
              </w:rPr>
              <w:t>Reporting Requirement</w:t>
            </w:r>
          </w:p>
        </w:tc>
        <w:tc>
          <w:tcPr>
            <w:tcW w:w="1710" w:type="dxa"/>
            <w:shd w:val="clear" w:color="auto" w:fill="D9D9D9" w:themeFill="background1" w:themeFillShade="D9"/>
            <w:vAlign w:val="center"/>
          </w:tcPr>
          <w:p w:rsidR="00D469ED" w:rsidRPr="00D469ED" w:rsidRDefault="00D469ED" w:rsidP="00D469ED">
            <w:pPr>
              <w:jc w:val="center"/>
              <w:rPr>
                <w:rFonts w:ascii="Arial" w:hAnsi="Arial" w:cs="Arial"/>
                <w:b/>
                <w:sz w:val="18"/>
                <w:szCs w:val="18"/>
              </w:rPr>
            </w:pPr>
            <w:r w:rsidRPr="00D469ED">
              <w:rPr>
                <w:rFonts w:ascii="Arial" w:hAnsi="Arial" w:cs="Arial"/>
                <w:b/>
                <w:sz w:val="18"/>
                <w:szCs w:val="18"/>
              </w:rPr>
              <w:t>Frequency</w:t>
            </w:r>
          </w:p>
        </w:tc>
        <w:tc>
          <w:tcPr>
            <w:tcW w:w="1620" w:type="dxa"/>
            <w:shd w:val="clear" w:color="auto" w:fill="D9D9D9" w:themeFill="background1" w:themeFillShade="D9"/>
            <w:vAlign w:val="center"/>
          </w:tcPr>
          <w:p w:rsidR="00D469ED" w:rsidRPr="00D469ED" w:rsidRDefault="00D469ED" w:rsidP="00D469ED">
            <w:pPr>
              <w:jc w:val="center"/>
              <w:rPr>
                <w:rFonts w:ascii="Arial" w:hAnsi="Arial" w:cs="Arial"/>
                <w:b/>
                <w:sz w:val="18"/>
                <w:szCs w:val="18"/>
              </w:rPr>
            </w:pPr>
            <w:r w:rsidRPr="00D469ED">
              <w:rPr>
                <w:rFonts w:ascii="Arial" w:hAnsi="Arial" w:cs="Arial"/>
                <w:b/>
                <w:sz w:val="18"/>
                <w:szCs w:val="18"/>
              </w:rPr>
              <w:t>Due Date</w:t>
            </w:r>
          </w:p>
        </w:tc>
        <w:tc>
          <w:tcPr>
            <w:tcW w:w="1913" w:type="dxa"/>
            <w:shd w:val="clear" w:color="auto" w:fill="D9D9D9" w:themeFill="background1" w:themeFillShade="D9"/>
            <w:vAlign w:val="center"/>
          </w:tcPr>
          <w:p w:rsidR="00D469ED" w:rsidRPr="00D469ED" w:rsidRDefault="00D469ED" w:rsidP="00D469ED">
            <w:pPr>
              <w:jc w:val="center"/>
              <w:rPr>
                <w:rFonts w:ascii="Arial" w:hAnsi="Arial" w:cs="Arial"/>
                <w:b/>
                <w:sz w:val="18"/>
                <w:szCs w:val="18"/>
                <w:vertAlign w:val="superscript"/>
              </w:rPr>
            </w:pPr>
            <w:r w:rsidRPr="00D469ED">
              <w:rPr>
                <w:rFonts w:ascii="Arial" w:hAnsi="Arial" w:cs="Arial"/>
                <w:b/>
                <w:sz w:val="18"/>
                <w:szCs w:val="18"/>
              </w:rPr>
              <w:t>Report Form (unless otherwise specified in writing)</w:t>
            </w:r>
          </w:p>
        </w:tc>
        <w:tc>
          <w:tcPr>
            <w:tcW w:w="2047" w:type="dxa"/>
            <w:shd w:val="clear" w:color="auto" w:fill="D9D9D9" w:themeFill="background1" w:themeFillShade="D9"/>
            <w:vAlign w:val="center"/>
          </w:tcPr>
          <w:p w:rsidR="00D469ED" w:rsidRPr="00D469ED" w:rsidRDefault="00D469ED" w:rsidP="00D469ED">
            <w:pPr>
              <w:jc w:val="center"/>
              <w:rPr>
                <w:rFonts w:ascii="Arial" w:hAnsi="Arial" w:cs="Arial"/>
                <w:b/>
                <w:sz w:val="18"/>
                <w:szCs w:val="18"/>
              </w:rPr>
            </w:pPr>
            <w:r w:rsidRPr="00D469ED">
              <w:rPr>
                <w:rFonts w:ascii="Arial" w:hAnsi="Arial" w:cs="Arial"/>
                <w:b/>
                <w:sz w:val="18"/>
                <w:szCs w:val="18"/>
              </w:rPr>
              <w:t>Submit To:</w:t>
            </w:r>
          </w:p>
        </w:tc>
      </w:tr>
      <w:tr w:rsidR="00D469ED" w:rsidRPr="00731D45" w:rsidTr="00D469ED">
        <w:trPr>
          <w:cantSplit/>
          <w:trHeight w:val="1475"/>
          <w:jc w:val="center"/>
        </w:trPr>
        <w:tc>
          <w:tcPr>
            <w:tcW w:w="2565" w:type="dxa"/>
            <w:vAlign w:val="center"/>
          </w:tcPr>
          <w:p w:rsidR="00D469ED" w:rsidRPr="00D469ED" w:rsidRDefault="00D469ED" w:rsidP="00D469ED">
            <w:pPr>
              <w:jc w:val="center"/>
              <w:rPr>
                <w:rFonts w:ascii="Arial" w:hAnsi="Arial" w:cs="Arial"/>
                <w:bCs/>
                <w:sz w:val="18"/>
                <w:szCs w:val="18"/>
              </w:rPr>
            </w:pPr>
            <w:r w:rsidRPr="00D469ED">
              <w:rPr>
                <w:rFonts w:ascii="Arial" w:hAnsi="Arial" w:cs="Arial"/>
                <w:sz w:val="18"/>
                <w:szCs w:val="18"/>
              </w:rPr>
              <w:t>Table B.1: Outfall 001 Compliance Monitoring</w:t>
            </w:r>
          </w:p>
        </w:tc>
        <w:tc>
          <w:tcPr>
            <w:tcW w:w="1710" w:type="dxa"/>
            <w:vAlign w:val="center"/>
          </w:tcPr>
          <w:p w:rsidR="00D469ED" w:rsidRPr="00D469ED" w:rsidRDefault="00D469ED" w:rsidP="00D469ED">
            <w:pPr>
              <w:jc w:val="center"/>
              <w:rPr>
                <w:rFonts w:ascii="Arial" w:hAnsi="Arial" w:cs="Arial"/>
                <w:sz w:val="18"/>
                <w:szCs w:val="18"/>
                <w:highlight w:val="yellow"/>
              </w:rPr>
            </w:pPr>
            <w:r w:rsidRPr="00D469ED">
              <w:rPr>
                <w:rFonts w:ascii="Arial" w:hAnsi="Arial" w:cs="Arial"/>
                <w:sz w:val="18"/>
                <w:szCs w:val="18"/>
              </w:rPr>
              <w:t>Monthly</w:t>
            </w:r>
          </w:p>
        </w:tc>
        <w:tc>
          <w:tcPr>
            <w:tcW w:w="1620" w:type="dxa"/>
            <w:vAlign w:val="center"/>
          </w:tcPr>
          <w:p w:rsidR="00D469ED" w:rsidRPr="00D469ED" w:rsidRDefault="00D469ED" w:rsidP="00D469ED">
            <w:pPr>
              <w:jc w:val="center"/>
              <w:rPr>
                <w:rFonts w:ascii="Arial" w:hAnsi="Arial" w:cs="Arial"/>
                <w:sz w:val="18"/>
                <w:szCs w:val="18"/>
                <w:highlight w:val="yellow"/>
              </w:rPr>
            </w:pPr>
            <w:r w:rsidRPr="00D469ED">
              <w:rPr>
                <w:rFonts w:ascii="Arial" w:hAnsi="Arial" w:cs="Arial"/>
                <w:sz w:val="18"/>
                <w:szCs w:val="18"/>
              </w:rPr>
              <w:t>15</w:t>
            </w:r>
            <w:r w:rsidRPr="00D469ED">
              <w:rPr>
                <w:rFonts w:ascii="Arial" w:hAnsi="Arial" w:cs="Arial"/>
                <w:sz w:val="18"/>
                <w:szCs w:val="18"/>
                <w:vertAlign w:val="superscript"/>
              </w:rPr>
              <w:t>th</w:t>
            </w:r>
            <w:r w:rsidRPr="00D469ED">
              <w:rPr>
                <w:rFonts w:ascii="Arial" w:hAnsi="Arial" w:cs="Arial"/>
                <w:sz w:val="18"/>
                <w:szCs w:val="18"/>
              </w:rPr>
              <w:t xml:space="preserve"> day of the month following data collection</w:t>
            </w:r>
          </w:p>
        </w:tc>
        <w:tc>
          <w:tcPr>
            <w:tcW w:w="1913" w:type="dxa"/>
            <w:vAlign w:val="center"/>
          </w:tcPr>
          <w:p w:rsidR="00D469ED" w:rsidRPr="00D469ED" w:rsidRDefault="00D469ED" w:rsidP="00D469ED">
            <w:pPr>
              <w:jc w:val="center"/>
              <w:rPr>
                <w:rFonts w:ascii="Arial" w:hAnsi="Arial" w:cs="Arial"/>
                <w:sz w:val="18"/>
                <w:szCs w:val="18"/>
              </w:rPr>
            </w:pPr>
            <w:r w:rsidRPr="00D469ED">
              <w:rPr>
                <w:rFonts w:ascii="Arial" w:hAnsi="Arial" w:cs="Arial"/>
                <w:sz w:val="18"/>
                <w:szCs w:val="18"/>
              </w:rPr>
              <w:t>DEQ-approved discharge monitoring report (DMR) form. (See Note)</w:t>
            </w:r>
          </w:p>
        </w:tc>
        <w:tc>
          <w:tcPr>
            <w:tcW w:w="2047" w:type="dxa"/>
            <w:vAlign w:val="center"/>
          </w:tcPr>
          <w:p w:rsidR="00D469ED" w:rsidRPr="00D469ED" w:rsidRDefault="00D469ED" w:rsidP="00D469ED">
            <w:pPr>
              <w:jc w:val="center"/>
              <w:rPr>
                <w:rFonts w:ascii="Arial" w:hAnsi="Arial" w:cs="Arial"/>
                <w:sz w:val="18"/>
                <w:szCs w:val="18"/>
              </w:rPr>
            </w:pPr>
            <w:r w:rsidRPr="00D469ED">
              <w:rPr>
                <w:rFonts w:ascii="Arial" w:hAnsi="Arial" w:cs="Arial"/>
                <w:sz w:val="18"/>
                <w:szCs w:val="18"/>
              </w:rPr>
              <w:t>DEQ Regional Office, Water Quality Program</w:t>
            </w:r>
          </w:p>
        </w:tc>
      </w:tr>
      <w:tr w:rsidR="00D469ED" w:rsidRPr="00731D45" w:rsidTr="00D469ED">
        <w:trPr>
          <w:cantSplit/>
          <w:trHeight w:val="917"/>
          <w:jc w:val="center"/>
        </w:trPr>
        <w:tc>
          <w:tcPr>
            <w:tcW w:w="2565" w:type="dxa"/>
            <w:vAlign w:val="center"/>
          </w:tcPr>
          <w:p w:rsidR="00D469ED" w:rsidRPr="00D469ED" w:rsidRDefault="00D469ED" w:rsidP="00D469ED">
            <w:pPr>
              <w:jc w:val="center"/>
              <w:rPr>
                <w:rFonts w:ascii="Arial" w:hAnsi="Arial" w:cs="Arial"/>
                <w:bCs/>
                <w:sz w:val="18"/>
                <w:szCs w:val="18"/>
              </w:rPr>
            </w:pPr>
            <w:r w:rsidRPr="00D469ED">
              <w:rPr>
                <w:rFonts w:ascii="Arial" w:hAnsi="Arial" w:cs="Arial"/>
                <w:sz w:val="18"/>
                <w:szCs w:val="18"/>
              </w:rPr>
              <w:t>Table B.2: Outfall 001 Characterization Monitoring</w:t>
            </w:r>
          </w:p>
        </w:tc>
        <w:tc>
          <w:tcPr>
            <w:tcW w:w="1710" w:type="dxa"/>
            <w:vAlign w:val="center"/>
          </w:tcPr>
          <w:p w:rsidR="00D469ED" w:rsidRPr="00D469ED" w:rsidRDefault="00D469ED" w:rsidP="00D469ED">
            <w:pPr>
              <w:jc w:val="center"/>
              <w:rPr>
                <w:rFonts w:ascii="Arial" w:hAnsi="Arial" w:cs="Arial"/>
                <w:sz w:val="18"/>
                <w:szCs w:val="18"/>
              </w:rPr>
            </w:pPr>
            <w:r w:rsidRPr="00D469ED">
              <w:rPr>
                <w:rFonts w:ascii="Arial" w:hAnsi="Arial" w:cs="Arial"/>
                <w:sz w:val="18"/>
                <w:szCs w:val="18"/>
              </w:rPr>
              <w:t>Quarterly</w:t>
            </w:r>
          </w:p>
        </w:tc>
        <w:tc>
          <w:tcPr>
            <w:tcW w:w="1620" w:type="dxa"/>
            <w:vAlign w:val="center"/>
          </w:tcPr>
          <w:p w:rsidR="00D469ED" w:rsidRPr="00D469ED" w:rsidRDefault="00D469ED" w:rsidP="00D469ED">
            <w:pPr>
              <w:jc w:val="center"/>
              <w:rPr>
                <w:rFonts w:ascii="Arial" w:hAnsi="Arial" w:cs="Arial"/>
                <w:i/>
                <w:sz w:val="18"/>
                <w:szCs w:val="18"/>
                <w:highlight w:val="yellow"/>
              </w:rPr>
            </w:pPr>
          </w:p>
        </w:tc>
        <w:tc>
          <w:tcPr>
            <w:tcW w:w="1913" w:type="dxa"/>
            <w:vAlign w:val="center"/>
          </w:tcPr>
          <w:p w:rsidR="00D469ED" w:rsidRPr="00D469ED" w:rsidRDefault="00D469ED" w:rsidP="00D469ED">
            <w:pPr>
              <w:jc w:val="center"/>
              <w:rPr>
                <w:rFonts w:ascii="Arial" w:hAnsi="Arial" w:cs="Arial"/>
                <w:sz w:val="18"/>
                <w:szCs w:val="18"/>
              </w:rPr>
            </w:pPr>
            <w:r w:rsidRPr="00D469ED">
              <w:rPr>
                <w:rFonts w:ascii="Arial" w:hAnsi="Arial" w:cs="Arial"/>
                <w:sz w:val="18"/>
                <w:szCs w:val="18"/>
              </w:rPr>
              <w:t>1 hard copy and 1 electronic copy</w:t>
            </w:r>
          </w:p>
        </w:tc>
        <w:tc>
          <w:tcPr>
            <w:tcW w:w="2047" w:type="dxa"/>
            <w:vAlign w:val="center"/>
          </w:tcPr>
          <w:p w:rsidR="00D469ED" w:rsidRPr="00D469ED" w:rsidRDefault="00D469ED" w:rsidP="00D469ED">
            <w:pPr>
              <w:jc w:val="center"/>
              <w:rPr>
                <w:rFonts w:ascii="Arial" w:hAnsi="Arial" w:cs="Arial"/>
                <w:sz w:val="18"/>
                <w:szCs w:val="18"/>
              </w:rPr>
            </w:pPr>
            <w:r w:rsidRPr="00D469ED">
              <w:rPr>
                <w:rFonts w:ascii="Arial" w:hAnsi="Arial" w:cs="Arial"/>
                <w:sz w:val="18"/>
                <w:szCs w:val="18"/>
              </w:rPr>
              <w:t>DEQ Regional Office, Water Quality Program</w:t>
            </w:r>
          </w:p>
        </w:tc>
      </w:tr>
      <w:tr w:rsidR="00D469ED" w:rsidRPr="00731D45" w:rsidTr="00D469ED">
        <w:trPr>
          <w:cantSplit/>
          <w:trHeight w:val="1520"/>
          <w:jc w:val="center"/>
        </w:trPr>
        <w:tc>
          <w:tcPr>
            <w:tcW w:w="2565" w:type="dxa"/>
            <w:vAlign w:val="center"/>
          </w:tcPr>
          <w:p w:rsidR="00D469ED" w:rsidRPr="00D469ED" w:rsidRDefault="00D469ED" w:rsidP="00D469ED">
            <w:pPr>
              <w:jc w:val="center"/>
              <w:rPr>
                <w:rFonts w:ascii="Arial" w:hAnsi="Arial" w:cs="Arial"/>
                <w:sz w:val="18"/>
                <w:szCs w:val="18"/>
              </w:rPr>
            </w:pPr>
            <w:r w:rsidRPr="00D469ED">
              <w:rPr>
                <w:rFonts w:ascii="Arial" w:hAnsi="Arial" w:cs="Arial"/>
                <w:sz w:val="18"/>
                <w:szCs w:val="18"/>
              </w:rPr>
              <w:t>Total Cyanide Report (as described in Condition A.1)</w:t>
            </w:r>
          </w:p>
        </w:tc>
        <w:tc>
          <w:tcPr>
            <w:tcW w:w="1710" w:type="dxa"/>
            <w:vAlign w:val="center"/>
          </w:tcPr>
          <w:p w:rsidR="00D469ED" w:rsidRPr="00D469ED" w:rsidRDefault="00D469ED" w:rsidP="00D469ED">
            <w:pPr>
              <w:jc w:val="center"/>
              <w:rPr>
                <w:rFonts w:ascii="Arial" w:hAnsi="Arial" w:cs="Arial"/>
                <w:sz w:val="18"/>
                <w:szCs w:val="18"/>
              </w:rPr>
            </w:pPr>
            <w:r w:rsidRPr="00D469ED">
              <w:rPr>
                <w:rFonts w:ascii="Arial" w:hAnsi="Arial" w:cs="Arial"/>
                <w:sz w:val="18"/>
                <w:szCs w:val="18"/>
              </w:rPr>
              <w:t>One time – Submission is at the discretion of the permittee</w:t>
            </w:r>
          </w:p>
        </w:tc>
        <w:tc>
          <w:tcPr>
            <w:tcW w:w="1620" w:type="dxa"/>
            <w:vAlign w:val="center"/>
          </w:tcPr>
          <w:p w:rsidR="00D469ED" w:rsidRPr="00D469ED" w:rsidRDefault="00D469ED" w:rsidP="00D469ED">
            <w:pPr>
              <w:jc w:val="center"/>
              <w:rPr>
                <w:rFonts w:ascii="Arial" w:hAnsi="Arial" w:cs="Arial"/>
                <w:sz w:val="18"/>
                <w:szCs w:val="18"/>
                <w:highlight w:val="yellow"/>
              </w:rPr>
            </w:pPr>
            <w:r w:rsidRPr="00D469ED">
              <w:rPr>
                <w:rFonts w:ascii="Arial" w:hAnsi="Arial" w:cs="Arial"/>
                <w:sz w:val="18"/>
                <w:szCs w:val="18"/>
              </w:rPr>
              <w:t>Within 18 months of the first discharge under this permit</w:t>
            </w:r>
          </w:p>
        </w:tc>
        <w:tc>
          <w:tcPr>
            <w:tcW w:w="1913" w:type="dxa"/>
            <w:vAlign w:val="center"/>
          </w:tcPr>
          <w:p w:rsidR="00D469ED" w:rsidRPr="00D469ED" w:rsidRDefault="00D469ED" w:rsidP="00D469ED">
            <w:pPr>
              <w:jc w:val="center"/>
              <w:rPr>
                <w:rFonts w:ascii="Arial" w:hAnsi="Arial" w:cs="Arial"/>
                <w:sz w:val="18"/>
                <w:szCs w:val="18"/>
              </w:rPr>
            </w:pPr>
            <w:r w:rsidRPr="00D469ED">
              <w:rPr>
                <w:rFonts w:ascii="Arial" w:hAnsi="Arial" w:cs="Arial"/>
                <w:sz w:val="18"/>
                <w:szCs w:val="18"/>
              </w:rPr>
              <w:t>1 hard copy and 1 electronic copy</w:t>
            </w:r>
          </w:p>
        </w:tc>
        <w:tc>
          <w:tcPr>
            <w:tcW w:w="2047" w:type="dxa"/>
            <w:vAlign w:val="center"/>
          </w:tcPr>
          <w:p w:rsidR="00D469ED" w:rsidRPr="00D469ED" w:rsidRDefault="00D469ED" w:rsidP="00D469ED">
            <w:pPr>
              <w:jc w:val="center"/>
              <w:rPr>
                <w:rFonts w:ascii="Arial" w:hAnsi="Arial" w:cs="Arial"/>
                <w:sz w:val="18"/>
                <w:szCs w:val="18"/>
              </w:rPr>
            </w:pPr>
            <w:r w:rsidRPr="00D469ED">
              <w:rPr>
                <w:rFonts w:ascii="Arial" w:hAnsi="Arial" w:cs="Arial"/>
                <w:sz w:val="18"/>
                <w:szCs w:val="18"/>
              </w:rPr>
              <w:t>DEQ Regional Office, Water Quality Program</w:t>
            </w:r>
          </w:p>
        </w:tc>
      </w:tr>
      <w:tr w:rsidR="00D469ED" w:rsidRPr="00731D45" w:rsidTr="00D469ED">
        <w:trPr>
          <w:cantSplit/>
          <w:trHeight w:val="413"/>
          <w:jc w:val="center"/>
        </w:trPr>
        <w:tc>
          <w:tcPr>
            <w:tcW w:w="9855" w:type="dxa"/>
            <w:gridSpan w:val="5"/>
            <w:vAlign w:val="center"/>
          </w:tcPr>
          <w:p w:rsidR="00D469ED" w:rsidRPr="00D469ED" w:rsidRDefault="00D469ED" w:rsidP="00D469ED">
            <w:pPr>
              <w:rPr>
                <w:rFonts w:ascii="Arial" w:hAnsi="Arial" w:cs="Arial"/>
                <w:sz w:val="18"/>
                <w:szCs w:val="18"/>
              </w:rPr>
            </w:pPr>
            <w:r w:rsidRPr="00D469ED">
              <w:rPr>
                <w:rFonts w:ascii="Arial" w:hAnsi="Arial" w:cs="Arial"/>
                <w:sz w:val="18"/>
                <w:szCs w:val="18"/>
              </w:rPr>
              <w:t>Note: Treatment system breakdowns and any bypass events must be noted on DMRs.</w:t>
            </w:r>
          </w:p>
        </w:tc>
      </w:tr>
    </w:tbl>
    <w:p w:rsidR="00D469ED" w:rsidRDefault="00D469ED">
      <w:pPr>
        <w:jc w:val="left"/>
        <w:rPr>
          <w:rFonts w:cs="Times New Roman"/>
          <w:b/>
          <w:bCs/>
        </w:rPr>
      </w:pPr>
    </w:p>
    <w:p w:rsidR="0027683C" w:rsidRDefault="0027683C">
      <w:pPr>
        <w:pStyle w:val="Asteve2"/>
      </w:pPr>
      <w:bookmarkStart w:id="44" w:name="_Toc197758217"/>
      <w:r>
        <w:t xml:space="preserve">6.4  Schedule </w:t>
      </w:r>
      <w:bookmarkStart w:id="45" w:name="_Toc197758218"/>
      <w:bookmarkEnd w:id="44"/>
      <w:r>
        <w:t>D - Special Conditions</w:t>
      </w:r>
      <w:bookmarkEnd w:id="45"/>
    </w:p>
    <w:p w:rsidR="00CC7048" w:rsidRDefault="009014D0" w:rsidP="00A43072">
      <w:pPr>
        <w:pStyle w:val="Asteve2"/>
        <w:spacing w:before="0"/>
        <w:jc w:val="left"/>
        <w:rPr>
          <w:rFonts w:ascii="Times New Roman" w:hAnsi="Times New Roman" w:cs="Times New Roman"/>
          <w:b w:val="0"/>
          <w:sz w:val="22"/>
          <w:szCs w:val="22"/>
        </w:rPr>
      </w:pPr>
      <w:r>
        <w:rPr>
          <w:rFonts w:ascii="Times New Roman" w:hAnsi="Times New Roman" w:cs="Times New Roman"/>
          <w:b w:val="0"/>
          <w:sz w:val="22"/>
          <w:szCs w:val="22"/>
        </w:rPr>
        <w:t>Schedule D of t</w:t>
      </w:r>
      <w:r w:rsidR="00CC7048" w:rsidRPr="00CC7048">
        <w:rPr>
          <w:rFonts w:ascii="Times New Roman" w:hAnsi="Times New Roman" w:cs="Times New Roman"/>
          <w:b w:val="0"/>
          <w:sz w:val="22"/>
          <w:szCs w:val="22"/>
        </w:rPr>
        <w:t xml:space="preserve">he proposed permit </w:t>
      </w:r>
      <w:r>
        <w:rPr>
          <w:rFonts w:ascii="Times New Roman" w:hAnsi="Times New Roman" w:cs="Times New Roman"/>
          <w:b w:val="0"/>
          <w:sz w:val="22"/>
          <w:szCs w:val="22"/>
        </w:rPr>
        <w:t xml:space="preserve">includes a special condition requiring the permittee to </w:t>
      </w:r>
      <w:r w:rsidR="00D63347">
        <w:rPr>
          <w:rFonts w:ascii="Times New Roman" w:hAnsi="Times New Roman" w:cs="Times New Roman"/>
          <w:b w:val="0"/>
          <w:sz w:val="22"/>
          <w:szCs w:val="22"/>
        </w:rPr>
        <w:t xml:space="preserve">develop and implement </w:t>
      </w:r>
      <w:r>
        <w:rPr>
          <w:rFonts w:ascii="Times New Roman" w:hAnsi="Times New Roman" w:cs="Times New Roman"/>
          <w:b w:val="0"/>
          <w:sz w:val="22"/>
          <w:szCs w:val="22"/>
        </w:rPr>
        <w:t>a spill</w:t>
      </w:r>
      <w:r w:rsidR="00D63347">
        <w:rPr>
          <w:rFonts w:ascii="Times New Roman" w:hAnsi="Times New Roman" w:cs="Times New Roman"/>
          <w:b w:val="0"/>
          <w:sz w:val="22"/>
          <w:szCs w:val="22"/>
        </w:rPr>
        <w:t>/emergency</w:t>
      </w:r>
      <w:r>
        <w:rPr>
          <w:rFonts w:ascii="Times New Roman" w:hAnsi="Times New Roman" w:cs="Times New Roman"/>
          <w:b w:val="0"/>
          <w:sz w:val="22"/>
          <w:szCs w:val="22"/>
        </w:rPr>
        <w:t xml:space="preserve"> response plan.  </w:t>
      </w:r>
    </w:p>
    <w:p w:rsidR="001D0D64" w:rsidRPr="00CC7048" w:rsidRDefault="001D0D64" w:rsidP="00A43072">
      <w:pPr>
        <w:pStyle w:val="Asteve2"/>
        <w:spacing w:before="0"/>
        <w:jc w:val="left"/>
        <w:rPr>
          <w:rFonts w:ascii="Times New Roman" w:hAnsi="Times New Roman" w:cs="Times New Roman"/>
          <w:b w:val="0"/>
          <w:sz w:val="22"/>
          <w:szCs w:val="22"/>
        </w:rPr>
      </w:pPr>
    </w:p>
    <w:p w:rsidR="0027683C" w:rsidRDefault="00CC7048" w:rsidP="00A43072">
      <w:pPr>
        <w:pStyle w:val="Asteve2"/>
        <w:jc w:val="left"/>
      </w:pPr>
      <w:bookmarkStart w:id="46" w:name="_Toc197758219"/>
      <w:r>
        <w:t>6.5</w:t>
      </w:r>
      <w:r w:rsidR="0027683C">
        <w:t xml:space="preserve">  Schedule F - NPDES General Conditions</w:t>
      </w:r>
      <w:bookmarkEnd w:id="46"/>
    </w:p>
    <w:p w:rsidR="0027683C" w:rsidRDefault="0027683C" w:rsidP="00A43072">
      <w:pPr>
        <w:jc w:val="left"/>
        <w:rPr>
          <w:rFonts w:cs="Times New Roman"/>
          <w:color w:val="000000"/>
          <w:sz w:val="22"/>
          <w:szCs w:val="22"/>
        </w:rPr>
      </w:pPr>
      <w:r>
        <w:rPr>
          <w:rFonts w:cs="Times New Roman"/>
          <w:sz w:val="22"/>
          <w:szCs w:val="22"/>
        </w:rPr>
        <w:t xml:space="preserve">These conditions are standard to all NPDES permits and include language regarding operation and maintenance of facilities, monitoring and record keeping, and reporting requirements. </w:t>
      </w:r>
      <w:r>
        <w:rPr>
          <w:rFonts w:cs="Times New Roman"/>
          <w:color w:val="000000"/>
          <w:sz w:val="22"/>
          <w:szCs w:val="22"/>
        </w:rPr>
        <w:t xml:space="preserve">The General Conditions were revised in 2010. A summary of the changes included in the revised conditions is as follows: </w:t>
      </w:r>
    </w:p>
    <w:p w:rsidR="0027683C" w:rsidRDefault="0027683C" w:rsidP="00A43072">
      <w:pPr>
        <w:jc w:val="left"/>
        <w:rPr>
          <w:rFonts w:cs="Times New Roman"/>
          <w:color w:val="000000"/>
          <w:sz w:val="16"/>
          <w:szCs w:val="16"/>
        </w:rPr>
      </w:pPr>
    </w:p>
    <w:p w:rsidR="0027683C" w:rsidRDefault="0027683C" w:rsidP="00A43072">
      <w:pPr>
        <w:pStyle w:val="ListParagraph"/>
        <w:numPr>
          <w:ilvl w:val="0"/>
          <w:numId w:val="3"/>
        </w:numPr>
        <w:autoSpaceDE w:val="0"/>
        <w:autoSpaceDN w:val="0"/>
        <w:adjustRightInd w:val="0"/>
        <w:jc w:val="left"/>
        <w:rPr>
          <w:color w:val="000000"/>
          <w:sz w:val="22"/>
          <w:szCs w:val="22"/>
        </w:rPr>
      </w:pPr>
      <w:r>
        <w:rPr>
          <w:color w:val="000000"/>
          <w:sz w:val="22"/>
          <w:szCs w:val="22"/>
        </w:rPr>
        <w:t xml:space="preserve">There are additional citations to the federal Clean Water Act and CFR, including references to standards for sewage sludge use or disposal. </w:t>
      </w:r>
    </w:p>
    <w:p w:rsidR="0027683C" w:rsidRDefault="0027683C" w:rsidP="00A43072">
      <w:pPr>
        <w:pStyle w:val="ListParagraph"/>
        <w:numPr>
          <w:ilvl w:val="0"/>
          <w:numId w:val="3"/>
        </w:numPr>
        <w:autoSpaceDE w:val="0"/>
        <w:autoSpaceDN w:val="0"/>
        <w:adjustRightInd w:val="0"/>
        <w:jc w:val="left"/>
        <w:rPr>
          <w:color w:val="000000"/>
          <w:sz w:val="22"/>
          <w:szCs w:val="22"/>
        </w:rPr>
      </w:pPr>
      <w:r>
        <w:rPr>
          <w:color w:val="000000"/>
          <w:sz w:val="22"/>
          <w:szCs w:val="22"/>
        </w:rPr>
        <w:t xml:space="preserve">There is additional language regarding federal penalties. </w:t>
      </w:r>
    </w:p>
    <w:p w:rsidR="0027683C" w:rsidRDefault="0027683C" w:rsidP="00A43072">
      <w:pPr>
        <w:pStyle w:val="ListParagraph"/>
        <w:numPr>
          <w:ilvl w:val="0"/>
          <w:numId w:val="3"/>
        </w:numPr>
        <w:autoSpaceDE w:val="0"/>
        <w:autoSpaceDN w:val="0"/>
        <w:adjustRightInd w:val="0"/>
        <w:jc w:val="left"/>
        <w:rPr>
          <w:color w:val="000000"/>
          <w:sz w:val="22"/>
          <w:szCs w:val="22"/>
        </w:rPr>
      </w:pPr>
      <w:r>
        <w:rPr>
          <w:color w:val="000000"/>
          <w:sz w:val="22"/>
          <w:szCs w:val="22"/>
        </w:rPr>
        <w:t xml:space="preserve">Bypass language has been made consistent with the CFR. </w:t>
      </w:r>
    </w:p>
    <w:p w:rsidR="0027683C" w:rsidRDefault="0027683C" w:rsidP="00A43072">
      <w:pPr>
        <w:numPr>
          <w:ilvl w:val="0"/>
          <w:numId w:val="3"/>
        </w:numPr>
        <w:autoSpaceDE w:val="0"/>
        <w:autoSpaceDN w:val="0"/>
        <w:adjustRightInd w:val="0"/>
        <w:jc w:val="left"/>
        <w:rPr>
          <w:rFonts w:cs="Times New Roman"/>
          <w:color w:val="000000"/>
          <w:sz w:val="22"/>
          <w:szCs w:val="22"/>
        </w:rPr>
      </w:pPr>
      <w:r>
        <w:rPr>
          <w:rFonts w:cs="Times New Roman"/>
          <w:color w:val="000000"/>
          <w:sz w:val="22"/>
          <w:szCs w:val="22"/>
        </w:rPr>
        <w:t xml:space="preserve">Overflow language has been eliminated. </w:t>
      </w:r>
    </w:p>
    <w:p w:rsidR="0027683C" w:rsidRDefault="0027683C" w:rsidP="00A43072">
      <w:pPr>
        <w:pStyle w:val="ListParagraph"/>
        <w:numPr>
          <w:ilvl w:val="0"/>
          <w:numId w:val="3"/>
        </w:numPr>
        <w:autoSpaceDE w:val="0"/>
        <w:autoSpaceDN w:val="0"/>
        <w:adjustRightInd w:val="0"/>
        <w:jc w:val="left"/>
        <w:rPr>
          <w:color w:val="000000"/>
          <w:sz w:val="22"/>
          <w:szCs w:val="22"/>
        </w:rPr>
      </w:pPr>
      <w:r>
        <w:rPr>
          <w:color w:val="000000"/>
          <w:sz w:val="22"/>
          <w:szCs w:val="22"/>
        </w:rPr>
        <w:t xml:space="preserve">Requirements regarding emergency response and public notification plans have been made more explicit. </w:t>
      </w:r>
    </w:p>
    <w:p w:rsidR="0027683C" w:rsidRDefault="0027683C" w:rsidP="00A43072">
      <w:pPr>
        <w:numPr>
          <w:ilvl w:val="0"/>
          <w:numId w:val="3"/>
        </w:numPr>
        <w:autoSpaceDE w:val="0"/>
        <w:autoSpaceDN w:val="0"/>
        <w:adjustRightInd w:val="0"/>
        <w:jc w:val="left"/>
        <w:rPr>
          <w:rFonts w:cs="Times New Roman"/>
          <w:color w:val="000000"/>
          <w:sz w:val="22"/>
          <w:szCs w:val="22"/>
        </w:rPr>
      </w:pPr>
      <w:r>
        <w:rPr>
          <w:rFonts w:cs="Times New Roman"/>
          <w:color w:val="000000"/>
          <w:sz w:val="22"/>
          <w:szCs w:val="22"/>
        </w:rPr>
        <w:t xml:space="preserve">Language pertaining to duty to provide information has been made more explicit. </w:t>
      </w:r>
    </w:p>
    <w:p w:rsidR="0027683C" w:rsidRDefault="0027683C" w:rsidP="00A43072">
      <w:pPr>
        <w:pStyle w:val="ListParagraph"/>
        <w:numPr>
          <w:ilvl w:val="0"/>
          <w:numId w:val="3"/>
        </w:numPr>
        <w:autoSpaceDE w:val="0"/>
        <w:autoSpaceDN w:val="0"/>
        <w:adjustRightInd w:val="0"/>
        <w:jc w:val="left"/>
        <w:rPr>
          <w:color w:val="000000"/>
          <w:sz w:val="22"/>
          <w:szCs w:val="22"/>
        </w:rPr>
      </w:pPr>
      <w:r>
        <w:rPr>
          <w:color w:val="000000"/>
          <w:sz w:val="22"/>
          <w:szCs w:val="22"/>
        </w:rPr>
        <w:t xml:space="preserve">Confidentiality of information is addressed. </w:t>
      </w:r>
    </w:p>
    <w:p w:rsidR="0027683C" w:rsidRDefault="0027683C" w:rsidP="00A43072">
      <w:pPr>
        <w:numPr>
          <w:ilvl w:val="0"/>
          <w:numId w:val="3"/>
        </w:numPr>
        <w:autoSpaceDE w:val="0"/>
        <w:autoSpaceDN w:val="0"/>
        <w:adjustRightInd w:val="0"/>
        <w:jc w:val="left"/>
        <w:rPr>
          <w:rFonts w:cs="Times New Roman"/>
          <w:color w:val="000000"/>
          <w:sz w:val="22"/>
          <w:szCs w:val="22"/>
        </w:rPr>
      </w:pPr>
      <w:r>
        <w:rPr>
          <w:rFonts w:cs="Times New Roman"/>
          <w:color w:val="000000"/>
          <w:sz w:val="22"/>
          <w:szCs w:val="22"/>
        </w:rPr>
        <w:t xml:space="preserve">A definition of CBOD has been added. </w:t>
      </w:r>
    </w:p>
    <w:p w:rsidR="007401A9" w:rsidRDefault="007401A9" w:rsidP="00A43072">
      <w:pPr>
        <w:jc w:val="left"/>
        <w:rPr>
          <w:rFonts w:cs="Times New Roman"/>
          <w:color w:val="000000"/>
          <w:sz w:val="22"/>
          <w:szCs w:val="22"/>
        </w:rPr>
      </w:pPr>
      <w:r>
        <w:rPr>
          <w:rFonts w:cs="Times New Roman"/>
          <w:color w:val="000000"/>
          <w:sz w:val="22"/>
          <w:szCs w:val="22"/>
        </w:rPr>
        <w:br w:type="page"/>
      </w:r>
    </w:p>
    <w:p w:rsidR="007401A9" w:rsidRDefault="007401A9" w:rsidP="007401A9">
      <w:pPr>
        <w:autoSpaceDE w:val="0"/>
        <w:autoSpaceDN w:val="0"/>
        <w:adjustRightInd w:val="0"/>
        <w:ind w:left="360"/>
        <w:jc w:val="left"/>
        <w:rPr>
          <w:rFonts w:cs="Times New Roman"/>
          <w:color w:val="000000"/>
          <w:sz w:val="22"/>
          <w:szCs w:val="22"/>
        </w:rPr>
      </w:pPr>
    </w:p>
    <w:p w:rsidR="0027683C" w:rsidRDefault="0027683C">
      <w:pPr>
        <w:pStyle w:val="Heading1sCentered"/>
        <w:keepNext w:val="0"/>
        <w:jc w:val="left"/>
      </w:pPr>
      <w:r>
        <w:t>7.0 Next Steps</w:t>
      </w:r>
    </w:p>
    <w:p w:rsidR="0027683C" w:rsidRDefault="0027683C">
      <w:pPr>
        <w:jc w:val="left"/>
        <w:rPr>
          <w:rFonts w:cs="Times New Roman"/>
          <w:sz w:val="22"/>
          <w:szCs w:val="22"/>
        </w:rPr>
      </w:pPr>
    </w:p>
    <w:p w:rsidR="0027683C" w:rsidRDefault="0027683C">
      <w:pPr>
        <w:tabs>
          <w:tab w:val="left" w:pos="-720"/>
          <w:tab w:val="left" w:pos="720"/>
          <w:tab w:val="left" w:leader="dot" w:pos="8550"/>
        </w:tabs>
        <w:suppressAutoHyphens/>
        <w:spacing w:before="120"/>
        <w:ind w:left="-14" w:right="43"/>
        <w:rPr>
          <w:rFonts w:ascii="Arial" w:hAnsi="Arial" w:cs="Arial"/>
          <w:b/>
          <w:bCs/>
        </w:rPr>
      </w:pPr>
      <w:r>
        <w:rPr>
          <w:rFonts w:ascii="Arial" w:hAnsi="Arial" w:cs="Arial"/>
          <w:b/>
          <w:bCs/>
        </w:rPr>
        <w:t>7.1</w:t>
      </w:r>
      <w:r>
        <w:rPr>
          <w:rFonts w:ascii="Arial" w:hAnsi="Arial" w:cs="Arial"/>
          <w:b/>
          <w:bCs/>
        </w:rPr>
        <w:tab/>
        <w:t>Public Comment Period</w:t>
      </w:r>
    </w:p>
    <w:p w:rsidR="0027683C" w:rsidRDefault="0027683C" w:rsidP="00A43072">
      <w:pPr>
        <w:pStyle w:val="BlockText"/>
        <w:jc w:val="left"/>
        <w:rPr>
          <w:sz w:val="22"/>
          <w:szCs w:val="22"/>
        </w:rPr>
      </w:pPr>
      <w:r>
        <w:rPr>
          <w:sz w:val="22"/>
          <w:szCs w:val="22"/>
        </w:rPr>
        <w:t xml:space="preserve">The proposed NPDES permit and this evaluation report will be made available for public comment.  A public notice of the proposed permit will be mailed to parties on the Department’s public notice mailing lists (WQ: PN (public notice) State, WQ: Multnomah County, and WQ: All Permits).  To be included on the Department’s mailing list, please visit our website at: </w:t>
      </w:r>
      <w:hyperlink r:id="rId12" w:history="1">
        <w:r>
          <w:rPr>
            <w:rStyle w:val="Hyperlink"/>
            <w:sz w:val="22"/>
            <w:szCs w:val="22"/>
          </w:rPr>
          <w:t>http://www.deq.state.or.us/news/publicnotices/PN.asp</w:t>
        </w:r>
      </w:hyperlink>
      <w:r>
        <w:rPr>
          <w:sz w:val="22"/>
          <w:szCs w:val="22"/>
        </w:rPr>
        <w:t xml:space="preserve"> and select the link “Sign up to get DEQ info by e-mail” on the left side of the page.</w:t>
      </w:r>
    </w:p>
    <w:p w:rsidR="0027683C" w:rsidRDefault="0027683C" w:rsidP="00A43072">
      <w:pPr>
        <w:pStyle w:val="BlockText"/>
        <w:jc w:val="left"/>
        <w:rPr>
          <w:sz w:val="22"/>
          <w:szCs w:val="22"/>
        </w:rPr>
      </w:pPr>
    </w:p>
    <w:p w:rsidR="0027683C" w:rsidRDefault="0027683C" w:rsidP="00A43072">
      <w:pPr>
        <w:tabs>
          <w:tab w:val="left" w:pos="-720"/>
          <w:tab w:val="left" w:pos="720"/>
          <w:tab w:val="left" w:leader="dot" w:pos="8550"/>
        </w:tabs>
        <w:suppressAutoHyphens/>
        <w:spacing w:before="120"/>
        <w:ind w:left="-14" w:right="43"/>
        <w:jc w:val="left"/>
        <w:rPr>
          <w:rFonts w:ascii="Arial" w:hAnsi="Arial" w:cs="Arial"/>
          <w:b/>
          <w:bCs/>
        </w:rPr>
      </w:pPr>
      <w:r>
        <w:rPr>
          <w:rFonts w:ascii="Arial" w:hAnsi="Arial" w:cs="Arial"/>
          <w:b/>
          <w:bCs/>
        </w:rPr>
        <w:t>7.2</w:t>
      </w:r>
      <w:r>
        <w:rPr>
          <w:rFonts w:ascii="Arial" w:hAnsi="Arial" w:cs="Arial"/>
          <w:b/>
          <w:bCs/>
        </w:rPr>
        <w:tab/>
        <w:t>Response to Comments</w:t>
      </w:r>
    </w:p>
    <w:p w:rsidR="0027683C" w:rsidRDefault="0027683C" w:rsidP="00A43072">
      <w:pPr>
        <w:tabs>
          <w:tab w:val="left" w:pos="-720"/>
          <w:tab w:val="left" w:pos="720"/>
          <w:tab w:val="left" w:leader="dot" w:pos="8550"/>
        </w:tabs>
        <w:suppressAutoHyphens/>
        <w:ind w:left="-14" w:right="43"/>
        <w:jc w:val="left"/>
        <w:rPr>
          <w:rFonts w:cs="Times New Roman"/>
          <w:sz w:val="22"/>
          <w:szCs w:val="22"/>
        </w:rPr>
      </w:pPr>
      <w:r>
        <w:rPr>
          <w:rFonts w:cs="Times New Roman"/>
          <w:sz w:val="22"/>
          <w:szCs w:val="22"/>
        </w:rPr>
        <w:t>The Department will respond to comments received during the comment period.  All those providing comment will receive a copy of the Department’s response.  Interested parties may also request a copy of the Department’s response.  Once comments are received and evaluated, the Department will decide whether to issue the permit as proposed or make changes to the permit or deny the permit.</w:t>
      </w:r>
    </w:p>
    <w:p w:rsidR="0027683C" w:rsidRDefault="0027683C" w:rsidP="00A43072">
      <w:pPr>
        <w:tabs>
          <w:tab w:val="left" w:pos="-720"/>
          <w:tab w:val="left" w:pos="720"/>
          <w:tab w:val="left" w:leader="dot" w:pos="8550"/>
        </w:tabs>
        <w:suppressAutoHyphens/>
        <w:ind w:left="-14" w:right="43"/>
        <w:jc w:val="left"/>
        <w:rPr>
          <w:rFonts w:cs="Times New Roman"/>
          <w:sz w:val="22"/>
          <w:szCs w:val="22"/>
        </w:rPr>
      </w:pPr>
    </w:p>
    <w:p w:rsidR="0027683C" w:rsidRDefault="0027683C" w:rsidP="00A43072">
      <w:pPr>
        <w:tabs>
          <w:tab w:val="left" w:pos="-720"/>
          <w:tab w:val="left" w:leader="dot" w:pos="8550"/>
        </w:tabs>
        <w:suppressAutoHyphens/>
        <w:spacing w:before="120"/>
        <w:ind w:left="-14" w:right="43"/>
        <w:jc w:val="left"/>
        <w:rPr>
          <w:rFonts w:ascii="Arial" w:hAnsi="Arial" w:cs="Arial"/>
          <w:b/>
          <w:bCs/>
        </w:rPr>
      </w:pPr>
      <w:r>
        <w:rPr>
          <w:rFonts w:ascii="Arial" w:hAnsi="Arial" w:cs="Arial"/>
          <w:b/>
          <w:bCs/>
        </w:rPr>
        <w:t>7.3    Modifications to Fact Sheet and Permit Evaluation Report</w:t>
      </w:r>
    </w:p>
    <w:p w:rsidR="0027683C" w:rsidRDefault="0027683C" w:rsidP="00A43072">
      <w:pPr>
        <w:tabs>
          <w:tab w:val="left" w:pos="-720"/>
          <w:tab w:val="left" w:pos="720"/>
          <w:tab w:val="left" w:leader="dot" w:pos="8550"/>
        </w:tabs>
        <w:suppressAutoHyphens/>
        <w:ind w:left="-14" w:right="43"/>
        <w:jc w:val="left"/>
        <w:rPr>
          <w:rFonts w:cs="Times New Roman"/>
          <w:b/>
          <w:bCs/>
          <w:sz w:val="22"/>
          <w:szCs w:val="22"/>
        </w:rPr>
      </w:pPr>
      <w:r>
        <w:rPr>
          <w:rFonts w:cs="Times New Roman"/>
          <w:sz w:val="22"/>
          <w:szCs w:val="22"/>
        </w:rPr>
        <w:t xml:space="preserve">Depending on the nature of comment and any changes made to the proposed permit modification as result of comment, this fact sheet/evaluation report may be modified.  The Department may also choose to update the fact sheet/evaluation report through a response to comments.  </w:t>
      </w:r>
    </w:p>
    <w:p w:rsidR="0027683C" w:rsidRDefault="0027683C">
      <w:pPr>
        <w:jc w:val="left"/>
        <w:rPr>
          <w:rFonts w:cs="Times New Roman"/>
          <w:sz w:val="22"/>
          <w:szCs w:val="22"/>
        </w:rPr>
      </w:pPr>
    </w:p>
    <w:p w:rsidR="0027683C" w:rsidRDefault="0027683C">
      <w:pPr>
        <w:jc w:val="left"/>
        <w:rPr>
          <w:rFonts w:cs="Times New Roman"/>
          <w:sz w:val="22"/>
          <w:szCs w:val="22"/>
        </w:rPr>
      </w:pPr>
    </w:p>
    <w:p w:rsidR="00AF398F" w:rsidRDefault="008235DC">
      <w:pPr>
        <w:jc w:val="left"/>
        <w:rPr>
          <w:rFonts w:cs="Times New Roman"/>
          <w:sz w:val="22"/>
          <w:szCs w:val="22"/>
        </w:rPr>
        <w:sectPr w:rsidR="00AF398F" w:rsidSect="0027683C">
          <w:headerReference w:type="even" r:id="rId13"/>
          <w:headerReference w:type="default" r:id="rId14"/>
          <w:footerReference w:type="even" r:id="rId15"/>
          <w:footerReference w:type="default" r:id="rId16"/>
          <w:headerReference w:type="first" r:id="rId17"/>
          <w:footerReference w:type="first" r:id="rId18"/>
          <w:pgSz w:w="12240" w:h="15840"/>
          <w:pgMar w:top="1440" w:right="1008" w:bottom="1080" w:left="900" w:header="720" w:footer="720" w:gutter="0"/>
          <w:cols w:space="720"/>
          <w:docGrid w:linePitch="360"/>
        </w:sectPr>
      </w:pPr>
      <w:r>
        <w:rPr>
          <w:rFonts w:cs="Times New Roman"/>
          <w:sz w:val="22"/>
          <w:szCs w:val="22"/>
        </w:rPr>
        <w:br w:type="page"/>
      </w:r>
    </w:p>
    <w:p w:rsidR="008235DC" w:rsidRDefault="008235DC">
      <w:pPr>
        <w:jc w:val="left"/>
        <w:rPr>
          <w:rFonts w:cs="Times New Roman"/>
          <w:sz w:val="22"/>
          <w:szCs w:val="22"/>
        </w:rPr>
      </w:pPr>
    </w:p>
    <w:p w:rsidR="00AF398F" w:rsidRDefault="00BA1FED" w:rsidP="00AF398F">
      <w:pPr>
        <w:jc w:val="center"/>
        <w:rPr>
          <w:rFonts w:cs="Times New Roman"/>
          <w:sz w:val="22"/>
          <w:szCs w:val="22"/>
        </w:rPr>
      </w:pPr>
      <w:r>
        <w:rPr>
          <w:rFonts w:cs="Times New Roman"/>
          <w:noProof/>
          <w:sz w:val="22"/>
          <w:szCs w:val="22"/>
        </w:rPr>
        <w:drawing>
          <wp:inline distT="0" distB="0" distL="0" distR="0">
            <wp:extent cx="8706275" cy="60499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8704835" cy="6048924"/>
                    </a:xfrm>
                    <a:prstGeom prst="rect">
                      <a:avLst/>
                    </a:prstGeom>
                    <a:noFill/>
                    <a:ln w="9525">
                      <a:noFill/>
                      <a:miter lim="800000"/>
                      <a:headEnd/>
                      <a:tailEnd/>
                    </a:ln>
                  </pic:spPr>
                </pic:pic>
              </a:graphicData>
            </a:graphic>
          </wp:inline>
        </w:drawing>
      </w:r>
    </w:p>
    <w:p w:rsidR="0027683C" w:rsidRDefault="00AF398F" w:rsidP="00AF398F">
      <w:pPr>
        <w:jc w:val="left"/>
        <w:rPr>
          <w:rFonts w:cs="Times New Roman"/>
          <w:sz w:val="22"/>
          <w:szCs w:val="22"/>
        </w:rPr>
      </w:pPr>
      <w:r>
        <w:rPr>
          <w:rFonts w:cs="Times New Roman"/>
          <w:sz w:val="22"/>
          <w:szCs w:val="22"/>
        </w:rPr>
        <w:br w:type="page"/>
      </w:r>
      <w:r>
        <w:rPr>
          <w:rFonts w:cs="Times New Roman"/>
          <w:noProof/>
          <w:sz w:val="22"/>
          <w:szCs w:val="22"/>
        </w:rPr>
        <w:lastRenderedPageBreak/>
        <w:drawing>
          <wp:inline distT="0" distB="0" distL="0" distR="0">
            <wp:extent cx="8458200" cy="4684974"/>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srcRect/>
                    <a:stretch>
                      <a:fillRect/>
                    </a:stretch>
                  </pic:blipFill>
                  <pic:spPr bwMode="auto">
                    <a:xfrm>
                      <a:off x="0" y="0"/>
                      <a:ext cx="8458200" cy="4684974"/>
                    </a:xfrm>
                    <a:prstGeom prst="rect">
                      <a:avLst/>
                    </a:prstGeom>
                    <a:noFill/>
                    <a:ln w="9525">
                      <a:noFill/>
                      <a:miter lim="800000"/>
                      <a:headEnd/>
                      <a:tailEnd/>
                    </a:ln>
                  </pic:spPr>
                </pic:pic>
              </a:graphicData>
            </a:graphic>
          </wp:inline>
        </w:drawing>
      </w:r>
    </w:p>
    <w:p w:rsidR="00AF398F" w:rsidRDefault="00AF398F" w:rsidP="00AF398F">
      <w:pPr>
        <w:jc w:val="left"/>
        <w:rPr>
          <w:rFonts w:cs="Times New Roman"/>
          <w:sz w:val="22"/>
          <w:szCs w:val="22"/>
        </w:rPr>
      </w:pPr>
    </w:p>
    <w:p w:rsidR="00AF398F" w:rsidRDefault="00AF398F">
      <w:pPr>
        <w:jc w:val="left"/>
        <w:rPr>
          <w:rFonts w:cs="Times New Roman"/>
          <w:sz w:val="22"/>
          <w:szCs w:val="22"/>
        </w:rPr>
      </w:pPr>
      <w:r>
        <w:rPr>
          <w:rFonts w:cs="Times New Roman"/>
          <w:sz w:val="22"/>
          <w:szCs w:val="22"/>
        </w:rPr>
        <w:br w:type="page"/>
      </w:r>
    </w:p>
    <w:p w:rsidR="00AF398F" w:rsidRDefault="00BA1FED" w:rsidP="00AF398F">
      <w:pPr>
        <w:jc w:val="left"/>
        <w:rPr>
          <w:rFonts w:cs="Times New Roman"/>
          <w:sz w:val="22"/>
          <w:szCs w:val="22"/>
        </w:rPr>
      </w:pPr>
      <w:r>
        <w:rPr>
          <w:rFonts w:cs="Times New Roman"/>
          <w:noProof/>
          <w:sz w:val="22"/>
          <w:szCs w:val="22"/>
        </w:rPr>
        <w:lastRenderedPageBreak/>
        <w:drawing>
          <wp:inline distT="0" distB="0" distL="0" distR="0">
            <wp:extent cx="8750685" cy="5603358"/>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8755972" cy="5606743"/>
                    </a:xfrm>
                    <a:prstGeom prst="rect">
                      <a:avLst/>
                    </a:prstGeom>
                    <a:noFill/>
                    <a:ln w="9525">
                      <a:noFill/>
                      <a:miter lim="800000"/>
                      <a:headEnd/>
                      <a:tailEnd/>
                    </a:ln>
                  </pic:spPr>
                </pic:pic>
              </a:graphicData>
            </a:graphic>
          </wp:inline>
        </w:drawing>
      </w:r>
    </w:p>
    <w:p w:rsidR="00AF398F" w:rsidRDefault="00AF398F" w:rsidP="00AF398F">
      <w:pPr>
        <w:jc w:val="left"/>
        <w:rPr>
          <w:rFonts w:cs="Times New Roman"/>
          <w:sz w:val="22"/>
          <w:szCs w:val="22"/>
        </w:rPr>
      </w:pPr>
    </w:p>
    <w:p w:rsidR="00AF398F" w:rsidRDefault="00AF398F">
      <w:pPr>
        <w:jc w:val="left"/>
        <w:rPr>
          <w:rFonts w:cs="Times New Roman"/>
          <w:sz w:val="22"/>
          <w:szCs w:val="22"/>
        </w:rPr>
      </w:pPr>
      <w:r>
        <w:rPr>
          <w:rFonts w:cs="Times New Roman"/>
          <w:sz w:val="22"/>
          <w:szCs w:val="22"/>
        </w:rPr>
        <w:br w:type="page"/>
      </w:r>
    </w:p>
    <w:p w:rsidR="00AF398F" w:rsidRDefault="007E68B0" w:rsidP="00AF398F">
      <w:pPr>
        <w:jc w:val="left"/>
        <w:rPr>
          <w:rFonts w:cs="Times New Roman"/>
          <w:sz w:val="22"/>
          <w:szCs w:val="22"/>
        </w:rPr>
        <w:sectPr w:rsidR="00AF398F" w:rsidSect="00AF398F">
          <w:pgSz w:w="15840" w:h="12240" w:orient="landscape"/>
          <w:pgMar w:top="900" w:right="1440" w:bottom="1008" w:left="1080" w:header="720" w:footer="720" w:gutter="0"/>
          <w:cols w:space="720"/>
          <w:docGrid w:linePitch="360"/>
        </w:sectPr>
      </w:pPr>
      <w:r>
        <w:rPr>
          <w:rFonts w:cs="Times New Roman"/>
          <w:noProof/>
          <w:sz w:val="22"/>
          <w:szCs w:val="22"/>
        </w:rPr>
        <w:lastRenderedPageBreak/>
        <w:drawing>
          <wp:inline distT="0" distB="0" distL="0" distR="0">
            <wp:extent cx="8466451" cy="635766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8471963" cy="6361807"/>
                    </a:xfrm>
                    <a:prstGeom prst="rect">
                      <a:avLst/>
                    </a:prstGeom>
                    <a:noFill/>
                    <a:ln w="9525">
                      <a:noFill/>
                      <a:miter lim="800000"/>
                      <a:headEnd/>
                      <a:tailEnd/>
                    </a:ln>
                  </pic:spPr>
                </pic:pic>
              </a:graphicData>
            </a:graphic>
          </wp:inline>
        </w:drawing>
      </w:r>
    </w:p>
    <w:p w:rsidR="00AF398F" w:rsidRDefault="00AF398F" w:rsidP="00AF398F">
      <w:pPr>
        <w:pStyle w:val="Heading4"/>
        <w:jc w:val="center"/>
      </w:pPr>
      <w:bookmarkStart w:id="47" w:name="_Toc503065336"/>
      <w:r>
        <w:lastRenderedPageBreak/>
        <w:t>Attachment E:  NW Natural (Gasco) Antidegradation Review Sheet</w:t>
      </w:r>
      <w:bookmarkEnd w:id="47"/>
    </w:p>
    <w:p w:rsidR="00AF398F" w:rsidRDefault="00AF398F" w:rsidP="00AF398F">
      <w:pPr>
        <w:pStyle w:val="Subtitle"/>
      </w:pPr>
      <w:r>
        <w:t>ANTIDEGRADATION REVIEW SHEET</w:t>
      </w:r>
    </w:p>
    <w:p w:rsidR="00AF398F" w:rsidRDefault="00AF398F" w:rsidP="00AF398F">
      <w:pPr>
        <w:jc w:val="center"/>
      </w:pPr>
      <w:r>
        <w:rPr>
          <w:b/>
        </w:rPr>
        <w:t>FOR A PROPOSED INDIVIDUAL NPDES DISCHARGE</w:t>
      </w:r>
    </w:p>
    <w:p w:rsidR="00AF398F" w:rsidRDefault="00AF398F" w:rsidP="00AF398F"/>
    <w:p w:rsidR="00AF398F" w:rsidRDefault="00AF398F" w:rsidP="00AF398F">
      <w:pPr>
        <w:ind w:left="540" w:hanging="540"/>
      </w:pPr>
      <w:r>
        <w:t>1.</w:t>
      </w:r>
      <w:r>
        <w:tab/>
        <w:t xml:space="preserve">What is the name of Surface Water that receives the discharge? </w:t>
      </w:r>
      <w:r>
        <w:rPr>
          <w:u w:val="single"/>
        </w:rPr>
        <w:t>Willamette River</w:t>
      </w:r>
    </w:p>
    <w:p w:rsidR="00AF398F" w:rsidRDefault="00AF398F" w:rsidP="00AF398F">
      <w:pPr>
        <w:ind w:left="540" w:hanging="540"/>
      </w:pPr>
    </w:p>
    <w:p w:rsidR="00AF398F" w:rsidRDefault="00AF398F" w:rsidP="00AF398F">
      <w:pPr>
        <w:ind w:left="540" w:hanging="540"/>
      </w:pPr>
      <w:r>
        <w:tab/>
        <w:t>Briefly describe the proposed activity:  The application is for a new NPDES permit to discharge treated groundwater to the Willamette River.  The untreated groundwater has been contaminated by past industrial activities on this and adjacent sites.  Currently, the contaminated groundwater is discharging via subsurface flow.  The proposed activity will intercept this water, treat it to levels required under the NPDES permit, and discharge it to the river.</w:t>
      </w:r>
    </w:p>
    <w:p w:rsidR="00AF398F" w:rsidRDefault="00D62243" w:rsidP="00AF398F">
      <w:pPr>
        <w:ind w:left="540" w:hanging="540"/>
      </w:pPr>
      <w:r>
        <w:rPr>
          <w:noProof/>
        </w:rPr>
        <w:pict>
          <v:oval id="_x0000_s1027" style="position:absolute;left:0;text-align:left;margin-left:192pt;margin-top:8.65pt;width:38.25pt;height:26.25pt;z-index:251661312" filled="f" strokeweight="1.5pt"/>
        </w:pict>
      </w:r>
    </w:p>
    <w:p w:rsidR="00AF398F" w:rsidRDefault="00AF398F" w:rsidP="00AF398F">
      <w:pPr>
        <w:ind w:left="540" w:hanging="540"/>
      </w:pPr>
      <w:r>
        <w:tab/>
        <w:t>Is this review for a   renewal   OR    new    (circle one) permit application?</w:t>
      </w:r>
    </w:p>
    <w:p w:rsidR="00AF398F" w:rsidRDefault="00AF398F" w:rsidP="00AF398F">
      <w:pPr>
        <w:ind w:left="540" w:hanging="540"/>
      </w:pPr>
      <w:r>
        <w:tab/>
        <w:t xml:space="preserve">Go to </w:t>
      </w:r>
      <w:r>
        <w:rPr>
          <w:u w:val="single"/>
        </w:rPr>
        <w:t>Step 2</w:t>
      </w:r>
      <w:r>
        <w:t>.</w:t>
      </w:r>
    </w:p>
    <w:p w:rsidR="00AF398F" w:rsidRDefault="00AF398F" w:rsidP="00AF398F">
      <w:pPr>
        <w:ind w:left="540" w:hanging="54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F398F" w:rsidRDefault="00AF398F" w:rsidP="00AF398F">
      <w:pPr>
        <w:pStyle w:val="BodyText2"/>
      </w:pPr>
    </w:p>
    <w:p w:rsidR="00AF398F" w:rsidRDefault="00AF398F" w:rsidP="00AF398F">
      <w:pPr>
        <w:pStyle w:val="BodyText2"/>
        <w:ind w:left="540" w:hanging="540"/>
      </w:pPr>
      <w:r>
        <w:t>2.</w:t>
      </w:r>
      <w:r>
        <w:tab/>
        <w:t xml:space="preserve">Is this surface water an </w:t>
      </w:r>
      <w:r>
        <w:rPr>
          <w:b/>
        </w:rPr>
        <w:t>Outstanding Resource Water</w:t>
      </w:r>
      <w:r>
        <w:t xml:space="preserve"> or </w:t>
      </w:r>
      <w:r>
        <w:rPr>
          <w:b/>
        </w:rPr>
        <w:t>upstream</w:t>
      </w:r>
      <w:r>
        <w:t xml:space="preserve"> from an </w:t>
      </w:r>
      <w:r>
        <w:rPr>
          <w:b/>
        </w:rPr>
        <w:t>Outstanding Resource Water</w:t>
      </w:r>
      <w:r>
        <w:t xml:space="preserve">? </w:t>
      </w:r>
    </w:p>
    <w:p w:rsidR="00AF398F" w:rsidRDefault="00D62243" w:rsidP="00AF398F">
      <w:pPr>
        <w:ind w:left="1620" w:hanging="900"/>
      </w:pPr>
      <w:r>
        <w:rPr>
          <w:noProof/>
        </w:rPr>
        <w:pict>
          <v:oval id="_x0000_s1030" style="position:absolute;left:0;text-align:left;margin-left:24pt;margin-top:8.05pt;width:38.25pt;height:26.25pt;flip:y;z-index:251664384" filled="f" strokeweight="1.5pt"/>
        </w:pict>
      </w:r>
      <w:r w:rsidR="00AF398F">
        <w:t>Yes.</w:t>
      </w:r>
      <w:r w:rsidR="00AF398F">
        <w:tab/>
        <w:t xml:space="preserve">Go to </w:t>
      </w:r>
      <w:r w:rsidR="00AF398F">
        <w:rPr>
          <w:u w:val="single"/>
        </w:rPr>
        <w:t>Step 5</w:t>
      </w:r>
      <w:r w:rsidR="00AF398F">
        <w:t>.</w:t>
      </w:r>
      <w:r w:rsidR="00AF398F">
        <w:tab/>
      </w:r>
    </w:p>
    <w:p w:rsidR="00AF398F" w:rsidRDefault="00AF398F" w:rsidP="00AF398F">
      <w:pPr>
        <w:ind w:left="1620" w:hanging="900"/>
      </w:pPr>
      <w:r>
        <w:t>No.</w:t>
      </w:r>
      <w:r>
        <w:tab/>
        <w:t xml:space="preserve">Go to </w:t>
      </w:r>
      <w:r>
        <w:rPr>
          <w:u w:val="single"/>
        </w:rPr>
        <w:t>Step 3</w:t>
      </w:r>
      <w:r>
        <w:t>.</w:t>
      </w:r>
    </w:p>
    <w:p w:rsidR="00AF398F" w:rsidRDefault="00AF398F" w:rsidP="00AF398F"/>
    <w:p w:rsidR="00AF398F" w:rsidRDefault="00AF398F" w:rsidP="00AF398F">
      <w:pPr>
        <w:pStyle w:val="BodyText2"/>
        <w:ind w:left="540" w:hanging="540"/>
      </w:pPr>
      <w:r>
        <w:t>3.</w:t>
      </w:r>
      <w:r>
        <w:tab/>
        <w:t xml:space="preserve">Is this surface water a </w:t>
      </w:r>
      <w:r>
        <w:rPr>
          <w:b/>
        </w:rPr>
        <w:t>High Quality Water</w:t>
      </w:r>
      <w:r>
        <w:t xml:space="preserve">?  </w:t>
      </w:r>
    </w:p>
    <w:p w:rsidR="00AF398F" w:rsidRDefault="00D62243" w:rsidP="00AF398F">
      <w:pPr>
        <w:ind w:left="1620" w:hanging="900"/>
      </w:pPr>
      <w:r>
        <w:rPr>
          <w:noProof/>
        </w:rPr>
        <w:pict>
          <v:oval id="_x0000_s1029" style="position:absolute;left:0;text-align:left;margin-left:24pt;margin-top:8.4pt;width:38.25pt;height:26.25pt;z-index:251663360" filled="f" strokeweight="1.5pt"/>
        </w:pict>
      </w:r>
      <w:r w:rsidR="00AF398F">
        <w:t>Yes.</w:t>
      </w:r>
      <w:r w:rsidR="00AF398F">
        <w:tab/>
        <w:t xml:space="preserve">Go to </w:t>
      </w:r>
      <w:r w:rsidR="00AF398F">
        <w:rPr>
          <w:u w:val="single"/>
        </w:rPr>
        <w:t>Step 8</w:t>
      </w:r>
      <w:r w:rsidR="00AF398F">
        <w:t>.</w:t>
      </w:r>
    </w:p>
    <w:p w:rsidR="00AF398F" w:rsidRDefault="00AF398F" w:rsidP="00AF398F">
      <w:pPr>
        <w:ind w:left="1620" w:hanging="900"/>
      </w:pPr>
      <w:r>
        <w:t>No.</w:t>
      </w:r>
      <w:r>
        <w:tab/>
        <w:t xml:space="preserve">Go to </w:t>
      </w:r>
      <w:r>
        <w:rPr>
          <w:u w:val="single"/>
        </w:rPr>
        <w:t>Step 4</w:t>
      </w:r>
      <w:r>
        <w:t>.</w:t>
      </w:r>
    </w:p>
    <w:p w:rsidR="00AF398F" w:rsidRDefault="00AF398F" w:rsidP="00AF398F"/>
    <w:p w:rsidR="00AF398F" w:rsidRDefault="00D62243" w:rsidP="00AF398F">
      <w:pPr>
        <w:pStyle w:val="BodyText2"/>
        <w:ind w:left="540" w:hanging="540"/>
      </w:pPr>
      <w:r>
        <w:rPr>
          <w:noProof/>
        </w:rPr>
        <w:pict>
          <v:oval id="_x0000_s1028" style="position:absolute;left:0;text-align:left;margin-left:24pt;margin-top:27.5pt;width:38.25pt;height:26.25pt;z-index:251662336" filled="f" strokeweight="1.5pt"/>
        </w:pict>
      </w:r>
      <w:r w:rsidR="00AF398F">
        <w:t>4.</w:t>
      </w:r>
      <w:r w:rsidR="00AF398F">
        <w:tab/>
        <w:t xml:space="preserve">Is this surface water a </w:t>
      </w:r>
      <w:r w:rsidR="00AF398F">
        <w:rPr>
          <w:b/>
        </w:rPr>
        <w:t>Water Quality Limited Water</w:t>
      </w:r>
      <w:r w:rsidR="00AF398F">
        <w:t xml:space="preserve">?  </w:t>
      </w:r>
    </w:p>
    <w:p w:rsidR="00AF398F" w:rsidRDefault="00AF398F" w:rsidP="00AF398F">
      <w:pPr>
        <w:ind w:left="1620" w:hanging="900"/>
      </w:pPr>
      <w:r>
        <w:t>Yes.</w:t>
      </w:r>
      <w:r>
        <w:tab/>
        <w:t xml:space="preserve">Go to </w:t>
      </w:r>
      <w:r>
        <w:rPr>
          <w:u w:val="single"/>
        </w:rPr>
        <w:t>Step 14</w:t>
      </w:r>
      <w:r>
        <w:t>.</w:t>
      </w:r>
    </w:p>
    <w:p w:rsidR="00AF398F" w:rsidRDefault="00AF398F" w:rsidP="00AF398F">
      <w:pPr>
        <w:ind w:left="1620" w:hanging="900"/>
      </w:pPr>
      <w:r>
        <w:t>No.</w:t>
      </w:r>
      <w:r>
        <w:tab/>
        <w:t xml:space="preserve">Go to </w:t>
      </w:r>
      <w:r>
        <w:rPr>
          <w:u w:val="single"/>
        </w:rPr>
        <w:t>Step 2</w:t>
      </w:r>
      <w:r>
        <w:t>.  Note: The surface water must fall into one of three (3) categories: Outstanding Resource Water (Step 2), High Quality Water (Step 3), or Water Quality Limited Water (Step 4).</w:t>
      </w:r>
    </w:p>
    <w:p w:rsidR="00AF398F" w:rsidRDefault="00AF398F" w:rsidP="00AF398F">
      <w:pPr>
        <w:ind w:left="540" w:hanging="54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F398F" w:rsidRDefault="00AF398F" w:rsidP="00AF398F">
      <w:pPr>
        <w:pStyle w:val="BodyText2"/>
      </w:pPr>
    </w:p>
    <w:p w:rsidR="00AF398F" w:rsidRDefault="00AF398F" w:rsidP="00AF398F">
      <w:pPr>
        <w:keepNext/>
        <w:ind w:left="540" w:hanging="540"/>
      </w:pPr>
      <w:r>
        <w:t>14.</w:t>
      </w:r>
      <w:r>
        <w:tab/>
        <w:t xml:space="preserve">Will the proposed activity result in a Lowering of Water Quality in the </w:t>
      </w:r>
      <w:r>
        <w:rPr>
          <w:b/>
        </w:rPr>
        <w:t>Water Quality Limited Water</w:t>
      </w:r>
      <w:r>
        <w:t xml:space="preserve">?  [see OAR 340-041-0004(3)-(5) for a description in rule of discharges that do not result in lowering of water quality or do not constitute a new and/or increased discharge or are otherwise exempt from antidegradation </w:t>
      </w:r>
      <w:r>
        <w:lastRenderedPageBreak/>
        <w:t xml:space="preserve">review; otherwise see “Is an Activity Likely to Lower Water Quality?” in </w:t>
      </w:r>
      <w:r w:rsidRPr="00EA653E">
        <w:rPr>
          <w:i/>
        </w:rPr>
        <w:t>Antidegradation Policy Implementation Internal Management Directive for NPDES Permits and Section 401 Water Quality Certifications</w:t>
      </w:r>
      <w:r>
        <w:t>.]</w:t>
      </w:r>
    </w:p>
    <w:p w:rsidR="00AF398F" w:rsidRDefault="00D62243" w:rsidP="00AF398F">
      <w:pPr>
        <w:keepNext/>
        <w:ind w:left="1620" w:hanging="900"/>
      </w:pPr>
      <w:r>
        <w:rPr>
          <w:noProof/>
        </w:rPr>
        <w:pict>
          <v:oval id="_x0000_s1031" style="position:absolute;left:0;text-align:left;margin-left:25.5pt;margin-top:9.9pt;width:38.25pt;height:26.25pt;z-index:251665408" filled="f" strokeweight="1.5pt"/>
        </w:pict>
      </w:r>
      <w:r w:rsidR="00AF398F">
        <w:t>Yes.</w:t>
      </w:r>
      <w:r w:rsidR="00AF398F">
        <w:tab/>
        <w:t xml:space="preserve">Go to </w:t>
      </w:r>
      <w:r w:rsidR="00AF398F">
        <w:rPr>
          <w:u w:val="single"/>
        </w:rPr>
        <w:t>Step 15</w:t>
      </w:r>
      <w:r w:rsidR="00AF398F">
        <w:t>.</w:t>
      </w:r>
    </w:p>
    <w:p w:rsidR="00AF398F" w:rsidRDefault="00AF398F" w:rsidP="00AF398F">
      <w:pPr>
        <w:pStyle w:val="BodyText2"/>
        <w:keepNext/>
        <w:ind w:left="1620" w:hanging="900"/>
      </w:pPr>
      <w:r>
        <w:t>No.</w:t>
      </w:r>
      <w:r>
        <w:tab/>
        <w:t xml:space="preserve">Proceed with Permit Application.  Applicant should provide basis for conclusion. Go to </w:t>
      </w:r>
      <w:r>
        <w:rPr>
          <w:u w:val="single"/>
        </w:rPr>
        <w:t>Step 21</w:t>
      </w:r>
      <w:r>
        <w:t>.</w:t>
      </w:r>
    </w:p>
    <w:p w:rsidR="00AF398F" w:rsidRDefault="00AF398F" w:rsidP="00AF398F">
      <w:pPr>
        <w:ind w:left="540" w:hanging="540"/>
      </w:pPr>
    </w:p>
    <w:p w:rsidR="00AF398F" w:rsidRDefault="00AF398F" w:rsidP="00AF398F">
      <w:pPr>
        <w:pStyle w:val="BodyText2"/>
        <w:keepNext/>
      </w:pPr>
    </w:p>
    <w:p w:rsidR="00AF398F" w:rsidRDefault="00AF398F" w:rsidP="00AF398F">
      <w:pPr>
        <w:keepNext/>
        <w:ind w:left="540" w:hanging="540"/>
      </w:pPr>
      <w:r>
        <w:t>21.</w:t>
      </w:r>
      <w:r>
        <w:tab/>
        <w:t>On the basis of the Antidegradation Review, the following is recommended:</w:t>
      </w:r>
    </w:p>
    <w:p w:rsidR="00AF398F" w:rsidRDefault="00AF398F" w:rsidP="00AF398F">
      <w:pPr>
        <w:pStyle w:val="BodyTextIndent3"/>
        <w:keepNext/>
        <w:tabs>
          <w:tab w:val="left" w:pos="540"/>
        </w:tabs>
        <w:ind w:left="1440" w:hanging="1440"/>
      </w:pPr>
      <w:r>
        <w:tab/>
      </w:r>
      <w:r w:rsidRPr="00A04BB6">
        <w:rPr>
          <w:u w:val="single"/>
        </w:rPr>
        <w:t xml:space="preserve"> </w:t>
      </w:r>
      <w:r>
        <w:rPr>
          <w:u w:val="single"/>
        </w:rPr>
        <w:t xml:space="preserve"> </w:t>
      </w:r>
      <w:r w:rsidRPr="00A04BB6">
        <w:rPr>
          <w:u w:val="single"/>
        </w:rPr>
        <w:t xml:space="preserve"> </w:t>
      </w:r>
      <w:r>
        <w:rPr>
          <w:u w:val="single"/>
        </w:rPr>
        <w:t xml:space="preserve">X   </w:t>
      </w:r>
      <w:r>
        <w:tab/>
        <w:t>Proceed with Application to Interagency Coordination and Public Comment Phase.</w:t>
      </w:r>
    </w:p>
    <w:p w:rsidR="00AF398F" w:rsidRDefault="00AF398F" w:rsidP="00AF398F">
      <w:pPr>
        <w:keepNext/>
        <w:tabs>
          <w:tab w:val="left" w:pos="540"/>
        </w:tabs>
        <w:ind w:left="1440" w:hanging="1440"/>
      </w:pPr>
      <w:r>
        <w:tab/>
        <w:t>____</w:t>
      </w:r>
      <w:r>
        <w:tab/>
        <w:t>Deny Application; return to applicant and provide public notice.</w:t>
      </w:r>
    </w:p>
    <w:p w:rsidR="00AF398F" w:rsidRDefault="00AF398F" w:rsidP="00AF398F">
      <w:pPr>
        <w:keepNext/>
        <w:ind w:left="540" w:hanging="540"/>
      </w:pPr>
    </w:p>
    <w:p w:rsidR="00AF398F" w:rsidRDefault="00AF398F" w:rsidP="00AF398F">
      <w:pPr>
        <w:keepNext/>
        <w:ind w:left="540" w:hanging="540"/>
      </w:pPr>
      <w:r>
        <w:t>Action Approved</w:t>
      </w:r>
    </w:p>
    <w:p w:rsidR="00AF398F" w:rsidRDefault="00AF398F" w:rsidP="00AF398F">
      <w:pPr>
        <w:keepNext/>
        <w:ind w:left="540" w:hanging="540"/>
      </w:pPr>
    </w:p>
    <w:p w:rsidR="00AF398F" w:rsidRDefault="00AF398F" w:rsidP="00AF398F">
      <w:pPr>
        <w:keepNext/>
        <w:ind w:left="540" w:hanging="540"/>
      </w:pPr>
      <w:r>
        <w:t>Section:</w:t>
      </w:r>
      <w:r>
        <w:tab/>
      </w:r>
      <w:r>
        <w:tab/>
      </w:r>
      <w:r>
        <w:tab/>
        <w:t>____</w:t>
      </w:r>
      <w:r>
        <w:rPr>
          <w:u w:val="single"/>
        </w:rPr>
        <w:t>NWR WQ Source Control</w:t>
      </w:r>
      <w:r>
        <w:t>_____</w:t>
      </w:r>
    </w:p>
    <w:p w:rsidR="00AF398F" w:rsidRDefault="00AF398F" w:rsidP="00AF398F">
      <w:pPr>
        <w:keepNext/>
        <w:ind w:left="540" w:hanging="540"/>
      </w:pPr>
    </w:p>
    <w:p w:rsidR="00AF398F" w:rsidRDefault="00AF398F" w:rsidP="00AF398F">
      <w:pPr>
        <w:keepNext/>
        <w:ind w:left="540" w:hanging="540"/>
      </w:pPr>
      <w:r>
        <w:t>Review Prepared By:</w:t>
      </w:r>
      <w:r>
        <w:tab/>
      </w:r>
      <w:r>
        <w:tab/>
      </w:r>
      <w:r>
        <w:rPr>
          <w:u w:val="single"/>
        </w:rPr>
        <w:tab/>
        <w:t>Rob Burkhart</w:t>
      </w:r>
      <w:r>
        <w:rPr>
          <w:u w:val="single"/>
        </w:rPr>
        <w:tab/>
      </w:r>
      <w:r>
        <w:rPr>
          <w:u w:val="single"/>
        </w:rPr>
        <w:tab/>
      </w:r>
      <w:r>
        <w:rPr>
          <w:u w:val="single"/>
        </w:rPr>
        <w:tab/>
        <w:t xml:space="preserve">  </w:t>
      </w:r>
    </w:p>
    <w:p w:rsidR="00AF398F" w:rsidRDefault="00AF398F" w:rsidP="00AF398F">
      <w:pPr>
        <w:keepNext/>
        <w:ind w:left="540" w:hanging="540"/>
      </w:pPr>
      <w:r>
        <w:t xml:space="preserve">Phone: </w:t>
      </w:r>
      <w:r>
        <w:tab/>
      </w:r>
      <w:r>
        <w:tab/>
      </w:r>
      <w:r>
        <w:tab/>
      </w:r>
      <w:r>
        <w:rPr>
          <w:u w:val="single"/>
        </w:rPr>
        <w:tab/>
        <w:t>503-229-5566</w:t>
      </w:r>
      <w:r>
        <w:rPr>
          <w:u w:val="single"/>
        </w:rPr>
        <w:tab/>
      </w:r>
      <w:r>
        <w:rPr>
          <w:u w:val="single"/>
        </w:rPr>
        <w:tab/>
      </w:r>
      <w:r>
        <w:rPr>
          <w:u w:val="single"/>
        </w:rPr>
        <w:tab/>
      </w:r>
    </w:p>
    <w:p w:rsidR="00AF398F" w:rsidRDefault="00AF398F" w:rsidP="00AF398F">
      <w:pPr>
        <w:keepNext/>
        <w:ind w:left="540" w:hanging="540"/>
      </w:pPr>
      <w:r>
        <w:t xml:space="preserve">Date Prepared: </w:t>
      </w:r>
      <w:r>
        <w:tab/>
      </w:r>
      <w:r>
        <w:tab/>
        <w:t>______</w:t>
      </w:r>
      <w:r>
        <w:rPr>
          <w:u w:val="single"/>
        </w:rPr>
        <w:t xml:space="preserve">August 9, 2011  </w:t>
      </w:r>
      <w:r>
        <w:t>___________</w:t>
      </w:r>
    </w:p>
    <w:p w:rsidR="00AF398F" w:rsidRDefault="00AF398F" w:rsidP="00AF398F">
      <w:pPr>
        <w:keepNext/>
        <w:ind w:left="540" w:hanging="540"/>
      </w:pPr>
    </w:p>
    <w:p w:rsidR="00AF398F" w:rsidRDefault="00AF398F" w:rsidP="00AF398F">
      <w:pPr>
        <w:keepNext/>
        <w:ind w:left="540" w:hanging="540"/>
      </w:pPr>
    </w:p>
    <w:p w:rsidR="00AF398F" w:rsidRDefault="00AF398F" w:rsidP="00AF398F">
      <w:pPr>
        <w:keepNext/>
        <w:ind w:left="540" w:hanging="540"/>
      </w:pPr>
    </w:p>
    <w:p w:rsidR="00FE32AA" w:rsidRDefault="005F0F7F">
      <w:pPr>
        <w:jc w:val="left"/>
        <w:rPr>
          <w:rFonts w:cs="Times New Roman"/>
          <w:sz w:val="22"/>
          <w:szCs w:val="22"/>
        </w:rPr>
      </w:pPr>
      <w:r>
        <w:rPr>
          <w:rFonts w:cs="Times New Roman"/>
          <w:sz w:val="22"/>
          <w:szCs w:val="22"/>
        </w:rPr>
        <w:br w:type="page"/>
      </w:r>
    </w:p>
    <w:p w:rsidR="00FE32AA" w:rsidRDefault="00FE32AA">
      <w:pPr>
        <w:jc w:val="left"/>
        <w:rPr>
          <w:rFonts w:cs="Times New Roman"/>
          <w:sz w:val="22"/>
          <w:szCs w:val="22"/>
        </w:rPr>
      </w:pPr>
    </w:p>
    <w:p w:rsidR="00FE32AA" w:rsidRDefault="00FE32AA" w:rsidP="00FE32AA">
      <w:pPr>
        <w:pStyle w:val="Heading4"/>
        <w:jc w:val="center"/>
      </w:pPr>
      <w:r>
        <w:t>Attachment F:  NW Natural (Gasco) Mixing Zone Checklist</w:t>
      </w:r>
    </w:p>
    <w:p w:rsidR="00FE32AA" w:rsidRDefault="00FE32AA">
      <w:pPr>
        <w:jc w:val="left"/>
        <w:rPr>
          <w:rFonts w:cs="Times New Roman"/>
          <w:sz w:val="22"/>
          <w:szCs w:val="22"/>
        </w:rPr>
      </w:pPr>
    </w:p>
    <w:p w:rsidR="005F0F7F" w:rsidRDefault="005F0F7F">
      <w:pPr>
        <w:jc w:val="left"/>
        <w:rPr>
          <w:rFonts w:cs="Times New Roman"/>
          <w:sz w:val="22"/>
          <w:szCs w:val="22"/>
        </w:rPr>
      </w:pPr>
    </w:p>
    <w:p w:rsidR="00AF398F" w:rsidRDefault="00FE32AA" w:rsidP="00FE32AA">
      <w:pPr>
        <w:jc w:val="center"/>
        <w:rPr>
          <w:rFonts w:cs="Times New Roman"/>
          <w:sz w:val="22"/>
          <w:szCs w:val="22"/>
        </w:rPr>
      </w:pPr>
      <w:r>
        <w:rPr>
          <w:rFonts w:cs="Times New Roman"/>
          <w:noProof/>
          <w:sz w:val="22"/>
          <w:szCs w:val="22"/>
        </w:rPr>
        <w:drawing>
          <wp:inline distT="0" distB="0" distL="0" distR="0">
            <wp:extent cx="6154746" cy="7246961"/>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srcRect/>
                    <a:stretch>
                      <a:fillRect/>
                    </a:stretch>
                  </pic:blipFill>
                  <pic:spPr bwMode="auto">
                    <a:xfrm>
                      <a:off x="0" y="0"/>
                      <a:ext cx="6157864" cy="7250632"/>
                    </a:xfrm>
                    <a:prstGeom prst="rect">
                      <a:avLst/>
                    </a:prstGeom>
                    <a:noFill/>
                    <a:ln w="9525">
                      <a:noFill/>
                      <a:miter lim="800000"/>
                      <a:headEnd/>
                      <a:tailEnd/>
                    </a:ln>
                  </pic:spPr>
                </pic:pic>
              </a:graphicData>
            </a:graphic>
          </wp:inline>
        </w:drawing>
      </w:r>
    </w:p>
    <w:p w:rsidR="005F0F7F" w:rsidRDefault="005F0F7F">
      <w:pPr>
        <w:jc w:val="left"/>
        <w:rPr>
          <w:rFonts w:cs="Times New Roman"/>
          <w:sz w:val="22"/>
          <w:szCs w:val="22"/>
        </w:rPr>
      </w:pPr>
    </w:p>
    <w:p w:rsidR="005F0F7F" w:rsidRDefault="00FE32AA" w:rsidP="00AF398F">
      <w:pPr>
        <w:jc w:val="left"/>
        <w:rPr>
          <w:rFonts w:cs="Times New Roman"/>
          <w:sz w:val="22"/>
          <w:szCs w:val="22"/>
        </w:rPr>
      </w:pPr>
      <w:r>
        <w:rPr>
          <w:rFonts w:cs="Times New Roman"/>
          <w:noProof/>
          <w:sz w:val="22"/>
          <w:szCs w:val="22"/>
        </w:rPr>
        <w:drawing>
          <wp:inline distT="0" distB="0" distL="0" distR="0">
            <wp:extent cx="6057879" cy="7533564"/>
            <wp:effectExtent l="19050" t="0" r="21"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srcRect/>
                    <a:stretch>
                      <a:fillRect/>
                    </a:stretch>
                  </pic:blipFill>
                  <pic:spPr bwMode="auto">
                    <a:xfrm>
                      <a:off x="0" y="0"/>
                      <a:ext cx="6063850" cy="7540989"/>
                    </a:xfrm>
                    <a:prstGeom prst="rect">
                      <a:avLst/>
                    </a:prstGeom>
                    <a:noFill/>
                    <a:ln w="9525">
                      <a:noFill/>
                      <a:miter lim="800000"/>
                      <a:headEnd/>
                      <a:tailEnd/>
                    </a:ln>
                  </pic:spPr>
                </pic:pic>
              </a:graphicData>
            </a:graphic>
          </wp:inline>
        </w:drawing>
      </w:r>
    </w:p>
    <w:p w:rsidR="005F0F7F" w:rsidRDefault="005F0F7F">
      <w:pPr>
        <w:jc w:val="left"/>
        <w:rPr>
          <w:rFonts w:cs="Times New Roman"/>
          <w:sz w:val="22"/>
          <w:szCs w:val="22"/>
        </w:rPr>
      </w:pPr>
      <w:r>
        <w:rPr>
          <w:rFonts w:cs="Times New Roman"/>
          <w:sz w:val="22"/>
          <w:szCs w:val="22"/>
        </w:rPr>
        <w:br w:type="page"/>
      </w:r>
    </w:p>
    <w:p w:rsidR="00FE32AA" w:rsidRDefault="00FE32AA" w:rsidP="00AF398F">
      <w:pPr>
        <w:jc w:val="left"/>
        <w:rPr>
          <w:rFonts w:cs="Times New Roman"/>
          <w:sz w:val="22"/>
          <w:szCs w:val="22"/>
        </w:rPr>
      </w:pPr>
    </w:p>
    <w:p w:rsidR="005F0F7F" w:rsidRDefault="00FE32AA" w:rsidP="00AF398F">
      <w:pPr>
        <w:jc w:val="left"/>
        <w:rPr>
          <w:rFonts w:cs="Times New Roman"/>
          <w:sz w:val="22"/>
          <w:szCs w:val="22"/>
        </w:rPr>
      </w:pPr>
      <w:r>
        <w:rPr>
          <w:rFonts w:cs="Times New Roman"/>
          <w:noProof/>
          <w:sz w:val="22"/>
          <w:szCs w:val="22"/>
        </w:rPr>
        <w:drawing>
          <wp:inline distT="0" distB="0" distL="0" distR="0">
            <wp:extent cx="5876422" cy="7656394"/>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srcRect/>
                    <a:stretch>
                      <a:fillRect/>
                    </a:stretch>
                  </pic:blipFill>
                  <pic:spPr bwMode="auto">
                    <a:xfrm>
                      <a:off x="0" y="0"/>
                      <a:ext cx="5882214" cy="7663940"/>
                    </a:xfrm>
                    <a:prstGeom prst="rect">
                      <a:avLst/>
                    </a:prstGeom>
                    <a:noFill/>
                    <a:ln w="9525">
                      <a:noFill/>
                      <a:miter lim="800000"/>
                      <a:headEnd/>
                      <a:tailEnd/>
                    </a:ln>
                  </pic:spPr>
                </pic:pic>
              </a:graphicData>
            </a:graphic>
          </wp:inline>
        </w:drawing>
      </w:r>
    </w:p>
    <w:sectPr w:rsidR="005F0F7F" w:rsidSect="0079080C">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D7A" w:rsidRDefault="00614D7A">
      <w:pPr>
        <w:rPr>
          <w:rFonts w:cs="Times New Roman"/>
        </w:rPr>
      </w:pPr>
      <w:r>
        <w:rPr>
          <w:rFonts w:cs="Times New Roman"/>
        </w:rPr>
        <w:separator/>
      </w:r>
    </w:p>
  </w:endnote>
  <w:endnote w:type="continuationSeparator" w:id="0">
    <w:p w:rsidR="00614D7A" w:rsidRDefault="00614D7A">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Italic">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old">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7A" w:rsidRDefault="00614D7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7A" w:rsidRDefault="00D62243">
    <w:pPr>
      <w:pStyle w:val="Footer"/>
      <w:jc w:val="center"/>
    </w:pPr>
    <w:fldSimple w:instr=" PAGE   \* MERGEFORMAT ">
      <w:r w:rsidR="008453AD">
        <w:rPr>
          <w:noProof/>
        </w:rPr>
        <w:t>1</w:t>
      </w:r>
    </w:fldSimple>
  </w:p>
  <w:p w:rsidR="00614D7A" w:rsidRDefault="00614D7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7A" w:rsidRDefault="00614D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D7A" w:rsidRDefault="00614D7A">
      <w:pPr>
        <w:rPr>
          <w:rFonts w:cs="Times New Roman"/>
        </w:rPr>
      </w:pPr>
      <w:r>
        <w:rPr>
          <w:rFonts w:cs="Times New Roman"/>
        </w:rPr>
        <w:separator/>
      </w:r>
    </w:p>
  </w:footnote>
  <w:footnote w:type="continuationSeparator" w:id="0">
    <w:p w:rsidR="00614D7A" w:rsidRDefault="00614D7A">
      <w:pPr>
        <w:rPr>
          <w:rFonts w:cs="Times New Roman"/>
        </w:rPr>
      </w:pPr>
      <w:r>
        <w:rPr>
          <w:rFonts w:cs="Times New Roman"/>
        </w:rPr>
        <w:continuationSeparator/>
      </w:r>
    </w:p>
  </w:footnote>
  <w:footnote w:id="1">
    <w:p w:rsidR="00614D7A" w:rsidRDefault="00614D7A">
      <w:pPr>
        <w:pStyle w:val="FootnoteText"/>
      </w:pPr>
      <w:r>
        <w:rPr>
          <w:rStyle w:val="FootnoteReference"/>
        </w:rPr>
        <w:footnoteRef/>
      </w:r>
      <w:r>
        <w:t xml:space="preserve"> Certain discharges (primarily stormwater) from the other properties on the former Gasco site are regulated under separate NPDES permits.  These are listed in Section 2.3 of this report.</w:t>
      </w:r>
    </w:p>
  </w:footnote>
  <w:footnote w:id="2">
    <w:p w:rsidR="00614D7A" w:rsidRPr="00837923" w:rsidRDefault="00614D7A" w:rsidP="007E2368">
      <w:pPr>
        <w:pStyle w:val="FootnoteText"/>
      </w:pPr>
      <w:r w:rsidRPr="00837923">
        <w:rPr>
          <w:rStyle w:val="FootnoteReference"/>
        </w:rPr>
        <w:footnoteRef/>
      </w:r>
      <w:r w:rsidRPr="00837923">
        <w:t xml:space="preserve"> A mixing zone for this discharge and of this size in the lower Willamette River meets the Departmental requirements and guidelines. A “permit writer’s checklist” related to the mixing zone is included in Attachment </w:t>
      </w:r>
      <w:r>
        <w:t>F</w:t>
      </w:r>
      <w:r w:rsidRPr="00837923">
        <w:t>.</w:t>
      </w:r>
    </w:p>
  </w:footnote>
  <w:footnote w:id="3">
    <w:p w:rsidR="00614D7A" w:rsidRDefault="00614D7A">
      <w:pPr>
        <w:pStyle w:val="FootnoteText"/>
      </w:pPr>
      <w:r>
        <w:rPr>
          <w:rStyle w:val="FootnoteReference"/>
        </w:rPr>
        <w:footnoteRef/>
      </w:r>
      <w:r>
        <w:t xml:space="preserve"> Many of the toxic pollutants discussed in this report have more than one common name.  Within this report and in the proposed permit, these pollutants will primarily be called by the names as they are listed within Oregon’s water quality standards (OAR 340-041 Tables 20</w:t>
      </w:r>
      <w:r w:rsidR="00926E55">
        <w:t>, 33A, 33B</w:t>
      </w:r>
      <w:r>
        <w:t xml:space="preserve"> and 41).</w:t>
      </w:r>
    </w:p>
  </w:footnote>
  <w:footnote w:id="4">
    <w:p w:rsidR="00614D7A" w:rsidRDefault="00614D7A">
      <w:pPr>
        <w:pStyle w:val="FootnoteText"/>
      </w:pPr>
      <w:r>
        <w:rPr>
          <w:rStyle w:val="FootnoteReference"/>
        </w:rPr>
        <w:footnoteRef/>
      </w:r>
      <w:r>
        <w:t xml:space="preserve"> The “excess thermal load” is based on the effluent flow volume and the effluent temperature above the relevant criterion.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7A" w:rsidRDefault="00614D7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7A" w:rsidRDefault="00614D7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7A" w:rsidRDefault="00614D7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32558"/>
    <w:multiLevelType w:val="hybridMultilevel"/>
    <w:tmpl w:val="CBD08CA8"/>
    <w:lvl w:ilvl="0" w:tplc="04090017">
      <w:start w:val="1"/>
      <w:numFmt w:val="lowerLetter"/>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
    <w:nsid w:val="0C52591C"/>
    <w:multiLevelType w:val="hybridMultilevel"/>
    <w:tmpl w:val="320C4546"/>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cs="Wingdings" w:hint="default"/>
      </w:rPr>
    </w:lvl>
    <w:lvl w:ilvl="3" w:tplc="04090001">
      <w:start w:val="1"/>
      <w:numFmt w:val="bullet"/>
      <w:lvlText w:val=""/>
      <w:lvlJc w:val="left"/>
      <w:pPr>
        <w:tabs>
          <w:tab w:val="num" w:pos="2940"/>
        </w:tabs>
        <w:ind w:left="2940" w:hanging="360"/>
      </w:pPr>
      <w:rPr>
        <w:rFonts w:ascii="Symbol" w:hAnsi="Symbol" w:cs="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cs="Wingdings" w:hint="default"/>
      </w:rPr>
    </w:lvl>
    <w:lvl w:ilvl="6" w:tplc="04090001">
      <w:start w:val="1"/>
      <w:numFmt w:val="bullet"/>
      <w:lvlText w:val=""/>
      <w:lvlJc w:val="left"/>
      <w:pPr>
        <w:tabs>
          <w:tab w:val="num" w:pos="5100"/>
        </w:tabs>
        <w:ind w:left="5100" w:hanging="360"/>
      </w:pPr>
      <w:rPr>
        <w:rFonts w:ascii="Symbol" w:hAnsi="Symbol" w:cs="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cs="Wingdings" w:hint="default"/>
      </w:rPr>
    </w:lvl>
  </w:abstractNum>
  <w:abstractNum w:abstractNumId="2">
    <w:nsid w:val="0DD84258"/>
    <w:multiLevelType w:val="hybridMultilevel"/>
    <w:tmpl w:val="B3CE86E2"/>
    <w:lvl w:ilvl="0" w:tplc="04090017">
      <w:start w:val="1"/>
      <w:numFmt w:val="lowerLetter"/>
      <w:lvlText w:val="%1)"/>
      <w:lvlJc w:val="left"/>
      <w:pPr>
        <w:ind w:left="2070" w:hanging="360"/>
      </w:pPr>
    </w:lvl>
    <w:lvl w:ilvl="1" w:tplc="10D04098">
      <w:start w:val="1"/>
      <w:numFmt w:val="decimal"/>
      <w:lvlText w:val="%2."/>
      <w:lvlJc w:val="left"/>
      <w:pPr>
        <w:ind w:left="3150" w:hanging="720"/>
      </w:pPr>
      <w:rPr>
        <w:rFonts w:hint="default"/>
      </w:r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
    <w:nsid w:val="12BC6E12"/>
    <w:multiLevelType w:val="hybridMultilevel"/>
    <w:tmpl w:val="8FD2EA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5690336"/>
    <w:multiLevelType w:val="hybridMultilevel"/>
    <w:tmpl w:val="842E3E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65501DD"/>
    <w:multiLevelType w:val="multilevel"/>
    <w:tmpl w:val="D7CC610E"/>
    <w:lvl w:ilvl="0">
      <w:start w:val="1"/>
      <w:numFmt w:val="decimal"/>
      <w:lvlText w:val="%1."/>
      <w:legacy w:legacy="1" w:legacySpace="0" w:legacyIndent="432"/>
      <w:lvlJc w:val="left"/>
      <w:pPr>
        <w:ind w:left="432" w:hanging="432"/>
      </w:pPr>
      <w:rPr>
        <w:rFonts w:ascii="Times New Roman" w:hAnsi="Times New Roman" w:cs="Times New Roman"/>
      </w:rPr>
    </w:lvl>
    <w:lvl w:ilvl="1">
      <w:start w:val="1"/>
      <w:numFmt w:val="lowerLetter"/>
      <w:lvlText w:val="%2)"/>
      <w:legacy w:legacy="1" w:legacySpace="0" w:legacyIndent="432"/>
      <w:lvlJc w:val="left"/>
      <w:pPr>
        <w:ind w:left="864" w:hanging="432"/>
      </w:pPr>
      <w:rPr>
        <w:rFonts w:ascii="Times New Roman" w:hAnsi="Times New Roman" w:cs="Times New Roman"/>
      </w:rPr>
    </w:lvl>
    <w:lvl w:ilvl="2">
      <w:start w:val="1"/>
      <w:numFmt w:val="lowerRoman"/>
      <w:lvlText w:val="%3)"/>
      <w:legacy w:legacy="1" w:legacySpace="0" w:legacyIndent="432"/>
      <w:lvlJc w:val="left"/>
      <w:pPr>
        <w:ind w:left="1296" w:hanging="432"/>
      </w:pPr>
      <w:rPr>
        <w:rFonts w:ascii="Times New Roman" w:hAnsi="Times New Roman" w:cs="Times New Roman"/>
      </w:rPr>
    </w:lvl>
    <w:lvl w:ilvl="3">
      <w:start w:val="1"/>
      <w:numFmt w:val="decimal"/>
      <w:lvlText w:val="(%4)"/>
      <w:legacy w:legacy="1" w:legacySpace="0" w:legacyIndent="432"/>
      <w:lvlJc w:val="left"/>
      <w:pPr>
        <w:ind w:left="1728" w:hanging="432"/>
      </w:pPr>
      <w:rPr>
        <w:rFonts w:ascii="Times New Roman" w:hAnsi="Times New Roman" w:cs="Times New Roman"/>
        <w:b w:val="0"/>
        <w:bCs w:val="0"/>
        <w:i/>
        <w:iCs/>
      </w:rPr>
    </w:lvl>
    <w:lvl w:ilvl="4">
      <w:numFmt w:val="none"/>
      <w:lvlText w:val=""/>
      <w:lvlJc w:val="left"/>
      <w:pPr>
        <w:tabs>
          <w:tab w:val="num" w:pos="360"/>
        </w:tabs>
      </w:pPr>
      <w:rPr>
        <w:rFonts w:ascii="Times New Roman" w:hAnsi="Times New Roman" w:cs="Times New Roman"/>
      </w:rPr>
    </w:lvl>
    <w:lvl w:ilvl="5">
      <w:numFmt w:val="none"/>
      <w:lvlText w:val=""/>
      <w:lvlJc w:val="left"/>
      <w:pPr>
        <w:tabs>
          <w:tab w:val="num" w:pos="360"/>
        </w:tabs>
      </w:pPr>
      <w:rPr>
        <w:rFonts w:ascii="Times New Roman" w:hAnsi="Times New Roman" w:cs="Times New Roman"/>
      </w:rPr>
    </w:lvl>
    <w:lvl w:ilvl="6">
      <w:numFmt w:val="none"/>
      <w:lvlText w:val=""/>
      <w:lvlJc w:val="left"/>
      <w:pPr>
        <w:tabs>
          <w:tab w:val="num" w:pos="360"/>
        </w:tabs>
      </w:pPr>
      <w:rPr>
        <w:rFonts w:ascii="Times New Roman" w:hAnsi="Times New Roman" w:cs="Times New Roman"/>
      </w:rPr>
    </w:lvl>
    <w:lvl w:ilvl="7">
      <w:numFmt w:val="none"/>
      <w:lvlText w:val=""/>
      <w:lvlJc w:val="left"/>
      <w:pPr>
        <w:tabs>
          <w:tab w:val="num" w:pos="360"/>
        </w:tabs>
      </w:pPr>
      <w:rPr>
        <w:rFonts w:ascii="Times New Roman" w:hAnsi="Times New Roman" w:cs="Times New Roman"/>
      </w:rPr>
    </w:lvl>
    <w:lvl w:ilvl="8">
      <w:numFmt w:val="none"/>
      <w:lvlText w:val=""/>
      <w:lvlJc w:val="left"/>
      <w:pPr>
        <w:tabs>
          <w:tab w:val="num" w:pos="360"/>
        </w:tabs>
      </w:pPr>
      <w:rPr>
        <w:rFonts w:ascii="Times New Roman" w:hAnsi="Times New Roman" w:cs="Times New Roman"/>
      </w:rPr>
    </w:lvl>
  </w:abstractNum>
  <w:abstractNum w:abstractNumId="6">
    <w:nsid w:val="1E3E5EA4"/>
    <w:multiLevelType w:val="multilevel"/>
    <w:tmpl w:val="C0F4070C"/>
    <w:lvl w:ilvl="0">
      <w:start w:val="6"/>
      <w:numFmt w:val="decimal"/>
      <w:lvlText w:val="%1.0"/>
      <w:lvlJc w:val="left"/>
      <w:pPr>
        <w:tabs>
          <w:tab w:val="num" w:pos="720"/>
        </w:tabs>
        <w:ind w:left="720" w:hanging="720"/>
      </w:pPr>
      <w:rPr>
        <w:rFonts w:ascii="Times New Roman" w:hAnsi="Times New Roman" w:cs="Times New Roman" w:hint="default"/>
      </w:rPr>
    </w:lvl>
    <w:lvl w:ilvl="1">
      <w:start w:val="1"/>
      <w:numFmt w:val="decimal"/>
      <w:lvlText w:val="%1.%2"/>
      <w:lvlJc w:val="left"/>
      <w:pPr>
        <w:tabs>
          <w:tab w:val="num" w:pos="1440"/>
        </w:tabs>
        <w:ind w:left="1440" w:hanging="720"/>
      </w:pPr>
      <w:rPr>
        <w:rFonts w:ascii="Times New Roman" w:hAnsi="Times New Roman" w:cs="Times New Roman" w:hint="default"/>
      </w:rPr>
    </w:lvl>
    <w:lvl w:ilvl="2">
      <w:start w:val="1"/>
      <w:numFmt w:val="decimal"/>
      <w:lvlText w:val="%1.%2.%3"/>
      <w:lvlJc w:val="left"/>
      <w:pPr>
        <w:tabs>
          <w:tab w:val="num" w:pos="2160"/>
        </w:tabs>
        <w:ind w:left="2160" w:hanging="720"/>
      </w:pPr>
      <w:rPr>
        <w:rFonts w:ascii="Times New Roman" w:hAnsi="Times New Roman" w:cs="Times New Roman" w:hint="default"/>
      </w:rPr>
    </w:lvl>
    <w:lvl w:ilvl="3">
      <w:start w:val="1"/>
      <w:numFmt w:val="decimal"/>
      <w:lvlText w:val="%1.%2.%3.%4"/>
      <w:lvlJc w:val="left"/>
      <w:pPr>
        <w:tabs>
          <w:tab w:val="num" w:pos="3240"/>
        </w:tabs>
        <w:ind w:left="3240" w:hanging="1080"/>
      </w:pPr>
      <w:rPr>
        <w:rFonts w:ascii="Times New Roman" w:hAnsi="Times New Roman" w:cs="Times New Roman" w:hint="default"/>
      </w:rPr>
    </w:lvl>
    <w:lvl w:ilvl="4">
      <w:start w:val="1"/>
      <w:numFmt w:val="decimal"/>
      <w:lvlText w:val="%1.%2.%3.%4.%5"/>
      <w:lvlJc w:val="left"/>
      <w:pPr>
        <w:tabs>
          <w:tab w:val="num" w:pos="4320"/>
        </w:tabs>
        <w:ind w:left="4320" w:hanging="1440"/>
      </w:pPr>
      <w:rPr>
        <w:rFonts w:ascii="Times New Roman" w:hAnsi="Times New Roman" w:cs="Times New Roman" w:hint="default"/>
      </w:rPr>
    </w:lvl>
    <w:lvl w:ilvl="5">
      <w:start w:val="1"/>
      <w:numFmt w:val="decimal"/>
      <w:lvlText w:val="%1.%2.%3.%4.%5.%6"/>
      <w:lvlJc w:val="left"/>
      <w:pPr>
        <w:tabs>
          <w:tab w:val="num" w:pos="5040"/>
        </w:tabs>
        <w:ind w:left="5040" w:hanging="1440"/>
      </w:pPr>
      <w:rPr>
        <w:rFonts w:ascii="Times New Roman" w:hAnsi="Times New Roman" w:cs="Times New Roman" w:hint="default"/>
      </w:rPr>
    </w:lvl>
    <w:lvl w:ilvl="6">
      <w:start w:val="1"/>
      <w:numFmt w:val="decimal"/>
      <w:lvlText w:val="%1.%2.%3.%4.%5.%6.%7"/>
      <w:lvlJc w:val="left"/>
      <w:pPr>
        <w:tabs>
          <w:tab w:val="num" w:pos="6120"/>
        </w:tabs>
        <w:ind w:left="6120" w:hanging="1800"/>
      </w:pPr>
      <w:rPr>
        <w:rFonts w:ascii="Times New Roman" w:hAnsi="Times New Roman" w:cs="Times New Roman" w:hint="default"/>
      </w:rPr>
    </w:lvl>
    <w:lvl w:ilvl="7">
      <w:start w:val="1"/>
      <w:numFmt w:val="decimal"/>
      <w:lvlText w:val="%1.%2.%3.%4.%5.%6.%7.%8"/>
      <w:lvlJc w:val="left"/>
      <w:pPr>
        <w:tabs>
          <w:tab w:val="num" w:pos="7200"/>
        </w:tabs>
        <w:ind w:left="7200" w:hanging="2160"/>
      </w:pPr>
      <w:rPr>
        <w:rFonts w:ascii="Times New Roman" w:hAnsi="Times New Roman" w:cs="Times New Roman" w:hint="default"/>
      </w:rPr>
    </w:lvl>
    <w:lvl w:ilvl="8">
      <w:start w:val="1"/>
      <w:numFmt w:val="decimal"/>
      <w:lvlText w:val="%1.%2.%3.%4.%5.%6.%7.%8.%9"/>
      <w:lvlJc w:val="left"/>
      <w:pPr>
        <w:tabs>
          <w:tab w:val="num" w:pos="7920"/>
        </w:tabs>
        <w:ind w:left="7920" w:hanging="2160"/>
      </w:pPr>
      <w:rPr>
        <w:rFonts w:ascii="Times New Roman" w:hAnsi="Times New Roman" w:cs="Times New Roman" w:hint="default"/>
      </w:rPr>
    </w:lvl>
  </w:abstractNum>
  <w:abstractNum w:abstractNumId="7">
    <w:nsid w:val="1E5724D2"/>
    <w:multiLevelType w:val="hybridMultilevel"/>
    <w:tmpl w:val="5416435E"/>
    <w:lvl w:ilvl="0" w:tplc="9F1ED008">
      <w:start w:val="1"/>
      <w:numFmt w:val="decimal"/>
      <w:lvlText w:val="%1."/>
      <w:lvlJc w:val="left"/>
      <w:pPr>
        <w:ind w:left="1080" w:hanging="360"/>
      </w:pPr>
      <w:rPr>
        <w:rFonts w:ascii="Times New Roman" w:hAnsi="Times New Roman" w:cs="Times New Roman" w:hint="default"/>
        <w:b/>
        <w:bCs/>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8">
    <w:nsid w:val="2361776E"/>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9">
    <w:nsid w:val="34782530"/>
    <w:multiLevelType w:val="hybridMultilevel"/>
    <w:tmpl w:val="B426AC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91E768E"/>
    <w:multiLevelType w:val="hybridMultilevel"/>
    <w:tmpl w:val="F3128AA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44FC44A0"/>
    <w:multiLevelType w:val="hybridMultilevel"/>
    <w:tmpl w:val="7AF0DB4A"/>
    <w:lvl w:ilvl="0" w:tplc="6D642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F74351"/>
    <w:multiLevelType w:val="hybridMultilevel"/>
    <w:tmpl w:val="5D527A56"/>
    <w:lvl w:ilvl="0" w:tplc="0409000F">
      <w:start w:val="1"/>
      <w:numFmt w:val="decimal"/>
      <w:lvlText w:val="%1."/>
      <w:lvlJc w:val="left"/>
      <w:pPr>
        <w:ind w:left="702" w:hanging="360"/>
      </w:pPr>
      <w:rPr>
        <w:rFonts w:ascii="Times New Roman" w:hAnsi="Times New Roman" w:cs="Times New Roman"/>
      </w:rPr>
    </w:lvl>
    <w:lvl w:ilvl="1" w:tplc="04090019">
      <w:start w:val="1"/>
      <w:numFmt w:val="lowerLetter"/>
      <w:lvlText w:val="%2."/>
      <w:lvlJc w:val="left"/>
      <w:pPr>
        <w:ind w:left="1422" w:hanging="360"/>
      </w:pPr>
      <w:rPr>
        <w:rFonts w:ascii="Times New Roman" w:hAnsi="Times New Roman" w:cs="Times New Roman"/>
      </w:rPr>
    </w:lvl>
    <w:lvl w:ilvl="2" w:tplc="0409001B">
      <w:start w:val="1"/>
      <w:numFmt w:val="lowerRoman"/>
      <w:lvlText w:val="%3."/>
      <w:lvlJc w:val="right"/>
      <w:pPr>
        <w:ind w:left="2142" w:hanging="180"/>
      </w:pPr>
      <w:rPr>
        <w:rFonts w:ascii="Times New Roman" w:hAnsi="Times New Roman" w:cs="Times New Roman"/>
      </w:rPr>
    </w:lvl>
    <w:lvl w:ilvl="3" w:tplc="0409000F">
      <w:start w:val="1"/>
      <w:numFmt w:val="decimal"/>
      <w:lvlText w:val="%4."/>
      <w:lvlJc w:val="left"/>
      <w:pPr>
        <w:ind w:left="2862" w:hanging="360"/>
      </w:pPr>
      <w:rPr>
        <w:rFonts w:ascii="Times New Roman" w:hAnsi="Times New Roman" w:cs="Times New Roman"/>
      </w:rPr>
    </w:lvl>
    <w:lvl w:ilvl="4" w:tplc="04090019">
      <w:start w:val="1"/>
      <w:numFmt w:val="lowerLetter"/>
      <w:lvlText w:val="%5."/>
      <w:lvlJc w:val="left"/>
      <w:pPr>
        <w:ind w:left="3582" w:hanging="360"/>
      </w:pPr>
      <w:rPr>
        <w:rFonts w:ascii="Times New Roman" w:hAnsi="Times New Roman" w:cs="Times New Roman"/>
      </w:rPr>
    </w:lvl>
    <w:lvl w:ilvl="5" w:tplc="0409001B">
      <w:start w:val="1"/>
      <w:numFmt w:val="lowerRoman"/>
      <w:lvlText w:val="%6."/>
      <w:lvlJc w:val="right"/>
      <w:pPr>
        <w:ind w:left="4302" w:hanging="180"/>
      </w:pPr>
      <w:rPr>
        <w:rFonts w:ascii="Times New Roman" w:hAnsi="Times New Roman" w:cs="Times New Roman"/>
      </w:rPr>
    </w:lvl>
    <w:lvl w:ilvl="6" w:tplc="0409000F">
      <w:start w:val="1"/>
      <w:numFmt w:val="decimal"/>
      <w:lvlText w:val="%7."/>
      <w:lvlJc w:val="left"/>
      <w:pPr>
        <w:ind w:left="5022" w:hanging="360"/>
      </w:pPr>
      <w:rPr>
        <w:rFonts w:ascii="Times New Roman" w:hAnsi="Times New Roman" w:cs="Times New Roman"/>
      </w:rPr>
    </w:lvl>
    <w:lvl w:ilvl="7" w:tplc="04090019">
      <w:start w:val="1"/>
      <w:numFmt w:val="lowerLetter"/>
      <w:lvlText w:val="%8."/>
      <w:lvlJc w:val="left"/>
      <w:pPr>
        <w:ind w:left="5742" w:hanging="360"/>
      </w:pPr>
      <w:rPr>
        <w:rFonts w:ascii="Times New Roman" w:hAnsi="Times New Roman" w:cs="Times New Roman"/>
      </w:rPr>
    </w:lvl>
    <w:lvl w:ilvl="8" w:tplc="0409001B">
      <w:start w:val="1"/>
      <w:numFmt w:val="lowerRoman"/>
      <w:lvlText w:val="%9."/>
      <w:lvlJc w:val="right"/>
      <w:pPr>
        <w:ind w:left="6462" w:hanging="180"/>
      </w:pPr>
      <w:rPr>
        <w:rFonts w:ascii="Times New Roman" w:hAnsi="Times New Roman" w:cs="Times New Roman"/>
      </w:rPr>
    </w:lvl>
  </w:abstractNum>
  <w:abstractNum w:abstractNumId="13">
    <w:nsid w:val="64265D7B"/>
    <w:multiLevelType w:val="hybridMultilevel"/>
    <w:tmpl w:val="AA760750"/>
    <w:lvl w:ilvl="0" w:tplc="B74EAF54">
      <w:start w:val="1"/>
      <w:numFmt w:val="decimal"/>
      <w:lvlText w:val="%1."/>
      <w:lvlJc w:val="left"/>
      <w:pPr>
        <w:ind w:left="810" w:hanging="360"/>
      </w:pPr>
      <w:rPr>
        <w:rFonts w:ascii="Times New Roman" w:hAnsi="Times New Roman" w:cs="Times New Roman" w:hint="default"/>
      </w:rPr>
    </w:lvl>
    <w:lvl w:ilvl="1" w:tplc="04090019">
      <w:start w:val="1"/>
      <w:numFmt w:val="lowerLetter"/>
      <w:lvlText w:val="%2."/>
      <w:lvlJc w:val="left"/>
      <w:pPr>
        <w:ind w:left="1530" w:hanging="360"/>
      </w:pPr>
      <w:rPr>
        <w:rFonts w:ascii="Times New Roman" w:hAnsi="Times New Roman" w:cs="Times New Roman"/>
      </w:rPr>
    </w:lvl>
    <w:lvl w:ilvl="2" w:tplc="0409001B">
      <w:start w:val="1"/>
      <w:numFmt w:val="lowerRoman"/>
      <w:lvlText w:val="%3."/>
      <w:lvlJc w:val="right"/>
      <w:pPr>
        <w:ind w:left="2250" w:hanging="180"/>
      </w:pPr>
      <w:rPr>
        <w:rFonts w:ascii="Times New Roman" w:hAnsi="Times New Roman" w:cs="Times New Roman"/>
      </w:rPr>
    </w:lvl>
    <w:lvl w:ilvl="3" w:tplc="0409000F">
      <w:start w:val="1"/>
      <w:numFmt w:val="decimal"/>
      <w:lvlText w:val="%4."/>
      <w:lvlJc w:val="left"/>
      <w:pPr>
        <w:ind w:left="2970" w:hanging="360"/>
      </w:pPr>
      <w:rPr>
        <w:rFonts w:ascii="Times New Roman" w:hAnsi="Times New Roman" w:cs="Times New Roman"/>
      </w:rPr>
    </w:lvl>
    <w:lvl w:ilvl="4" w:tplc="04090019">
      <w:start w:val="1"/>
      <w:numFmt w:val="lowerLetter"/>
      <w:lvlText w:val="%5."/>
      <w:lvlJc w:val="left"/>
      <w:pPr>
        <w:ind w:left="3690" w:hanging="360"/>
      </w:pPr>
      <w:rPr>
        <w:rFonts w:ascii="Times New Roman" w:hAnsi="Times New Roman" w:cs="Times New Roman"/>
      </w:rPr>
    </w:lvl>
    <w:lvl w:ilvl="5" w:tplc="0409001B">
      <w:start w:val="1"/>
      <w:numFmt w:val="lowerRoman"/>
      <w:lvlText w:val="%6."/>
      <w:lvlJc w:val="right"/>
      <w:pPr>
        <w:ind w:left="4410" w:hanging="180"/>
      </w:pPr>
      <w:rPr>
        <w:rFonts w:ascii="Times New Roman" w:hAnsi="Times New Roman" w:cs="Times New Roman"/>
      </w:rPr>
    </w:lvl>
    <w:lvl w:ilvl="6" w:tplc="0409000F">
      <w:start w:val="1"/>
      <w:numFmt w:val="decimal"/>
      <w:lvlText w:val="%7."/>
      <w:lvlJc w:val="left"/>
      <w:pPr>
        <w:ind w:left="5130" w:hanging="360"/>
      </w:pPr>
      <w:rPr>
        <w:rFonts w:ascii="Times New Roman" w:hAnsi="Times New Roman" w:cs="Times New Roman"/>
      </w:rPr>
    </w:lvl>
    <w:lvl w:ilvl="7" w:tplc="04090019">
      <w:start w:val="1"/>
      <w:numFmt w:val="lowerLetter"/>
      <w:lvlText w:val="%8."/>
      <w:lvlJc w:val="left"/>
      <w:pPr>
        <w:ind w:left="5850" w:hanging="360"/>
      </w:pPr>
      <w:rPr>
        <w:rFonts w:ascii="Times New Roman" w:hAnsi="Times New Roman" w:cs="Times New Roman"/>
      </w:rPr>
    </w:lvl>
    <w:lvl w:ilvl="8" w:tplc="0409001B">
      <w:start w:val="1"/>
      <w:numFmt w:val="lowerRoman"/>
      <w:lvlText w:val="%9."/>
      <w:lvlJc w:val="right"/>
      <w:pPr>
        <w:ind w:left="6570" w:hanging="180"/>
      </w:pPr>
      <w:rPr>
        <w:rFonts w:ascii="Times New Roman" w:hAnsi="Times New Roman" w:cs="Times New Roman"/>
      </w:rPr>
    </w:lvl>
  </w:abstractNum>
  <w:abstractNum w:abstractNumId="14">
    <w:nsid w:val="6A6618CD"/>
    <w:multiLevelType w:val="hybridMultilevel"/>
    <w:tmpl w:val="5A26E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E5A3355"/>
    <w:multiLevelType w:val="hybridMultilevel"/>
    <w:tmpl w:val="4BDCBCB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703561ED"/>
    <w:multiLevelType w:val="hybridMultilevel"/>
    <w:tmpl w:val="15FA79A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7B900EDC"/>
    <w:multiLevelType w:val="hybridMultilevel"/>
    <w:tmpl w:val="92042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16"/>
  </w:num>
  <w:num w:numId="4">
    <w:abstractNumId w:val="0"/>
  </w:num>
  <w:num w:numId="5">
    <w:abstractNumId w:val="10"/>
  </w:num>
  <w:num w:numId="6">
    <w:abstractNumId w:val="6"/>
  </w:num>
  <w:num w:numId="7">
    <w:abstractNumId w:val="12"/>
  </w:num>
  <w:num w:numId="8">
    <w:abstractNumId w:val="13"/>
  </w:num>
  <w:num w:numId="9">
    <w:abstractNumId w:val="5"/>
  </w:num>
  <w:num w:numId="10">
    <w:abstractNumId w:val="7"/>
  </w:num>
  <w:num w:numId="11">
    <w:abstractNumId w:val="2"/>
  </w:num>
  <w:num w:numId="12">
    <w:abstractNumId w:val="11"/>
  </w:num>
  <w:num w:numId="13">
    <w:abstractNumId w:val="14"/>
  </w:num>
  <w:num w:numId="14">
    <w:abstractNumId w:val="4"/>
  </w:num>
  <w:num w:numId="15">
    <w:abstractNumId w:val="9"/>
  </w:num>
  <w:num w:numId="16">
    <w:abstractNumId w:val="3"/>
  </w:num>
  <w:num w:numId="17">
    <w:abstractNumId w:val="15"/>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efaultTabStop w:val="720"/>
  <w:doNotHyphenateCaps/>
  <w:drawingGridHorizontalSpacing w:val="120"/>
  <w:displayHorizontalDrawingGridEvery w:val="2"/>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
  <w:rsids>
    <w:rsidRoot w:val="0027683C"/>
    <w:rsid w:val="00014C7B"/>
    <w:rsid w:val="000161B5"/>
    <w:rsid w:val="000451EB"/>
    <w:rsid w:val="0005263F"/>
    <w:rsid w:val="00087BB7"/>
    <w:rsid w:val="000978DF"/>
    <w:rsid w:val="000B4F69"/>
    <w:rsid w:val="000D2B87"/>
    <w:rsid w:val="000F770A"/>
    <w:rsid w:val="001109FF"/>
    <w:rsid w:val="001137C1"/>
    <w:rsid w:val="00113B65"/>
    <w:rsid w:val="00114C95"/>
    <w:rsid w:val="00136B40"/>
    <w:rsid w:val="00156422"/>
    <w:rsid w:val="00160ED9"/>
    <w:rsid w:val="00172BA0"/>
    <w:rsid w:val="00176503"/>
    <w:rsid w:val="00180DE1"/>
    <w:rsid w:val="001947A6"/>
    <w:rsid w:val="001956A0"/>
    <w:rsid w:val="00197FF5"/>
    <w:rsid w:val="001A5137"/>
    <w:rsid w:val="001B6ECA"/>
    <w:rsid w:val="001D0D64"/>
    <w:rsid w:val="001D233D"/>
    <w:rsid w:val="001F3D89"/>
    <w:rsid w:val="001F5981"/>
    <w:rsid w:val="00212C9C"/>
    <w:rsid w:val="00212CD6"/>
    <w:rsid w:val="00240B10"/>
    <w:rsid w:val="00253D43"/>
    <w:rsid w:val="0027683C"/>
    <w:rsid w:val="00282B3A"/>
    <w:rsid w:val="002912AC"/>
    <w:rsid w:val="002F08C8"/>
    <w:rsid w:val="00300622"/>
    <w:rsid w:val="00302738"/>
    <w:rsid w:val="003146F0"/>
    <w:rsid w:val="00344090"/>
    <w:rsid w:val="003725F4"/>
    <w:rsid w:val="00373887"/>
    <w:rsid w:val="003808CB"/>
    <w:rsid w:val="003A4331"/>
    <w:rsid w:val="003C55D9"/>
    <w:rsid w:val="003E2278"/>
    <w:rsid w:val="004325C4"/>
    <w:rsid w:val="00446763"/>
    <w:rsid w:val="00451995"/>
    <w:rsid w:val="0046649C"/>
    <w:rsid w:val="0047220F"/>
    <w:rsid w:val="00486C05"/>
    <w:rsid w:val="004A3ADB"/>
    <w:rsid w:val="004B1EF3"/>
    <w:rsid w:val="004C0693"/>
    <w:rsid w:val="004C2340"/>
    <w:rsid w:val="004D5880"/>
    <w:rsid w:val="004E4D5B"/>
    <w:rsid w:val="004F11BC"/>
    <w:rsid w:val="00504ED5"/>
    <w:rsid w:val="0051780A"/>
    <w:rsid w:val="005317D6"/>
    <w:rsid w:val="005438B9"/>
    <w:rsid w:val="005560A3"/>
    <w:rsid w:val="005709F1"/>
    <w:rsid w:val="005A75FC"/>
    <w:rsid w:val="005B4B8D"/>
    <w:rsid w:val="005D178C"/>
    <w:rsid w:val="005F0C24"/>
    <w:rsid w:val="005F0F7F"/>
    <w:rsid w:val="006070CD"/>
    <w:rsid w:val="00610EBF"/>
    <w:rsid w:val="00614D7A"/>
    <w:rsid w:val="00615FB6"/>
    <w:rsid w:val="00623E55"/>
    <w:rsid w:val="006451AE"/>
    <w:rsid w:val="00652C05"/>
    <w:rsid w:val="00664772"/>
    <w:rsid w:val="00664BFB"/>
    <w:rsid w:val="00665551"/>
    <w:rsid w:val="006851C8"/>
    <w:rsid w:val="006943FB"/>
    <w:rsid w:val="00696277"/>
    <w:rsid w:val="006B614A"/>
    <w:rsid w:val="006C1AFA"/>
    <w:rsid w:val="006F155B"/>
    <w:rsid w:val="006F721C"/>
    <w:rsid w:val="00704711"/>
    <w:rsid w:val="007073F3"/>
    <w:rsid w:val="00713580"/>
    <w:rsid w:val="00717D80"/>
    <w:rsid w:val="0073323E"/>
    <w:rsid w:val="007401A9"/>
    <w:rsid w:val="00742F9D"/>
    <w:rsid w:val="007449F4"/>
    <w:rsid w:val="00747FB1"/>
    <w:rsid w:val="00756CEC"/>
    <w:rsid w:val="00772F91"/>
    <w:rsid w:val="0079080C"/>
    <w:rsid w:val="007B3140"/>
    <w:rsid w:val="007E2368"/>
    <w:rsid w:val="007E68B0"/>
    <w:rsid w:val="007F56DA"/>
    <w:rsid w:val="007F7688"/>
    <w:rsid w:val="0081054A"/>
    <w:rsid w:val="008235DC"/>
    <w:rsid w:val="00824C94"/>
    <w:rsid w:val="00837923"/>
    <w:rsid w:val="008453AD"/>
    <w:rsid w:val="00845894"/>
    <w:rsid w:val="00851BCC"/>
    <w:rsid w:val="00885C66"/>
    <w:rsid w:val="008954A3"/>
    <w:rsid w:val="008A43B2"/>
    <w:rsid w:val="008D04A1"/>
    <w:rsid w:val="008F0D05"/>
    <w:rsid w:val="008F47D5"/>
    <w:rsid w:val="008F533E"/>
    <w:rsid w:val="009014D0"/>
    <w:rsid w:val="00902B7C"/>
    <w:rsid w:val="00926E55"/>
    <w:rsid w:val="00932DAE"/>
    <w:rsid w:val="00933ACC"/>
    <w:rsid w:val="00944983"/>
    <w:rsid w:val="00964597"/>
    <w:rsid w:val="00964BC6"/>
    <w:rsid w:val="00973A92"/>
    <w:rsid w:val="00996C53"/>
    <w:rsid w:val="009B286F"/>
    <w:rsid w:val="00A01461"/>
    <w:rsid w:val="00A03B12"/>
    <w:rsid w:val="00A21590"/>
    <w:rsid w:val="00A43072"/>
    <w:rsid w:val="00A524C6"/>
    <w:rsid w:val="00A576F3"/>
    <w:rsid w:val="00A80659"/>
    <w:rsid w:val="00A824A8"/>
    <w:rsid w:val="00A84E24"/>
    <w:rsid w:val="00AA1E00"/>
    <w:rsid w:val="00AA4843"/>
    <w:rsid w:val="00AB2C9C"/>
    <w:rsid w:val="00AC7809"/>
    <w:rsid w:val="00AD33BD"/>
    <w:rsid w:val="00AE4648"/>
    <w:rsid w:val="00AE58F4"/>
    <w:rsid w:val="00AF398F"/>
    <w:rsid w:val="00B048D4"/>
    <w:rsid w:val="00B24FF2"/>
    <w:rsid w:val="00B269F6"/>
    <w:rsid w:val="00B54A19"/>
    <w:rsid w:val="00B85451"/>
    <w:rsid w:val="00B85C5A"/>
    <w:rsid w:val="00B92B17"/>
    <w:rsid w:val="00BA1FED"/>
    <w:rsid w:val="00BA32E7"/>
    <w:rsid w:val="00BA7C5A"/>
    <w:rsid w:val="00BC533A"/>
    <w:rsid w:val="00BC73C0"/>
    <w:rsid w:val="00BF3A10"/>
    <w:rsid w:val="00C00E4E"/>
    <w:rsid w:val="00C326E4"/>
    <w:rsid w:val="00C57EB6"/>
    <w:rsid w:val="00C87E76"/>
    <w:rsid w:val="00CB1859"/>
    <w:rsid w:val="00CC7048"/>
    <w:rsid w:val="00CE4FD5"/>
    <w:rsid w:val="00CF08F0"/>
    <w:rsid w:val="00CF153B"/>
    <w:rsid w:val="00D14681"/>
    <w:rsid w:val="00D15137"/>
    <w:rsid w:val="00D27855"/>
    <w:rsid w:val="00D317E7"/>
    <w:rsid w:val="00D460BB"/>
    <w:rsid w:val="00D469ED"/>
    <w:rsid w:val="00D50DEE"/>
    <w:rsid w:val="00D62243"/>
    <w:rsid w:val="00D63347"/>
    <w:rsid w:val="00D87098"/>
    <w:rsid w:val="00D94ED9"/>
    <w:rsid w:val="00DA1A6B"/>
    <w:rsid w:val="00DB2BDD"/>
    <w:rsid w:val="00DB55C5"/>
    <w:rsid w:val="00DD3DBC"/>
    <w:rsid w:val="00DF3A2F"/>
    <w:rsid w:val="00E15956"/>
    <w:rsid w:val="00E344C3"/>
    <w:rsid w:val="00E544B5"/>
    <w:rsid w:val="00E65FAF"/>
    <w:rsid w:val="00EB1764"/>
    <w:rsid w:val="00EB40FD"/>
    <w:rsid w:val="00ED3F8A"/>
    <w:rsid w:val="00EF2670"/>
    <w:rsid w:val="00EF4E1D"/>
    <w:rsid w:val="00F0558B"/>
    <w:rsid w:val="00F07C6A"/>
    <w:rsid w:val="00F245BE"/>
    <w:rsid w:val="00F37B5C"/>
    <w:rsid w:val="00F42085"/>
    <w:rsid w:val="00F64029"/>
    <w:rsid w:val="00F71EF7"/>
    <w:rsid w:val="00F86B94"/>
    <w:rsid w:val="00FB67FB"/>
    <w:rsid w:val="00FC56C6"/>
    <w:rsid w:val="00FD1C3B"/>
    <w:rsid w:val="00FD5D1F"/>
    <w:rsid w:val="00FE32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iPriority="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0" w:qFormat="1"/>
    <w:lsdException w:name="Salutation" w:unhideWhenUsed="1"/>
    <w:lsdException w:name="Body Text First Indent" w:unhideWhenUsed="1"/>
    <w:lsdException w:name="Body Text First Indent 2" w:unhideWhenUsed="1"/>
    <w:lsdException w:name="Note Heading" w:unhideWhenUsed="1"/>
    <w:lsdException w:name="Body Text Indent 2" w:unhideWhenUsed="1"/>
    <w:lsdException w:name="Strong" w:semiHidden="0" w:qFormat="1"/>
    <w:lsdException w:name="Emphasis" w:semiHidden="0" w:uiPriority="20" w:qFormat="1"/>
    <w:lsdException w:name="Document Map" w:unhideWhenUsed="1"/>
    <w:lsdException w:name="Plain Text"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B67FB"/>
    <w:pPr>
      <w:jc w:val="both"/>
    </w:pPr>
    <w:rPr>
      <w:rFonts w:ascii="Times New Roman" w:hAnsi="Times New Roman"/>
      <w:sz w:val="24"/>
      <w:szCs w:val="24"/>
    </w:rPr>
  </w:style>
  <w:style w:type="paragraph" w:styleId="Heading1">
    <w:name w:val="heading 1"/>
    <w:basedOn w:val="Normal"/>
    <w:next w:val="Normal"/>
    <w:link w:val="Heading1Char"/>
    <w:uiPriority w:val="99"/>
    <w:qFormat/>
    <w:rsid w:val="00FB67F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FB67F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FB67FB"/>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FB67FB"/>
    <w:pPr>
      <w:keepNext/>
      <w:spacing w:before="240" w:after="60"/>
      <w:outlineLvl w:val="3"/>
    </w:pPr>
    <w:rPr>
      <w:b/>
      <w:bCs/>
      <w:sz w:val="28"/>
      <w:szCs w:val="28"/>
    </w:rPr>
  </w:style>
  <w:style w:type="paragraph" w:styleId="Heading5">
    <w:name w:val="heading 5"/>
    <w:basedOn w:val="Normal"/>
    <w:next w:val="Normal"/>
    <w:link w:val="Heading5Char"/>
    <w:uiPriority w:val="99"/>
    <w:qFormat/>
    <w:rsid w:val="00FB67FB"/>
    <w:pPr>
      <w:spacing w:before="240" w:after="60"/>
      <w:outlineLvl w:val="4"/>
    </w:pPr>
    <w:rPr>
      <w:b/>
      <w:bCs/>
      <w:i/>
      <w:iCs/>
      <w:sz w:val="26"/>
      <w:szCs w:val="26"/>
    </w:rPr>
  </w:style>
  <w:style w:type="paragraph" w:styleId="Heading6">
    <w:name w:val="heading 6"/>
    <w:basedOn w:val="Normal"/>
    <w:next w:val="Normal"/>
    <w:link w:val="Heading6Char"/>
    <w:uiPriority w:val="99"/>
    <w:qFormat/>
    <w:rsid w:val="00FB67FB"/>
    <w:pPr>
      <w:spacing w:before="240" w:after="60"/>
      <w:outlineLvl w:val="5"/>
    </w:pPr>
    <w:rPr>
      <w:b/>
      <w:bCs/>
      <w:sz w:val="22"/>
      <w:szCs w:val="22"/>
    </w:rPr>
  </w:style>
  <w:style w:type="paragraph" w:styleId="Heading7">
    <w:name w:val="heading 7"/>
    <w:basedOn w:val="Normal"/>
    <w:next w:val="Normal"/>
    <w:link w:val="Heading7Char"/>
    <w:uiPriority w:val="99"/>
    <w:qFormat/>
    <w:rsid w:val="00FB67FB"/>
    <w:pPr>
      <w:keepNext/>
      <w:spacing w:before="80" w:after="80"/>
      <w:jc w:val="center"/>
      <w:outlineLvl w:val="6"/>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B67FB"/>
    <w:rPr>
      <w:rFonts w:ascii="Cambria" w:hAnsi="Cambria" w:cs="Cambria"/>
      <w:b/>
      <w:bCs/>
      <w:kern w:val="32"/>
      <w:sz w:val="32"/>
      <w:szCs w:val="32"/>
    </w:rPr>
  </w:style>
  <w:style w:type="character" w:customStyle="1" w:styleId="Heading2Char">
    <w:name w:val="Heading 2 Char"/>
    <w:basedOn w:val="DefaultParagraphFont"/>
    <w:link w:val="Heading2"/>
    <w:uiPriority w:val="99"/>
    <w:rsid w:val="00FB67FB"/>
    <w:rPr>
      <w:rFonts w:ascii="Cambria" w:hAnsi="Cambria" w:cs="Cambria"/>
      <w:b/>
      <w:bCs/>
      <w:i/>
      <w:iCs/>
      <w:sz w:val="28"/>
      <w:szCs w:val="28"/>
    </w:rPr>
  </w:style>
  <w:style w:type="character" w:customStyle="1" w:styleId="Heading3Char">
    <w:name w:val="Heading 3 Char"/>
    <w:basedOn w:val="DefaultParagraphFont"/>
    <w:link w:val="Heading3"/>
    <w:uiPriority w:val="99"/>
    <w:rsid w:val="00FB67FB"/>
    <w:rPr>
      <w:rFonts w:ascii="Cambria" w:hAnsi="Cambria" w:cs="Cambria"/>
      <w:b/>
      <w:bCs/>
      <w:sz w:val="26"/>
      <w:szCs w:val="26"/>
    </w:rPr>
  </w:style>
  <w:style w:type="character" w:customStyle="1" w:styleId="Heading4Char">
    <w:name w:val="Heading 4 Char"/>
    <w:basedOn w:val="DefaultParagraphFont"/>
    <w:link w:val="Heading4"/>
    <w:uiPriority w:val="99"/>
    <w:rsid w:val="00FB67FB"/>
    <w:rPr>
      <w:rFonts w:ascii="Times New Roman" w:hAnsi="Times New Roman" w:cs="Times New Roman"/>
      <w:b/>
      <w:bCs/>
      <w:sz w:val="28"/>
      <w:szCs w:val="28"/>
    </w:rPr>
  </w:style>
  <w:style w:type="character" w:customStyle="1" w:styleId="Heading5Char">
    <w:name w:val="Heading 5 Char"/>
    <w:basedOn w:val="DefaultParagraphFont"/>
    <w:link w:val="Heading5"/>
    <w:uiPriority w:val="99"/>
    <w:rsid w:val="00FB67FB"/>
    <w:rPr>
      <w:rFonts w:ascii="Times New Roman" w:hAnsi="Times New Roman" w:cs="Times New Roman"/>
      <w:b/>
      <w:bCs/>
      <w:i/>
      <w:iCs/>
      <w:sz w:val="26"/>
      <w:szCs w:val="26"/>
    </w:rPr>
  </w:style>
  <w:style w:type="character" w:customStyle="1" w:styleId="Heading6Char">
    <w:name w:val="Heading 6 Char"/>
    <w:basedOn w:val="DefaultParagraphFont"/>
    <w:link w:val="Heading6"/>
    <w:uiPriority w:val="99"/>
    <w:rsid w:val="00FB67FB"/>
    <w:rPr>
      <w:rFonts w:ascii="Times New Roman" w:hAnsi="Times New Roman" w:cs="Times New Roman"/>
      <w:b/>
      <w:bCs/>
    </w:rPr>
  </w:style>
  <w:style w:type="character" w:customStyle="1" w:styleId="Heading7Char">
    <w:name w:val="Heading 7 Char"/>
    <w:basedOn w:val="DefaultParagraphFont"/>
    <w:link w:val="Heading7"/>
    <w:uiPriority w:val="99"/>
    <w:rsid w:val="00FB67FB"/>
    <w:rPr>
      <w:rFonts w:ascii="Times New Roman" w:hAnsi="Times New Roman" w:cs="Times New Roman"/>
      <w:sz w:val="24"/>
      <w:szCs w:val="24"/>
    </w:rPr>
  </w:style>
  <w:style w:type="paragraph" w:customStyle="1" w:styleId="Heading1sLeft">
    <w:name w:val="Heading 1s + Left"/>
    <w:basedOn w:val="Normal"/>
    <w:uiPriority w:val="99"/>
    <w:rsid w:val="00FB67FB"/>
    <w:pPr>
      <w:keepNext/>
      <w:keepLines/>
      <w:pBdr>
        <w:bottom w:val="single" w:sz="6" w:space="3" w:color="auto"/>
      </w:pBdr>
      <w:spacing w:before="360" w:after="120" w:line="360" w:lineRule="exact"/>
      <w:outlineLvl w:val="0"/>
    </w:pPr>
    <w:rPr>
      <w:rFonts w:cs="Times New Roman"/>
      <w:b/>
      <w:bCs/>
      <w:caps/>
      <w:kern w:val="28"/>
      <w:sz w:val="28"/>
      <w:szCs w:val="28"/>
    </w:rPr>
  </w:style>
  <w:style w:type="paragraph" w:customStyle="1" w:styleId="Heading1sCentered">
    <w:name w:val="Heading 1s + Centered"/>
    <w:basedOn w:val="Normal"/>
    <w:uiPriority w:val="99"/>
    <w:rsid w:val="00FB67FB"/>
    <w:pPr>
      <w:keepNext/>
      <w:keepLines/>
      <w:pBdr>
        <w:bottom w:val="single" w:sz="6" w:space="3" w:color="auto"/>
      </w:pBdr>
      <w:spacing w:before="360" w:after="120" w:line="360" w:lineRule="exact"/>
      <w:jc w:val="center"/>
      <w:outlineLvl w:val="0"/>
    </w:pPr>
    <w:rPr>
      <w:rFonts w:cs="Times New Roman"/>
      <w:b/>
      <w:bCs/>
      <w:caps/>
      <w:kern w:val="28"/>
      <w:sz w:val="28"/>
      <w:szCs w:val="28"/>
    </w:rPr>
  </w:style>
  <w:style w:type="paragraph" w:styleId="TOC4">
    <w:name w:val="toc 4"/>
    <w:basedOn w:val="Normal"/>
    <w:autoRedefine/>
    <w:uiPriority w:val="99"/>
    <w:rsid w:val="00FB67FB"/>
    <w:pPr>
      <w:tabs>
        <w:tab w:val="right" w:leader="dot" w:pos="8640"/>
      </w:tabs>
      <w:spacing w:before="60" w:after="60"/>
      <w:ind w:left="1080" w:right="1440"/>
    </w:pPr>
    <w:rPr>
      <w:rFonts w:ascii="CG Times (W1)" w:hAnsi="CG Times (W1)" w:cs="CG Times (W1)"/>
    </w:rPr>
  </w:style>
  <w:style w:type="paragraph" w:styleId="TOC3">
    <w:name w:val="toc 3"/>
    <w:basedOn w:val="Normal"/>
    <w:next w:val="Normal"/>
    <w:autoRedefine/>
    <w:uiPriority w:val="99"/>
    <w:rsid w:val="00FB67FB"/>
    <w:pPr>
      <w:ind w:left="480"/>
    </w:pPr>
    <w:rPr>
      <w:rFonts w:cs="Times New Roman"/>
    </w:rPr>
  </w:style>
  <w:style w:type="paragraph" w:styleId="BodyText">
    <w:name w:val="Body Text"/>
    <w:basedOn w:val="Normal"/>
    <w:link w:val="BodyTextChar"/>
    <w:uiPriority w:val="99"/>
    <w:rsid w:val="00FB67FB"/>
    <w:pPr>
      <w:spacing w:after="120"/>
    </w:pPr>
    <w:rPr>
      <w:rFonts w:cs="Times New Roman"/>
    </w:rPr>
  </w:style>
  <w:style w:type="character" w:customStyle="1" w:styleId="BodyTextChar">
    <w:name w:val="Body Text Char"/>
    <w:basedOn w:val="DefaultParagraphFont"/>
    <w:link w:val="BodyText"/>
    <w:uiPriority w:val="99"/>
    <w:rsid w:val="00FB67FB"/>
    <w:rPr>
      <w:rFonts w:ascii="Times New Roman" w:hAnsi="Times New Roman" w:cs="Times New Roman"/>
      <w:sz w:val="24"/>
      <w:szCs w:val="24"/>
    </w:rPr>
  </w:style>
  <w:style w:type="paragraph" w:styleId="Date">
    <w:name w:val="Date"/>
    <w:basedOn w:val="BodyText"/>
    <w:link w:val="DateChar"/>
    <w:uiPriority w:val="99"/>
    <w:rsid w:val="00FB67FB"/>
    <w:pPr>
      <w:spacing w:before="480" w:after="0"/>
    </w:pPr>
    <w:rPr>
      <w:rFonts w:ascii="CG Times (W1)" w:hAnsi="CG Times (W1)" w:cs="CG Times (W1)"/>
    </w:rPr>
  </w:style>
  <w:style w:type="character" w:customStyle="1" w:styleId="DateChar">
    <w:name w:val="Date Char"/>
    <w:basedOn w:val="DefaultParagraphFont"/>
    <w:link w:val="Date"/>
    <w:uiPriority w:val="99"/>
    <w:rsid w:val="00FB67FB"/>
    <w:rPr>
      <w:rFonts w:ascii="Times New Roman" w:hAnsi="Times New Roman" w:cs="Times New Roman"/>
      <w:sz w:val="24"/>
      <w:szCs w:val="24"/>
    </w:rPr>
  </w:style>
  <w:style w:type="character" w:styleId="Strong">
    <w:name w:val="Strong"/>
    <w:basedOn w:val="DefaultParagraphFont"/>
    <w:uiPriority w:val="99"/>
    <w:qFormat/>
    <w:rsid w:val="00FB67FB"/>
    <w:rPr>
      <w:rFonts w:ascii="Times New Roman" w:hAnsi="Times New Roman" w:cs="Times New Roman"/>
      <w:b/>
      <w:bCs/>
    </w:rPr>
  </w:style>
  <w:style w:type="paragraph" w:styleId="Caption">
    <w:name w:val="caption"/>
    <w:basedOn w:val="Normal"/>
    <w:next w:val="Normal"/>
    <w:uiPriority w:val="99"/>
    <w:qFormat/>
    <w:rsid w:val="00FB67FB"/>
    <w:pPr>
      <w:spacing w:before="120" w:after="120"/>
    </w:pPr>
    <w:rPr>
      <w:rFonts w:cs="Times New Roman"/>
      <w:b/>
      <w:bCs/>
      <w:sz w:val="20"/>
      <w:szCs w:val="20"/>
    </w:rPr>
  </w:style>
  <w:style w:type="paragraph" w:customStyle="1" w:styleId="Asteve2">
    <w:name w:val="Asteve2"/>
    <w:basedOn w:val="Heading3"/>
    <w:uiPriority w:val="99"/>
    <w:rsid w:val="00FB67FB"/>
  </w:style>
  <w:style w:type="paragraph" w:styleId="E-mailSignature">
    <w:name w:val="E-mail Signature"/>
    <w:basedOn w:val="Normal"/>
    <w:link w:val="E-mailSignatureChar"/>
    <w:uiPriority w:val="99"/>
    <w:rsid w:val="00FB67FB"/>
    <w:rPr>
      <w:rFonts w:cs="Times New Roman"/>
    </w:rPr>
  </w:style>
  <w:style w:type="character" w:customStyle="1" w:styleId="E-mailSignatureChar">
    <w:name w:val="E-mail Signature Char"/>
    <w:basedOn w:val="DefaultParagraphFont"/>
    <w:link w:val="E-mailSignature"/>
    <w:uiPriority w:val="99"/>
    <w:rsid w:val="00FB67FB"/>
    <w:rPr>
      <w:rFonts w:ascii="Times New Roman" w:hAnsi="Times New Roman" w:cs="Times New Roman"/>
      <w:sz w:val="24"/>
      <w:szCs w:val="24"/>
    </w:rPr>
  </w:style>
  <w:style w:type="paragraph" w:styleId="BlockText">
    <w:name w:val="Block Text"/>
    <w:aliases w:val="Block Text Char1 Char,Block Text Char Char Char,Block Text Char Char1"/>
    <w:basedOn w:val="Normal"/>
    <w:uiPriority w:val="99"/>
    <w:rsid w:val="00FB67FB"/>
    <w:rPr>
      <w:rFonts w:cs="Times New Roman"/>
    </w:rPr>
  </w:style>
  <w:style w:type="paragraph" w:customStyle="1" w:styleId="BattelleBody">
    <w:name w:val="Battelle Body"/>
    <w:basedOn w:val="Normal"/>
    <w:uiPriority w:val="99"/>
    <w:rsid w:val="00FB67FB"/>
    <w:pPr>
      <w:spacing w:before="120" w:after="120"/>
    </w:pPr>
    <w:rPr>
      <w:rFonts w:cs="Times New Roman"/>
    </w:rPr>
  </w:style>
  <w:style w:type="paragraph" w:styleId="FootnoteText">
    <w:name w:val="footnote text"/>
    <w:basedOn w:val="Normal"/>
    <w:link w:val="FootnoteTextChar"/>
    <w:uiPriority w:val="99"/>
    <w:rsid w:val="00FB67FB"/>
    <w:rPr>
      <w:rFonts w:cs="Times New Roman"/>
      <w:sz w:val="20"/>
      <w:szCs w:val="20"/>
    </w:rPr>
  </w:style>
  <w:style w:type="character" w:customStyle="1" w:styleId="FootnoteTextChar">
    <w:name w:val="Footnote Text Char"/>
    <w:basedOn w:val="DefaultParagraphFont"/>
    <w:link w:val="FootnoteText"/>
    <w:uiPriority w:val="99"/>
    <w:rsid w:val="00FB67FB"/>
    <w:rPr>
      <w:rFonts w:ascii="Times New Roman" w:hAnsi="Times New Roman" w:cs="Times New Roman"/>
    </w:rPr>
  </w:style>
  <w:style w:type="character" w:styleId="FootnoteReference">
    <w:name w:val="footnote reference"/>
    <w:basedOn w:val="DefaultParagraphFont"/>
    <w:uiPriority w:val="99"/>
    <w:rsid w:val="00FB67FB"/>
    <w:rPr>
      <w:rFonts w:ascii="Times New Roman" w:hAnsi="Times New Roman" w:cs="Times New Roman"/>
      <w:vertAlign w:val="superscript"/>
    </w:rPr>
  </w:style>
  <w:style w:type="paragraph" w:customStyle="1" w:styleId="Asteve12B">
    <w:name w:val="Asteve12B"/>
    <w:basedOn w:val="Asteve2"/>
    <w:uiPriority w:val="99"/>
    <w:rsid w:val="00FB67FB"/>
    <w:rPr>
      <w:sz w:val="24"/>
      <w:szCs w:val="24"/>
    </w:rPr>
  </w:style>
  <w:style w:type="paragraph" w:customStyle="1" w:styleId="Asteve13B">
    <w:name w:val="Asteve13B"/>
    <w:basedOn w:val="Asteve2"/>
    <w:uiPriority w:val="99"/>
    <w:rsid w:val="00FB67FB"/>
    <w:rPr>
      <w:noProof/>
    </w:rPr>
  </w:style>
  <w:style w:type="paragraph" w:customStyle="1" w:styleId="Asteve11B">
    <w:name w:val="Asteve11B"/>
    <w:basedOn w:val="Asteve12B"/>
    <w:uiPriority w:val="99"/>
    <w:rsid w:val="00FB67FB"/>
    <w:rPr>
      <w:noProof/>
      <w:sz w:val="22"/>
      <w:szCs w:val="22"/>
    </w:rPr>
  </w:style>
  <w:style w:type="paragraph" w:styleId="TOC1">
    <w:name w:val="toc 1"/>
    <w:basedOn w:val="Normal"/>
    <w:next w:val="Normal"/>
    <w:autoRedefine/>
    <w:uiPriority w:val="99"/>
    <w:rsid w:val="00240B10"/>
    <w:pPr>
      <w:tabs>
        <w:tab w:val="right" w:leader="dot" w:pos="8630"/>
      </w:tabs>
      <w:jc w:val="center"/>
    </w:pPr>
    <w:rPr>
      <w:rFonts w:cs="Times New Roman"/>
      <w:b/>
      <w:bCs/>
      <w:sz w:val="28"/>
      <w:szCs w:val="28"/>
    </w:rPr>
  </w:style>
  <w:style w:type="paragraph" w:styleId="TOC2">
    <w:name w:val="toc 2"/>
    <w:basedOn w:val="Normal"/>
    <w:next w:val="Normal"/>
    <w:autoRedefine/>
    <w:uiPriority w:val="99"/>
    <w:rsid w:val="00FB67FB"/>
    <w:pPr>
      <w:ind w:left="240"/>
    </w:pPr>
    <w:rPr>
      <w:rFonts w:cs="Times New Roman"/>
    </w:rPr>
  </w:style>
  <w:style w:type="character" w:styleId="Hyperlink">
    <w:name w:val="Hyperlink"/>
    <w:basedOn w:val="DefaultParagraphFont"/>
    <w:uiPriority w:val="99"/>
    <w:rsid w:val="00FB67FB"/>
    <w:rPr>
      <w:rFonts w:ascii="Times New Roman" w:hAnsi="Times New Roman" w:cs="Times New Roman"/>
      <w:color w:val="0000FF"/>
      <w:u w:val="single"/>
    </w:rPr>
  </w:style>
  <w:style w:type="paragraph" w:styleId="BalloonText">
    <w:name w:val="Balloon Text"/>
    <w:basedOn w:val="Normal"/>
    <w:link w:val="BalloonTextChar"/>
    <w:uiPriority w:val="99"/>
    <w:rsid w:val="00FB67FB"/>
    <w:rPr>
      <w:rFonts w:ascii="Tahoma" w:hAnsi="Tahoma" w:cs="Tahoma"/>
      <w:sz w:val="16"/>
      <w:szCs w:val="16"/>
    </w:rPr>
  </w:style>
  <w:style w:type="character" w:customStyle="1" w:styleId="BalloonTextChar">
    <w:name w:val="Balloon Text Char"/>
    <w:basedOn w:val="DefaultParagraphFont"/>
    <w:link w:val="BalloonText"/>
    <w:uiPriority w:val="99"/>
    <w:rsid w:val="00FB67FB"/>
    <w:rPr>
      <w:rFonts w:ascii="Times New Roman" w:hAnsi="Times New Roman" w:cs="Times New Roman"/>
      <w:sz w:val="2"/>
      <w:szCs w:val="2"/>
    </w:rPr>
  </w:style>
  <w:style w:type="paragraph" w:styleId="BodyText2">
    <w:name w:val="Body Text 2"/>
    <w:basedOn w:val="Normal"/>
    <w:link w:val="BodyText2Char"/>
    <w:uiPriority w:val="99"/>
    <w:rsid w:val="00FB67FB"/>
    <w:pPr>
      <w:spacing w:after="120" w:line="480" w:lineRule="auto"/>
    </w:pPr>
    <w:rPr>
      <w:rFonts w:cs="Times New Roman"/>
    </w:rPr>
  </w:style>
  <w:style w:type="character" w:customStyle="1" w:styleId="BodyText2Char">
    <w:name w:val="Body Text 2 Char"/>
    <w:basedOn w:val="DefaultParagraphFont"/>
    <w:link w:val="BodyText2"/>
    <w:uiPriority w:val="99"/>
    <w:rsid w:val="00FB67FB"/>
    <w:rPr>
      <w:rFonts w:ascii="Times New Roman" w:hAnsi="Times New Roman" w:cs="Times New Roman"/>
      <w:sz w:val="24"/>
      <w:szCs w:val="24"/>
    </w:rPr>
  </w:style>
  <w:style w:type="paragraph" w:styleId="BodyTextIndent3">
    <w:name w:val="Body Text Indent 3"/>
    <w:basedOn w:val="Normal"/>
    <w:link w:val="BodyTextIndent3Char"/>
    <w:uiPriority w:val="99"/>
    <w:rsid w:val="00FB67FB"/>
    <w:pPr>
      <w:spacing w:after="120"/>
      <w:ind w:left="360"/>
    </w:pPr>
    <w:rPr>
      <w:rFonts w:cs="Times New Roman"/>
      <w:sz w:val="16"/>
      <w:szCs w:val="16"/>
    </w:rPr>
  </w:style>
  <w:style w:type="character" w:customStyle="1" w:styleId="BodyTextIndent3Char">
    <w:name w:val="Body Text Indent 3 Char"/>
    <w:basedOn w:val="DefaultParagraphFont"/>
    <w:link w:val="BodyTextIndent3"/>
    <w:uiPriority w:val="99"/>
    <w:rsid w:val="00FB67FB"/>
    <w:rPr>
      <w:rFonts w:ascii="Times New Roman" w:hAnsi="Times New Roman" w:cs="Times New Roman"/>
      <w:sz w:val="16"/>
      <w:szCs w:val="16"/>
    </w:rPr>
  </w:style>
  <w:style w:type="paragraph" w:styleId="Subtitle">
    <w:name w:val="Subtitle"/>
    <w:basedOn w:val="Normal"/>
    <w:link w:val="SubtitleChar"/>
    <w:qFormat/>
    <w:rsid w:val="00FB67FB"/>
    <w:pPr>
      <w:jc w:val="center"/>
    </w:pPr>
    <w:rPr>
      <w:rFonts w:cs="Times New Roman"/>
      <w:b/>
      <w:bCs/>
    </w:rPr>
  </w:style>
  <w:style w:type="character" w:customStyle="1" w:styleId="SubtitleChar">
    <w:name w:val="Subtitle Char"/>
    <w:basedOn w:val="DefaultParagraphFont"/>
    <w:link w:val="Subtitle"/>
    <w:uiPriority w:val="99"/>
    <w:rsid w:val="00FB67FB"/>
    <w:rPr>
      <w:rFonts w:ascii="Cambria" w:hAnsi="Cambria" w:cs="Cambria"/>
      <w:sz w:val="24"/>
      <w:szCs w:val="24"/>
    </w:rPr>
  </w:style>
  <w:style w:type="paragraph" w:styleId="Title">
    <w:name w:val="Title"/>
    <w:basedOn w:val="Normal"/>
    <w:link w:val="TitleChar"/>
    <w:uiPriority w:val="99"/>
    <w:qFormat/>
    <w:rsid w:val="00FB67FB"/>
    <w:pPr>
      <w:jc w:val="center"/>
    </w:pPr>
    <w:rPr>
      <w:rFonts w:ascii="Arial" w:hAnsi="Arial" w:cs="Arial"/>
      <w:b/>
      <w:bCs/>
      <w:sz w:val="22"/>
      <w:szCs w:val="22"/>
    </w:rPr>
  </w:style>
  <w:style w:type="character" w:customStyle="1" w:styleId="TitleChar">
    <w:name w:val="Title Char"/>
    <w:basedOn w:val="DefaultParagraphFont"/>
    <w:link w:val="Title"/>
    <w:uiPriority w:val="99"/>
    <w:rsid w:val="00FB67FB"/>
    <w:rPr>
      <w:rFonts w:ascii="Cambria" w:hAnsi="Cambria" w:cs="Cambria"/>
      <w:b/>
      <w:bCs/>
      <w:kern w:val="28"/>
      <w:sz w:val="32"/>
      <w:szCs w:val="32"/>
    </w:rPr>
  </w:style>
  <w:style w:type="paragraph" w:styleId="Header">
    <w:name w:val="header"/>
    <w:basedOn w:val="Normal"/>
    <w:link w:val="HeaderChar"/>
    <w:uiPriority w:val="99"/>
    <w:rsid w:val="00FB67FB"/>
    <w:pPr>
      <w:tabs>
        <w:tab w:val="center" w:pos="4320"/>
        <w:tab w:val="right" w:pos="8640"/>
      </w:tabs>
    </w:pPr>
    <w:rPr>
      <w:rFonts w:cs="Times New Roman"/>
    </w:rPr>
  </w:style>
  <w:style w:type="character" w:customStyle="1" w:styleId="HeaderChar">
    <w:name w:val="Header Char"/>
    <w:basedOn w:val="DefaultParagraphFont"/>
    <w:link w:val="Header"/>
    <w:uiPriority w:val="99"/>
    <w:rsid w:val="00FB67FB"/>
    <w:rPr>
      <w:rFonts w:ascii="Times New Roman" w:hAnsi="Times New Roman" w:cs="Times New Roman"/>
      <w:sz w:val="24"/>
      <w:szCs w:val="24"/>
    </w:rPr>
  </w:style>
  <w:style w:type="paragraph" w:styleId="Footer">
    <w:name w:val="footer"/>
    <w:basedOn w:val="Normal"/>
    <w:link w:val="FooterChar"/>
    <w:uiPriority w:val="99"/>
    <w:rsid w:val="00FB67FB"/>
    <w:pPr>
      <w:tabs>
        <w:tab w:val="center" w:pos="4320"/>
        <w:tab w:val="right" w:pos="8640"/>
      </w:tabs>
    </w:pPr>
    <w:rPr>
      <w:rFonts w:cs="Times New Roman"/>
    </w:rPr>
  </w:style>
  <w:style w:type="character" w:customStyle="1" w:styleId="FooterChar">
    <w:name w:val="Footer Char"/>
    <w:basedOn w:val="DefaultParagraphFont"/>
    <w:link w:val="Footer"/>
    <w:uiPriority w:val="99"/>
    <w:rsid w:val="00FB67FB"/>
    <w:rPr>
      <w:rFonts w:ascii="Times New Roman" w:hAnsi="Times New Roman" w:cs="Times New Roman"/>
      <w:sz w:val="24"/>
      <w:szCs w:val="24"/>
    </w:rPr>
  </w:style>
  <w:style w:type="character" w:styleId="PageNumber">
    <w:name w:val="page number"/>
    <w:basedOn w:val="DefaultParagraphFont"/>
    <w:uiPriority w:val="99"/>
    <w:rsid w:val="00FB67FB"/>
    <w:rPr>
      <w:rFonts w:ascii="Times New Roman" w:hAnsi="Times New Roman" w:cs="Times New Roman"/>
    </w:rPr>
  </w:style>
  <w:style w:type="paragraph" w:styleId="BodyText3">
    <w:name w:val="Body Text 3"/>
    <w:basedOn w:val="Normal"/>
    <w:link w:val="BodyText3Char"/>
    <w:uiPriority w:val="99"/>
    <w:rsid w:val="00FB67FB"/>
    <w:pPr>
      <w:autoSpaceDE w:val="0"/>
      <w:autoSpaceDN w:val="0"/>
      <w:adjustRightInd w:val="0"/>
    </w:pPr>
    <w:rPr>
      <w:rFonts w:cs="Times New Roman"/>
      <w:sz w:val="22"/>
      <w:szCs w:val="22"/>
    </w:rPr>
  </w:style>
  <w:style w:type="character" w:customStyle="1" w:styleId="BodyText3Char">
    <w:name w:val="Body Text 3 Char"/>
    <w:basedOn w:val="DefaultParagraphFont"/>
    <w:link w:val="BodyText3"/>
    <w:uiPriority w:val="99"/>
    <w:rsid w:val="00FB67FB"/>
    <w:rPr>
      <w:rFonts w:ascii="Times New Roman" w:hAnsi="Times New Roman" w:cs="Times New Roman"/>
      <w:sz w:val="16"/>
      <w:szCs w:val="16"/>
    </w:rPr>
  </w:style>
  <w:style w:type="paragraph" w:styleId="NormalWeb">
    <w:name w:val="Normal (Web)"/>
    <w:basedOn w:val="Normal"/>
    <w:uiPriority w:val="99"/>
    <w:rsid w:val="00FB67FB"/>
    <w:pPr>
      <w:spacing w:before="100" w:beforeAutospacing="1" w:after="100" w:afterAutospacing="1"/>
      <w:jc w:val="left"/>
    </w:pPr>
    <w:rPr>
      <w:rFonts w:ascii="TimesNewRoman,Italic" w:hAnsi="TimesNewRoman,Italic" w:cs="TimesNewRoman,Italic"/>
    </w:rPr>
  </w:style>
  <w:style w:type="character" w:styleId="FollowedHyperlink">
    <w:name w:val="FollowedHyperlink"/>
    <w:basedOn w:val="DefaultParagraphFont"/>
    <w:uiPriority w:val="99"/>
    <w:rsid w:val="00FB67FB"/>
    <w:rPr>
      <w:rFonts w:ascii="Times New Roman" w:hAnsi="Times New Roman" w:cs="Times New Roman"/>
      <w:color w:val="800080"/>
      <w:u w:val="single"/>
    </w:rPr>
  </w:style>
  <w:style w:type="character" w:customStyle="1" w:styleId="BlockTextChar">
    <w:name w:val="Block Text Char"/>
    <w:aliases w:val="Block Text Char1 Char Char1,Block Text Char Char Char Char1,Block Text Char Char1 Char1"/>
    <w:basedOn w:val="DefaultParagraphFont"/>
    <w:uiPriority w:val="99"/>
    <w:rsid w:val="00FB67FB"/>
    <w:rPr>
      <w:rFonts w:ascii="Times New Roman" w:hAnsi="Times New Roman" w:cs="Times New Roman"/>
      <w:sz w:val="24"/>
      <w:szCs w:val="24"/>
    </w:rPr>
  </w:style>
  <w:style w:type="paragraph" w:customStyle="1" w:styleId="Exhibit--Number">
    <w:name w:val="Exhibit--Number"/>
    <w:basedOn w:val="Normal"/>
    <w:next w:val="Normal"/>
    <w:uiPriority w:val="99"/>
    <w:rsid w:val="00FB67FB"/>
    <w:pPr>
      <w:spacing w:before="160"/>
      <w:jc w:val="left"/>
    </w:pPr>
    <w:rPr>
      <w:rFonts w:ascii="Arial Narrow" w:hAnsi="Arial Narrow" w:cs="Arial Narrow"/>
      <w:b/>
      <w:bCs/>
      <w:caps/>
      <w:sz w:val="18"/>
      <w:szCs w:val="18"/>
    </w:rPr>
  </w:style>
  <w:style w:type="paragraph" w:customStyle="1" w:styleId="TableBody">
    <w:name w:val="Table Body"/>
    <w:basedOn w:val="Normal"/>
    <w:rsid w:val="00FB67FB"/>
    <w:pPr>
      <w:spacing w:before="80" w:after="80"/>
      <w:jc w:val="center"/>
    </w:pPr>
    <w:rPr>
      <w:rFonts w:ascii="Arial" w:hAnsi="Arial" w:cs="Arial"/>
      <w:sz w:val="18"/>
      <w:szCs w:val="18"/>
    </w:rPr>
  </w:style>
  <w:style w:type="paragraph" w:customStyle="1" w:styleId="TableHead">
    <w:name w:val="Table Head"/>
    <w:basedOn w:val="Normal"/>
    <w:next w:val="Normal"/>
    <w:uiPriority w:val="99"/>
    <w:rsid w:val="00FB67FB"/>
    <w:pPr>
      <w:spacing w:before="80" w:after="80"/>
      <w:jc w:val="center"/>
    </w:pPr>
    <w:rPr>
      <w:rFonts w:ascii="Arial" w:hAnsi="Arial" w:cs="Arial"/>
      <w:b/>
      <w:bCs/>
      <w:sz w:val="18"/>
      <w:szCs w:val="18"/>
    </w:rPr>
  </w:style>
  <w:style w:type="paragraph" w:customStyle="1" w:styleId="TableNotes">
    <w:name w:val="Table Notes"/>
    <w:basedOn w:val="TableBody"/>
    <w:uiPriority w:val="99"/>
    <w:rsid w:val="00FB67FB"/>
    <w:pPr>
      <w:pBdr>
        <w:top w:val="single" w:sz="4" w:space="1" w:color="auto"/>
        <w:left w:val="single" w:sz="4" w:space="18" w:color="auto"/>
        <w:bottom w:val="single" w:sz="4" w:space="1" w:color="auto"/>
        <w:right w:val="single" w:sz="4" w:space="1" w:color="auto"/>
      </w:pBdr>
      <w:spacing w:after="320"/>
    </w:pPr>
    <w:rPr>
      <w:vertAlign w:val="superscript"/>
    </w:rPr>
  </w:style>
  <w:style w:type="character" w:customStyle="1" w:styleId="BlockTextChar1">
    <w:name w:val="Block Text Char1"/>
    <w:aliases w:val="Block Text Char Char,Block Text Char1 Char Char,Block Text Char Char Char Char,Block Text Char Char1 Char"/>
    <w:basedOn w:val="DefaultParagraphFont"/>
    <w:uiPriority w:val="99"/>
    <w:rsid w:val="00FB67FB"/>
    <w:rPr>
      <w:rFonts w:ascii="Times New Roman" w:hAnsi="Times New Roman" w:cs="Times New Roman"/>
      <w:sz w:val="24"/>
      <w:szCs w:val="24"/>
      <w:lang w:val="en-US" w:eastAsia="en-US"/>
    </w:rPr>
  </w:style>
  <w:style w:type="paragraph" w:styleId="ListParagraph">
    <w:name w:val="List Paragraph"/>
    <w:basedOn w:val="Normal"/>
    <w:link w:val="ListParagraphChar"/>
    <w:uiPriority w:val="34"/>
    <w:qFormat/>
    <w:rsid w:val="00FB67FB"/>
    <w:pPr>
      <w:ind w:left="720"/>
    </w:pPr>
    <w:rPr>
      <w:rFonts w:cs="Times New Roman"/>
    </w:rPr>
  </w:style>
  <w:style w:type="paragraph" w:customStyle="1" w:styleId="PermitBodyText">
    <w:name w:val="Permit Body Text"/>
    <w:basedOn w:val="Normal"/>
    <w:uiPriority w:val="99"/>
    <w:rsid w:val="00FB67FB"/>
    <w:pPr>
      <w:tabs>
        <w:tab w:val="left" w:pos="-720"/>
        <w:tab w:val="left" w:pos="720"/>
      </w:tabs>
      <w:suppressAutoHyphens/>
      <w:jc w:val="left"/>
    </w:pPr>
    <w:rPr>
      <w:rFonts w:ascii="Bookman Old Style" w:hAnsi="Bookman Old Style" w:cs="Bookman Old Style"/>
      <w:sz w:val="22"/>
      <w:szCs w:val="22"/>
    </w:rPr>
  </w:style>
  <w:style w:type="paragraph" w:customStyle="1" w:styleId="PermitCond">
    <w:name w:val="PermitCond"/>
    <w:basedOn w:val="BodyText"/>
    <w:next w:val="BodyText"/>
    <w:uiPriority w:val="99"/>
    <w:rsid w:val="00FB67FB"/>
    <w:pPr>
      <w:spacing w:after="0"/>
      <w:jc w:val="left"/>
    </w:pPr>
    <w:rPr>
      <w:rFonts w:ascii="Bookman Old Style" w:hAnsi="Bookman Old Style" w:cs="Bookman Old Style"/>
      <w:b/>
      <w:bCs/>
      <w:u w:val="single"/>
    </w:rPr>
  </w:style>
  <w:style w:type="paragraph" w:customStyle="1" w:styleId="Default">
    <w:name w:val="Default"/>
    <w:uiPriority w:val="99"/>
    <w:rsid w:val="00FB67FB"/>
    <w:pPr>
      <w:autoSpaceDE w:val="0"/>
      <w:autoSpaceDN w:val="0"/>
      <w:adjustRightInd w:val="0"/>
    </w:pPr>
    <w:rPr>
      <w:rFonts w:ascii="Times New Roman" w:hAnsi="Times New Roman" w:cs="Times New Roman"/>
      <w:color w:val="000000"/>
      <w:sz w:val="24"/>
      <w:szCs w:val="24"/>
    </w:rPr>
  </w:style>
  <w:style w:type="character" w:customStyle="1" w:styleId="BodyTextChar1">
    <w:name w:val="Body Text Char1"/>
    <w:aliases w:val="Body Text Char Char"/>
    <w:basedOn w:val="DefaultParagraphFont"/>
    <w:uiPriority w:val="99"/>
    <w:rsid w:val="00FB67FB"/>
    <w:rPr>
      <w:rFonts w:ascii="Bookman Old Style" w:hAnsi="Bookman Old Style" w:cs="Bookman Old Style"/>
      <w:sz w:val="22"/>
      <w:szCs w:val="22"/>
      <w:lang w:val="en-US" w:eastAsia="en-US"/>
    </w:rPr>
  </w:style>
  <w:style w:type="character" w:customStyle="1" w:styleId="ListParagraphChar">
    <w:name w:val="List Paragraph Char"/>
    <w:basedOn w:val="DefaultParagraphFont"/>
    <w:link w:val="ListParagraph"/>
    <w:uiPriority w:val="34"/>
    <w:rsid w:val="00AC7809"/>
    <w:rPr>
      <w:rFonts w:ascii="Times New Roman" w:hAnsi="Times New Roman" w:cs="Times New Roman"/>
      <w:sz w:val="24"/>
      <w:szCs w:val="24"/>
    </w:rPr>
  </w:style>
  <w:style w:type="table" w:styleId="TableGrid">
    <w:name w:val="Table Grid"/>
    <w:basedOn w:val="TableNormal"/>
    <w:uiPriority w:val="59"/>
    <w:rsid w:val="00D469ED"/>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8954A3"/>
    <w:rPr>
      <w:sz w:val="20"/>
      <w:szCs w:val="20"/>
    </w:rPr>
  </w:style>
  <w:style w:type="character" w:customStyle="1" w:styleId="EndnoteTextChar">
    <w:name w:val="Endnote Text Char"/>
    <w:basedOn w:val="DefaultParagraphFont"/>
    <w:link w:val="EndnoteText"/>
    <w:uiPriority w:val="99"/>
    <w:semiHidden/>
    <w:rsid w:val="008954A3"/>
    <w:rPr>
      <w:rFonts w:ascii="Times New Roman" w:hAnsi="Times New Roman"/>
      <w:sz w:val="20"/>
      <w:szCs w:val="20"/>
    </w:rPr>
  </w:style>
  <w:style w:type="character" w:styleId="EndnoteReference">
    <w:name w:val="endnote reference"/>
    <w:basedOn w:val="DefaultParagraphFont"/>
    <w:uiPriority w:val="99"/>
    <w:semiHidden/>
    <w:unhideWhenUsed/>
    <w:rsid w:val="008954A3"/>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http://www.deq.state.or.us/news/publicnotices/PN.asp" TargetMode="External"/><Relationship Id="rId17" Type="http://schemas.openxmlformats.org/officeDocument/2006/relationships/header" Target="header3.xml"/><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emf"/><Relationship Id="rId10" Type="http://schemas.openxmlformats.org/officeDocument/2006/relationships/image" Target="media/image2.png"/><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EB8EFC-45A6-4A99-A256-0AB1D55E6DA5}">
  <ds:schemaRefs>
    <ds:schemaRef ds:uri="http://schemas.openxmlformats.org/officeDocument/2006/bibliography"/>
  </ds:schemaRefs>
</ds:datastoreItem>
</file>

<file path=customXml/itemProps2.xml><?xml version="1.0" encoding="utf-8"?>
<ds:datastoreItem xmlns:ds="http://schemas.openxmlformats.org/officeDocument/2006/customXml" ds:itemID="{E9E54260-DFD8-467A-836D-50BF7D68F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31</Pages>
  <Words>8825</Words>
  <Characters>50674</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INTRODUCTION</vt:lpstr>
    </vt:vector>
  </TitlesOfParts>
  <Company>Department of Environmental Quality</Company>
  <LinksUpToDate>false</LinksUpToDate>
  <CharactersWithSpaces>59381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Steve Schnurbusch</dc:creator>
  <cp:lastModifiedBy>rburkha</cp:lastModifiedBy>
  <cp:revision>6</cp:revision>
  <cp:lastPrinted>2013-04-15T22:27:00Z</cp:lastPrinted>
  <dcterms:created xsi:type="dcterms:W3CDTF">2013-06-25T18:22:00Z</dcterms:created>
  <dcterms:modified xsi:type="dcterms:W3CDTF">2013-07-19T17:52:00Z</dcterms:modified>
</cp:coreProperties>
</file>