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0F62" w14:textId="0212424B" w:rsidR="0007130C" w:rsidRPr="009C7555" w:rsidRDefault="00D56489" w:rsidP="004479A9">
      <w:pPr>
        <w:spacing w:line="264" w:lineRule="auto"/>
        <w:jc w:val="both"/>
        <w:rPr>
          <w:sz w:val="22"/>
          <w:szCs w:val="22"/>
        </w:rPr>
      </w:pPr>
      <w:r>
        <w:rPr>
          <w:sz w:val="22"/>
          <w:szCs w:val="22"/>
        </w:rPr>
        <w:t xml:space="preserve"> </w:t>
      </w:r>
      <w:r w:rsidR="00753FC5">
        <w:rPr>
          <w:sz w:val="22"/>
          <w:szCs w:val="22"/>
        </w:rPr>
        <w:t>July</w:t>
      </w:r>
      <w:r w:rsidR="003622B6" w:rsidRPr="009C7555">
        <w:rPr>
          <w:sz w:val="22"/>
          <w:szCs w:val="22"/>
        </w:rPr>
        <w:t xml:space="preserve"> </w:t>
      </w:r>
      <w:r w:rsidR="00753FC5">
        <w:rPr>
          <w:sz w:val="22"/>
          <w:szCs w:val="22"/>
        </w:rPr>
        <w:t>10</w:t>
      </w:r>
      <w:r w:rsidR="00EE6826" w:rsidRPr="009C7555">
        <w:rPr>
          <w:sz w:val="22"/>
          <w:szCs w:val="22"/>
        </w:rPr>
        <w:t>, 202</w:t>
      </w:r>
      <w:r w:rsidR="00AA5C64">
        <w:rPr>
          <w:sz w:val="22"/>
          <w:szCs w:val="22"/>
        </w:rPr>
        <w:t>5</w:t>
      </w:r>
      <w:r w:rsidR="00F014C6" w:rsidRPr="009C7555">
        <w:rPr>
          <w:sz w:val="22"/>
          <w:szCs w:val="22"/>
        </w:rPr>
        <w:tab/>
      </w:r>
      <w:r w:rsidR="00F014C6" w:rsidRPr="009C7555">
        <w:rPr>
          <w:sz w:val="22"/>
          <w:szCs w:val="22"/>
        </w:rPr>
        <w:tab/>
      </w:r>
      <w:r w:rsidR="00F014C6" w:rsidRPr="009C7555">
        <w:rPr>
          <w:sz w:val="22"/>
          <w:szCs w:val="22"/>
        </w:rPr>
        <w:tab/>
      </w:r>
      <w:r w:rsidR="00F014C6" w:rsidRPr="009C7555">
        <w:rPr>
          <w:sz w:val="22"/>
          <w:szCs w:val="22"/>
        </w:rPr>
        <w:tab/>
      </w:r>
      <w:r w:rsidR="00F014C6" w:rsidRPr="009C7555">
        <w:rPr>
          <w:sz w:val="22"/>
          <w:szCs w:val="22"/>
        </w:rPr>
        <w:tab/>
      </w:r>
      <w:r w:rsidR="00F014C6" w:rsidRPr="009C7555">
        <w:rPr>
          <w:sz w:val="22"/>
          <w:szCs w:val="22"/>
        </w:rPr>
        <w:tab/>
      </w:r>
      <w:r w:rsidR="00F014C6" w:rsidRPr="009C7555">
        <w:rPr>
          <w:sz w:val="22"/>
          <w:szCs w:val="22"/>
        </w:rPr>
        <w:tab/>
      </w:r>
      <w:r w:rsidR="00F014C6" w:rsidRPr="009C7555">
        <w:rPr>
          <w:sz w:val="22"/>
          <w:szCs w:val="22"/>
        </w:rPr>
        <w:tab/>
      </w:r>
      <w:r w:rsidR="00F014C6" w:rsidRPr="009C7555">
        <w:rPr>
          <w:i/>
          <w:sz w:val="22"/>
          <w:szCs w:val="22"/>
        </w:rPr>
        <w:t>sent via email</w:t>
      </w:r>
    </w:p>
    <w:p w14:paraId="3BCE640F" w14:textId="77777777" w:rsidR="004479A9" w:rsidRPr="009C7555" w:rsidRDefault="004479A9" w:rsidP="00E645A3">
      <w:pPr>
        <w:spacing w:line="264" w:lineRule="auto"/>
        <w:rPr>
          <w:sz w:val="22"/>
          <w:szCs w:val="22"/>
        </w:rPr>
      </w:pPr>
    </w:p>
    <w:p w14:paraId="0592E5D1" w14:textId="77777777" w:rsidR="00B53634" w:rsidRPr="009C7555" w:rsidRDefault="00F014C6" w:rsidP="00B53634">
      <w:pPr>
        <w:rPr>
          <w:sz w:val="22"/>
          <w:szCs w:val="22"/>
        </w:rPr>
      </w:pPr>
      <w:r w:rsidRPr="009C7555">
        <w:rPr>
          <w:sz w:val="22"/>
          <w:szCs w:val="22"/>
        </w:rPr>
        <w:t>Deborah Taege</w:t>
      </w:r>
    </w:p>
    <w:p w14:paraId="6F8733C7" w14:textId="77777777" w:rsidR="00F014C6" w:rsidRPr="009C7555" w:rsidRDefault="00F014C6" w:rsidP="00B53634">
      <w:pPr>
        <w:rPr>
          <w:sz w:val="22"/>
          <w:szCs w:val="22"/>
        </w:rPr>
      </w:pPr>
      <w:r w:rsidRPr="009C7555">
        <w:rPr>
          <w:sz w:val="22"/>
          <w:szCs w:val="22"/>
        </w:rPr>
        <w:t>The Boeing Company</w:t>
      </w:r>
    </w:p>
    <w:p w14:paraId="30DA439E" w14:textId="77777777" w:rsidR="00F014C6" w:rsidRPr="009C7555" w:rsidRDefault="00387E59" w:rsidP="00F014C6">
      <w:pPr>
        <w:rPr>
          <w:sz w:val="22"/>
          <w:szCs w:val="22"/>
          <w:lang w:eastAsia="en-ZW"/>
        </w:rPr>
      </w:pPr>
      <w:r w:rsidRPr="009C7555">
        <w:rPr>
          <w:sz w:val="22"/>
          <w:szCs w:val="22"/>
          <w:lang w:eastAsia="en-ZW"/>
        </w:rPr>
        <w:t xml:space="preserve">EHS </w:t>
      </w:r>
      <w:r w:rsidR="00F014C6" w:rsidRPr="009C7555">
        <w:rPr>
          <w:sz w:val="22"/>
          <w:szCs w:val="22"/>
          <w:lang w:eastAsia="en-ZW"/>
        </w:rPr>
        <w:t xml:space="preserve">Remediation </w:t>
      </w:r>
      <w:r w:rsidR="00F014C6" w:rsidRPr="009C7555">
        <w:rPr>
          <w:sz w:val="22"/>
          <w:szCs w:val="22"/>
          <w:lang w:eastAsia="en-ZW"/>
        </w:rPr>
        <w:br/>
      </w:r>
      <w:r w:rsidR="00174CB5" w:rsidRPr="009C7555">
        <w:rPr>
          <w:sz w:val="22"/>
          <w:szCs w:val="22"/>
          <w:lang w:eastAsia="en-ZW"/>
        </w:rPr>
        <w:t>Bldg.</w:t>
      </w:r>
      <w:r w:rsidR="00F014C6" w:rsidRPr="009C7555">
        <w:rPr>
          <w:sz w:val="22"/>
          <w:szCs w:val="22"/>
          <w:lang w:eastAsia="en-ZW"/>
        </w:rPr>
        <w:t xml:space="preserve"> 10-20, MC 9U4-26</w:t>
      </w:r>
    </w:p>
    <w:p w14:paraId="3F0E98A1" w14:textId="4AE7AFEB" w:rsidR="00BD539A" w:rsidRPr="009C7555" w:rsidRDefault="00F014C6" w:rsidP="00F014C6">
      <w:pPr>
        <w:rPr>
          <w:sz w:val="22"/>
          <w:szCs w:val="22"/>
          <w:lang w:eastAsia="en-ZW"/>
        </w:rPr>
      </w:pPr>
      <w:r w:rsidRPr="009C7555">
        <w:rPr>
          <w:sz w:val="22"/>
          <w:szCs w:val="22"/>
          <w:lang w:eastAsia="en-ZW"/>
        </w:rPr>
        <w:t>800 N 6th Street</w:t>
      </w:r>
      <w:r w:rsidRPr="009C7555">
        <w:rPr>
          <w:sz w:val="22"/>
          <w:szCs w:val="22"/>
          <w:lang w:eastAsia="en-ZW"/>
        </w:rPr>
        <w:br/>
      </w:r>
      <w:r w:rsidR="00174CB5" w:rsidRPr="009C7555">
        <w:rPr>
          <w:sz w:val="22"/>
          <w:szCs w:val="22"/>
          <w:lang w:eastAsia="en-ZW"/>
        </w:rPr>
        <w:t>Renton, WA</w:t>
      </w:r>
      <w:r w:rsidRPr="009C7555">
        <w:rPr>
          <w:sz w:val="22"/>
          <w:szCs w:val="22"/>
          <w:lang w:eastAsia="en-ZW"/>
        </w:rPr>
        <w:t xml:space="preserve">   98055-1409</w:t>
      </w:r>
    </w:p>
    <w:p w14:paraId="1C7B54F5" w14:textId="77777777" w:rsidR="004479A9" w:rsidRDefault="004479A9" w:rsidP="0007130C">
      <w:pPr>
        <w:spacing w:line="264" w:lineRule="auto"/>
        <w:jc w:val="both"/>
        <w:rPr>
          <w:sz w:val="22"/>
          <w:szCs w:val="22"/>
        </w:rPr>
      </w:pPr>
    </w:p>
    <w:p w14:paraId="16E316BC" w14:textId="77777777" w:rsidR="00112CAB" w:rsidRPr="009C7555" w:rsidRDefault="00112CAB" w:rsidP="0007130C">
      <w:pPr>
        <w:spacing w:line="264" w:lineRule="auto"/>
        <w:jc w:val="both"/>
        <w:rPr>
          <w:sz w:val="22"/>
          <w:szCs w:val="22"/>
        </w:rPr>
      </w:pPr>
    </w:p>
    <w:p w14:paraId="71930B73" w14:textId="5CCE10A9" w:rsidR="00452E8E" w:rsidRPr="00112CAB" w:rsidRDefault="0007130C" w:rsidP="00112CAB">
      <w:pPr>
        <w:ind w:left="720" w:hanging="720"/>
        <w:rPr>
          <w:rFonts w:eastAsiaTheme="minorHAnsi"/>
          <w:b/>
          <w:bCs/>
          <w:sz w:val="22"/>
          <w:szCs w:val="22"/>
          <w:lang w:val="en-ZW"/>
        </w:rPr>
      </w:pPr>
      <w:r w:rsidRPr="009C7555">
        <w:rPr>
          <w:rFonts w:eastAsiaTheme="minorHAnsi"/>
          <w:b/>
          <w:bCs/>
          <w:sz w:val="22"/>
          <w:szCs w:val="22"/>
          <w:lang w:val="en-ZW"/>
        </w:rPr>
        <w:t>RE:</w:t>
      </w:r>
      <w:bookmarkStart w:id="0" w:name="Introduction"/>
      <w:bookmarkStart w:id="1" w:name="Addendum_No._4,_Source_Area_Bioremediati"/>
      <w:bookmarkStart w:id="2" w:name="Background_Summary"/>
      <w:bookmarkStart w:id="3" w:name="Work_Plan:_Shallow_Subsurface_Investigat"/>
      <w:bookmarkEnd w:id="0"/>
      <w:bookmarkEnd w:id="1"/>
      <w:bookmarkEnd w:id="2"/>
      <w:bookmarkEnd w:id="3"/>
      <w:r w:rsidR="003622B6" w:rsidRPr="009C7555">
        <w:rPr>
          <w:rFonts w:eastAsiaTheme="minorHAnsi"/>
          <w:b/>
          <w:bCs/>
          <w:sz w:val="22"/>
          <w:szCs w:val="22"/>
          <w:lang w:val="en-ZW"/>
        </w:rPr>
        <w:t xml:space="preserve"> </w:t>
      </w:r>
      <w:r w:rsidR="002E4615">
        <w:rPr>
          <w:rFonts w:eastAsiaTheme="minorHAnsi"/>
          <w:b/>
          <w:bCs/>
          <w:sz w:val="22"/>
          <w:szCs w:val="22"/>
          <w:lang w:val="en-ZW"/>
        </w:rPr>
        <w:tab/>
        <w:t>202</w:t>
      </w:r>
      <w:r w:rsidR="00753FC5">
        <w:rPr>
          <w:rFonts w:eastAsiaTheme="minorHAnsi"/>
          <w:b/>
          <w:bCs/>
          <w:sz w:val="22"/>
          <w:szCs w:val="22"/>
          <w:lang w:val="en-ZW"/>
        </w:rPr>
        <w:t>4</w:t>
      </w:r>
      <w:r w:rsidR="00AA5C64">
        <w:rPr>
          <w:rFonts w:eastAsiaTheme="minorHAnsi"/>
          <w:b/>
          <w:bCs/>
          <w:sz w:val="22"/>
          <w:szCs w:val="22"/>
          <w:lang w:val="en-ZW"/>
        </w:rPr>
        <w:t xml:space="preserve"> </w:t>
      </w:r>
      <w:r w:rsidR="002E4615">
        <w:rPr>
          <w:rFonts w:eastAsiaTheme="minorHAnsi"/>
          <w:b/>
          <w:bCs/>
          <w:sz w:val="22"/>
          <w:szCs w:val="22"/>
          <w:lang w:val="en-ZW"/>
        </w:rPr>
        <w:t xml:space="preserve">Annual Progress Report, </w:t>
      </w:r>
      <w:r w:rsidR="002E4615" w:rsidRPr="009C7555">
        <w:rPr>
          <w:rFonts w:eastAsiaTheme="minorHAnsi"/>
          <w:b/>
          <w:bCs/>
          <w:sz w:val="22"/>
          <w:szCs w:val="22"/>
          <w:lang w:val="en-ZW"/>
        </w:rPr>
        <w:t>Troutdale Gravel Aquifer</w:t>
      </w:r>
      <w:r w:rsidR="002E4615">
        <w:rPr>
          <w:rFonts w:eastAsiaTheme="minorHAnsi"/>
          <w:b/>
          <w:bCs/>
          <w:sz w:val="22"/>
          <w:szCs w:val="22"/>
          <w:lang w:val="en-ZW"/>
        </w:rPr>
        <w:t xml:space="preserve">, </w:t>
      </w:r>
      <w:r w:rsidR="00ED47EE" w:rsidRPr="009C7555">
        <w:rPr>
          <w:rFonts w:eastAsiaTheme="minorHAnsi"/>
          <w:b/>
          <w:bCs/>
          <w:sz w:val="22"/>
          <w:szCs w:val="22"/>
          <w:lang w:val="en-ZW"/>
        </w:rPr>
        <w:t>Boeing Portland</w:t>
      </w:r>
      <w:r w:rsidR="002E4615">
        <w:rPr>
          <w:rFonts w:eastAsiaTheme="minorHAnsi"/>
          <w:b/>
          <w:bCs/>
          <w:sz w:val="22"/>
          <w:szCs w:val="22"/>
          <w:lang w:val="en-ZW"/>
        </w:rPr>
        <w:t xml:space="preserve"> Facility, </w:t>
      </w:r>
      <w:r w:rsidR="00ED47EE" w:rsidRPr="009C7555">
        <w:rPr>
          <w:rFonts w:eastAsiaTheme="minorHAnsi"/>
          <w:b/>
          <w:bCs/>
          <w:sz w:val="22"/>
          <w:szCs w:val="22"/>
          <w:lang w:val="en-ZW"/>
        </w:rPr>
        <w:t xml:space="preserve">Gresham, Oregon. </w:t>
      </w:r>
      <w:r w:rsidR="00585E80" w:rsidRPr="009C7555">
        <w:rPr>
          <w:rFonts w:eastAsiaTheme="minorHAnsi"/>
          <w:b/>
          <w:bCs/>
          <w:sz w:val="22"/>
          <w:szCs w:val="22"/>
          <w:lang w:val="en-ZW"/>
        </w:rPr>
        <w:t>ECSI #13</w:t>
      </w:r>
    </w:p>
    <w:p w14:paraId="67420B47" w14:textId="77777777" w:rsidR="00112CAB" w:rsidRPr="009C7555" w:rsidRDefault="00112CAB" w:rsidP="00585E80">
      <w:pPr>
        <w:autoSpaceDE w:val="0"/>
        <w:autoSpaceDN w:val="0"/>
        <w:adjustRightInd w:val="0"/>
        <w:rPr>
          <w:sz w:val="22"/>
          <w:szCs w:val="22"/>
        </w:rPr>
      </w:pPr>
    </w:p>
    <w:p w14:paraId="62268511" w14:textId="00625408" w:rsidR="0007130C" w:rsidRDefault="0007130C" w:rsidP="0007130C">
      <w:pPr>
        <w:spacing w:line="264" w:lineRule="auto"/>
        <w:rPr>
          <w:sz w:val="22"/>
          <w:szCs w:val="22"/>
        </w:rPr>
      </w:pPr>
      <w:r w:rsidRPr="009C7555">
        <w:rPr>
          <w:sz w:val="22"/>
          <w:szCs w:val="22"/>
        </w:rPr>
        <w:t>D</w:t>
      </w:r>
      <w:r w:rsidR="00F014C6" w:rsidRPr="009C7555">
        <w:rPr>
          <w:sz w:val="22"/>
          <w:szCs w:val="22"/>
        </w:rPr>
        <w:t>ear Ms</w:t>
      </w:r>
      <w:r w:rsidRPr="009C7555">
        <w:rPr>
          <w:sz w:val="22"/>
          <w:szCs w:val="22"/>
        </w:rPr>
        <w:t xml:space="preserve">. </w:t>
      </w:r>
      <w:r w:rsidR="00F014C6" w:rsidRPr="009C7555">
        <w:rPr>
          <w:sz w:val="22"/>
          <w:szCs w:val="22"/>
        </w:rPr>
        <w:t>Taege</w:t>
      </w:r>
      <w:r w:rsidRPr="009C7555">
        <w:rPr>
          <w:sz w:val="22"/>
          <w:szCs w:val="22"/>
        </w:rPr>
        <w:t>:</w:t>
      </w:r>
    </w:p>
    <w:p w14:paraId="7DA7714F" w14:textId="77777777" w:rsidR="00112CAB" w:rsidRPr="009C7555" w:rsidRDefault="00112CAB" w:rsidP="0007130C">
      <w:pPr>
        <w:spacing w:line="264" w:lineRule="auto"/>
        <w:rPr>
          <w:sz w:val="22"/>
          <w:szCs w:val="22"/>
        </w:rPr>
      </w:pPr>
    </w:p>
    <w:p w14:paraId="3E07A251" w14:textId="73891160" w:rsidR="005F3679" w:rsidRDefault="00535646" w:rsidP="00002F2E">
      <w:pPr>
        <w:rPr>
          <w:rFonts w:eastAsiaTheme="minorHAnsi"/>
          <w:bCs/>
          <w:sz w:val="22"/>
          <w:szCs w:val="22"/>
          <w:lang w:val="en-ZW"/>
        </w:rPr>
      </w:pPr>
      <w:r w:rsidRPr="009C7555">
        <w:rPr>
          <w:sz w:val="22"/>
          <w:szCs w:val="22"/>
        </w:rPr>
        <w:t xml:space="preserve">The Oregon Department of Environmental Quality (DEQ) </w:t>
      </w:r>
      <w:r w:rsidR="00B53634" w:rsidRPr="009C7555">
        <w:rPr>
          <w:sz w:val="22"/>
          <w:szCs w:val="22"/>
        </w:rPr>
        <w:t xml:space="preserve">has reviewed the document entitled </w:t>
      </w:r>
      <w:r w:rsidR="002E4615" w:rsidRPr="002E4615">
        <w:rPr>
          <w:rFonts w:eastAsiaTheme="minorHAnsi"/>
          <w:i/>
          <w:iCs/>
          <w:sz w:val="22"/>
          <w:szCs w:val="22"/>
          <w:lang w:val="en-ZW"/>
        </w:rPr>
        <w:t>202</w:t>
      </w:r>
      <w:r w:rsidR="0004032A">
        <w:rPr>
          <w:rFonts w:eastAsiaTheme="minorHAnsi"/>
          <w:i/>
          <w:iCs/>
          <w:sz w:val="22"/>
          <w:szCs w:val="22"/>
          <w:lang w:val="en-ZW"/>
        </w:rPr>
        <w:t>4</w:t>
      </w:r>
      <w:r w:rsidR="002E4615" w:rsidRPr="002E4615">
        <w:rPr>
          <w:rFonts w:eastAsiaTheme="minorHAnsi"/>
          <w:i/>
          <w:iCs/>
          <w:sz w:val="22"/>
          <w:szCs w:val="22"/>
          <w:lang w:val="en-ZW"/>
        </w:rPr>
        <w:t xml:space="preserve"> Annual Progress Report, Troutdale Gravel Aquifer, Boeing Portland Facility, Gresham, Oregon</w:t>
      </w:r>
      <w:r w:rsidR="00F014C6" w:rsidRPr="009C7555">
        <w:rPr>
          <w:rFonts w:eastAsiaTheme="minorHAnsi"/>
          <w:bCs/>
          <w:sz w:val="22"/>
          <w:szCs w:val="22"/>
          <w:lang w:val="en-ZW"/>
        </w:rPr>
        <w:t xml:space="preserve"> dated </w:t>
      </w:r>
      <w:r w:rsidR="002E4615">
        <w:rPr>
          <w:rFonts w:eastAsiaTheme="minorHAnsi"/>
          <w:bCs/>
          <w:sz w:val="22"/>
          <w:szCs w:val="22"/>
          <w:lang w:val="en-ZW"/>
        </w:rPr>
        <w:t>March</w:t>
      </w:r>
      <w:r w:rsidR="00C81DED" w:rsidRPr="009C7555">
        <w:rPr>
          <w:rFonts w:eastAsiaTheme="minorHAnsi"/>
          <w:bCs/>
          <w:sz w:val="22"/>
          <w:szCs w:val="22"/>
          <w:lang w:val="en-ZW"/>
        </w:rPr>
        <w:t xml:space="preserve"> </w:t>
      </w:r>
      <w:r w:rsidR="009571F2">
        <w:rPr>
          <w:rFonts w:eastAsiaTheme="minorHAnsi"/>
          <w:bCs/>
          <w:sz w:val="22"/>
          <w:szCs w:val="22"/>
          <w:lang w:val="en-ZW"/>
        </w:rPr>
        <w:t>1</w:t>
      </w:r>
      <w:r w:rsidR="0004032A">
        <w:rPr>
          <w:rFonts w:eastAsiaTheme="minorHAnsi"/>
          <w:bCs/>
          <w:sz w:val="22"/>
          <w:szCs w:val="22"/>
          <w:lang w:val="en-ZW"/>
        </w:rPr>
        <w:t>4</w:t>
      </w:r>
      <w:r w:rsidR="00F014C6" w:rsidRPr="009C7555">
        <w:rPr>
          <w:rFonts w:eastAsiaTheme="minorHAnsi"/>
          <w:bCs/>
          <w:sz w:val="22"/>
          <w:szCs w:val="22"/>
          <w:lang w:val="en-ZW"/>
        </w:rPr>
        <w:t>, 202</w:t>
      </w:r>
      <w:r w:rsidR="0004032A">
        <w:rPr>
          <w:rFonts w:eastAsiaTheme="minorHAnsi"/>
          <w:bCs/>
          <w:sz w:val="22"/>
          <w:szCs w:val="22"/>
          <w:lang w:val="en-ZW"/>
        </w:rPr>
        <w:t>5</w:t>
      </w:r>
      <w:r w:rsidR="00B53634" w:rsidRPr="009C7555">
        <w:rPr>
          <w:rFonts w:eastAsiaTheme="minorHAnsi"/>
          <w:bCs/>
          <w:sz w:val="22"/>
          <w:szCs w:val="22"/>
          <w:lang w:val="en-ZW"/>
        </w:rPr>
        <w:t xml:space="preserve">. This </w:t>
      </w:r>
      <w:r w:rsidR="003622B6" w:rsidRPr="009C7555">
        <w:rPr>
          <w:rFonts w:eastAsiaTheme="minorHAnsi"/>
          <w:bCs/>
          <w:sz w:val="22"/>
          <w:szCs w:val="22"/>
          <w:lang w:val="en-ZW"/>
        </w:rPr>
        <w:t>report</w:t>
      </w:r>
      <w:r w:rsidR="00B53634" w:rsidRPr="009C7555">
        <w:rPr>
          <w:rFonts w:eastAsiaTheme="minorHAnsi"/>
          <w:bCs/>
          <w:sz w:val="22"/>
          <w:szCs w:val="22"/>
          <w:lang w:val="en-ZW"/>
        </w:rPr>
        <w:t xml:space="preserve"> was prepared on your behalf by </w:t>
      </w:r>
      <w:r w:rsidR="00F014C6" w:rsidRPr="009C7555">
        <w:rPr>
          <w:rFonts w:eastAsiaTheme="minorHAnsi"/>
          <w:bCs/>
          <w:sz w:val="22"/>
          <w:szCs w:val="22"/>
          <w:lang w:val="en-ZW"/>
        </w:rPr>
        <w:t>Landau Associates</w:t>
      </w:r>
      <w:r w:rsidR="009571F2">
        <w:rPr>
          <w:rFonts w:eastAsiaTheme="minorHAnsi"/>
          <w:bCs/>
          <w:sz w:val="22"/>
          <w:szCs w:val="22"/>
          <w:lang w:val="en-ZW"/>
        </w:rPr>
        <w:t>,</w:t>
      </w:r>
      <w:r w:rsidR="00636899" w:rsidRPr="009C7555">
        <w:rPr>
          <w:rFonts w:eastAsiaTheme="minorHAnsi"/>
          <w:bCs/>
          <w:sz w:val="22"/>
          <w:szCs w:val="22"/>
          <w:lang w:val="en-ZW"/>
        </w:rPr>
        <w:t xml:space="preserve"> </w:t>
      </w:r>
      <w:r w:rsidR="009571F2">
        <w:rPr>
          <w:rFonts w:eastAsiaTheme="minorHAnsi"/>
          <w:bCs/>
          <w:sz w:val="22"/>
          <w:szCs w:val="22"/>
          <w:lang w:val="en-ZW"/>
        </w:rPr>
        <w:t>Portland</w:t>
      </w:r>
      <w:r w:rsidR="00B53634" w:rsidRPr="009C7555">
        <w:rPr>
          <w:rFonts w:eastAsiaTheme="minorHAnsi"/>
          <w:bCs/>
          <w:sz w:val="22"/>
          <w:szCs w:val="22"/>
          <w:lang w:val="en-ZW"/>
        </w:rPr>
        <w:t xml:space="preserve">. </w:t>
      </w:r>
    </w:p>
    <w:p w14:paraId="048CE7ED" w14:textId="360BB8F1" w:rsidR="0069673D" w:rsidRDefault="0069673D" w:rsidP="00002F2E">
      <w:pPr>
        <w:rPr>
          <w:rFonts w:eastAsiaTheme="minorHAnsi"/>
          <w:bCs/>
          <w:sz w:val="22"/>
          <w:szCs w:val="22"/>
          <w:lang w:val="en-ZW"/>
        </w:rPr>
      </w:pPr>
    </w:p>
    <w:p w14:paraId="5EA473A8" w14:textId="14BCAAE1" w:rsidR="00EF54C7" w:rsidRPr="00045F49" w:rsidRDefault="00EF54C7" w:rsidP="00002F2E">
      <w:pPr>
        <w:rPr>
          <w:rFonts w:eastAsiaTheme="minorHAnsi"/>
          <w:bCs/>
          <w:sz w:val="22"/>
          <w:szCs w:val="22"/>
          <w:lang w:val="en-ZW"/>
        </w:rPr>
      </w:pPr>
      <w:r w:rsidRPr="00045F49">
        <w:rPr>
          <w:rFonts w:eastAsiaTheme="minorHAnsi"/>
          <w:bCs/>
          <w:sz w:val="22"/>
          <w:szCs w:val="22"/>
          <w:lang w:val="en-ZW"/>
        </w:rPr>
        <w:t xml:space="preserve">DEQ approves the </w:t>
      </w:r>
      <w:r w:rsidR="00EB701A" w:rsidRPr="00045F49">
        <w:rPr>
          <w:rFonts w:eastAsiaTheme="minorHAnsi"/>
          <w:bCs/>
          <w:sz w:val="22"/>
          <w:szCs w:val="22"/>
          <w:lang w:val="en-ZW"/>
        </w:rPr>
        <w:t>proposed</w:t>
      </w:r>
      <w:r w:rsidR="00DA6F8C" w:rsidRPr="00045F49">
        <w:rPr>
          <w:rFonts w:eastAsiaTheme="minorHAnsi"/>
          <w:bCs/>
          <w:sz w:val="22"/>
          <w:szCs w:val="22"/>
          <w:lang w:val="en-ZW"/>
        </w:rPr>
        <w:t xml:space="preserve"> changes to monitoring well gauging and sampling frequency as </w:t>
      </w:r>
      <w:r w:rsidR="00B83F92">
        <w:rPr>
          <w:rFonts w:eastAsiaTheme="minorHAnsi"/>
          <w:bCs/>
          <w:sz w:val="22"/>
          <w:szCs w:val="22"/>
          <w:lang w:val="en-ZW"/>
        </w:rPr>
        <w:t>proposed</w:t>
      </w:r>
      <w:r w:rsidR="00DA6F8C" w:rsidRPr="00045F49">
        <w:rPr>
          <w:rFonts w:eastAsiaTheme="minorHAnsi"/>
          <w:bCs/>
          <w:sz w:val="22"/>
          <w:szCs w:val="22"/>
          <w:lang w:val="en-ZW"/>
        </w:rPr>
        <w:t xml:space="preserve"> in </w:t>
      </w:r>
      <w:r w:rsidR="00DA6F8C" w:rsidRPr="00045F49">
        <w:rPr>
          <w:rFonts w:eastAsiaTheme="minorHAnsi"/>
          <w:sz w:val="22"/>
          <w:szCs w:val="22"/>
          <w:lang w:val="en-ZW"/>
        </w:rPr>
        <w:t xml:space="preserve">Table 1, </w:t>
      </w:r>
      <w:r w:rsidR="00DA6F8C" w:rsidRPr="00045F49">
        <w:rPr>
          <w:rFonts w:eastAsiaTheme="minorHAnsi"/>
          <w:i/>
          <w:iCs/>
          <w:sz w:val="22"/>
          <w:szCs w:val="22"/>
          <w:lang w:val="en-ZW"/>
        </w:rPr>
        <w:t>Performance Monitoring Program</w:t>
      </w:r>
      <w:r w:rsidR="00B83F92">
        <w:rPr>
          <w:rFonts w:eastAsiaTheme="minorHAnsi"/>
          <w:i/>
          <w:iCs/>
          <w:sz w:val="22"/>
          <w:szCs w:val="22"/>
          <w:lang w:val="en-ZW"/>
        </w:rPr>
        <w:t xml:space="preserve">, </w:t>
      </w:r>
      <w:r w:rsidR="00B83F92" w:rsidRPr="00B83F92">
        <w:rPr>
          <w:rFonts w:eastAsiaTheme="minorHAnsi"/>
          <w:sz w:val="22"/>
          <w:szCs w:val="22"/>
          <w:lang w:val="en-ZW"/>
        </w:rPr>
        <w:t>except as indicated in comment</w:t>
      </w:r>
      <w:r w:rsidR="00B83F92">
        <w:rPr>
          <w:rFonts w:eastAsiaTheme="minorHAnsi"/>
          <w:bCs/>
          <w:sz w:val="22"/>
          <w:szCs w:val="22"/>
          <w:lang w:val="en-ZW"/>
        </w:rPr>
        <w:t xml:space="preserve"> 3 below</w:t>
      </w:r>
      <w:r w:rsidR="00DA6F8C" w:rsidRPr="00045F49">
        <w:rPr>
          <w:rFonts w:eastAsiaTheme="minorHAnsi"/>
          <w:bCs/>
          <w:sz w:val="22"/>
          <w:szCs w:val="22"/>
          <w:lang w:val="en-ZW"/>
        </w:rPr>
        <w:t>.</w:t>
      </w:r>
    </w:p>
    <w:p w14:paraId="6D294DE3" w14:textId="77777777" w:rsidR="00DA6F8C" w:rsidRPr="00045F49" w:rsidRDefault="00DA6F8C" w:rsidP="00002F2E">
      <w:pPr>
        <w:rPr>
          <w:rFonts w:eastAsiaTheme="minorHAnsi"/>
          <w:bCs/>
          <w:sz w:val="22"/>
          <w:szCs w:val="22"/>
          <w:lang w:val="en-ZW"/>
        </w:rPr>
      </w:pPr>
    </w:p>
    <w:p w14:paraId="678655C7" w14:textId="4B2899C8" w:rsidR="00DA6F8C" w:rsidRPr="00045F49" w:rsidRDefault="00DA6F8C" w:rsidP="00DA6F8C">
      <w:pPr>
        <w:rPr>
          <w:rFonts w:eastAsiaTheme="minorHAnsi"/>
          <w:bCs/>
          <w:sz w:val="22"/>
          <w:szCs w:val="22"/>
          <w:lang w:val="en-ZW"/>
        </w:rPr>
      </w:pPr>
      <w:r w:rsidRPr="00045F49">
        <w:rPr>
          <w:rFonts w:eastAsiaTheme="minorHAnsi"/>
          <w:bCs/>
          <w:sz w:val="22"/>
          <w:szCs w:val="22"/>
          <w:lang w:val="en-ZW"/>
        </w:rPr>
        <w:t xml:space="preserve">DEQ approves the </w:t>
      </w:r>
      <w:r w:rsidRPr="00045F49">
        <w:rPr>
          <w:rFonts w:eastAsiaTheme="minorHAnsi"/>
          <w:i/>
          <w:iCs/>
          <w:sz w:val="22"/>
          <w:szCs w:val="22"/>
          <w:lang w:val="en-ZW"/>
        </w:rPr>
        <w:t xml:space="preserve">2023 Annual Progress Report </w:t>
      </w:r>
      <w:r w:rsidRPr="00045F49">
        <w:rPr>
          <w:rFonts w:eastAsiaTheme="minorHAnsi"/>
          <w:sz w:val="22"/>
          <w:szCs w:val="22"/>
          <w:lang w:val="en-ZW"/>
        </w:rPr>
        <w:t>Section 6.0 Recommendations</w:t>
      </w:r>
      <w:r w:rsidR="00581384" w:rsidRPr="00045F49">
        <w:rPr>
          <w:rFonts w:eastAsiaTheme="minorHAnsi"/>
          <w:sz w:val="22"/>
          <w:szCs w:val="22"/>
          <w:lang w:val="en-ZW"/>
        </w:rPr>
        <w:t xml:space="preserve"> with the following comments and questions </w:t>
      </w:r>
      <w:r w:rsidR="00F767FB" w:rsidRPr="00045F49">
        <w:rPr>
          <w:rFonts w:eastAsiaTheme="minorHAnsi"/>
          <w:sz w:val="22"/>
          <w:szCs w:val="22"/>
          <w:lang w:val="en-ZW"/>
        </w:rPr>
        <w:t>about</w:t>
      </w:r>
      <w:r w:rsidR="00581384" w:rsidRPr="00045F49">
        <w:rPr>
          <w:rFonts w:eastAsiaTheme="minorHAnsi"/>
          <w:sz w:val="22"/>
          <w:szCs w:val="22"/>
          <w:lang w:val="en-ZW"/>
        </w:rPr>
        <w:t xml:space="preserve"> </w:t>
      </w:r>
      <w:r w:rsidR="00606540">
        <w:rPr>
          <w:rFonts w:eastAsiaTheme="minorHAnsi"/>
          <w:sz w:val="22"/>
          <w:szCs w:val="22"/>
          <w:lang w:val="en-ZW"/>
        </w:rPr>
        <w:t>Section 6.0 and the</w:t>
      </w:r>
      <w:r w:rsidR="00581384" w:rsidRPr="00045F49">
        <w:rPr>
          <w:rFonts w:eastAsiaTheme="minorHAnsi"/>
          <w:sz w:val="22"/>
          <w:szCs w:val="22"/>
          <w:lang w:val="en-ZW"/>
        </w:rPr>
        <w:t xml:space="preserve"> document:</w:t>
      </w:r>
    </w:p>
    <w:p w14:paraId="0A26D5D8" w14:textId="77777777" w:rsidR="00124584" w:rsidRDefault="00124584" w:rsidP="00214EEB">
      <w:pPr>
        <w:autoSpaceDE w:val="0"/>
        <w:autoSpaceDN w:val="0"/>
        <w:adjustRightInd w:val="0"/>
        <w:jc w:val="both"/>
        <w:rPr>
          <w:rFonts w:eastAsiaTheme="minorHAnsi"/>
          <w:bCs/>
          <w:sz w:val="22"/>
          <w:szCs w:val="22"/>
          <w:lang w:val="en-ZW"/>
        </w:rPr>
      </w:pPr>
    </w:p>
    <w:p w14:paraId="41E69A3E" w14:textId="6A3B0F43" w:rsidR="00124584" w:rsidRPr="00203935" w:rsidRDefault="00124584" w:rsidP="00045F49">
      <w:pPr>
        <w:pStyle w:val="ListParagraph"/>
        <w:numPr>
          <w:ilvl w:val="0"/>
          <w:numId w:val="9"/>
        </w:numPr>
        <w:autoSpaceDE w:val="0"/>
        <w:autoSpaceDN w:val="0"/>
        <w:adjustRightInd w:val="0"/>
        <w:rPr>
          <w:rFonts w:ascii="Times New Roman" w:hAnsi="Times New Roman"/>
          <w:bCs/>
          <w:lang w:val="en-ZW"/>
        </w:rPr>
      </w:pPr>
      <w:r w:rsidRPr="00203935">
        <w:rPr>
          <w:rFonts w:ascii="Times New Roman" w:hAnsi="Times New Roman"/>
          <w:bCs/>
          <w:lang w:val="en-ZW"/>
        </w:rPr>
        <w:t xml:space="preserve">The </w:t>
      </w:r>
      <w:r w:rsidR="00BB08CD" w:rsidRPr="00203935">
        <w:rPr>
          <w:rFonts w:ascii="Times New Roman" w:hAnsi="Times New Roman"/>
          <w:bCs/>
          <w:lang w:val="en-ZW"/>
        </w:rPr>
        <w:t xml:space="preserve">Upper </w:t>
      </w:r>
      <w:r w:rsidRPr="00203935">
        <w:rPr>
          <w:rFonts w:ascii="Times New Roman" w:hAnsi="Times New Roman"/>
          <w:bCs/>
          <w:lang w:val="en-ZW"/>
        </w:rPr>
        <w:t xml:space="preserve">TSA </w:t>
      </w:r>
      <w:r w:rsidR="00BB08CD" w:rsidRPr="00203935">
        <w:rPr>
          <w:rFonts w:ascii="Times New Roman" w:hAnsi="Times New Roman"/>
          <w:bCs/>
          <w:lang w:val="en-ZW"/>
        </w:rPr>
        <w:t xml:space="preserve">gauge </w:t>
      </w:r>
      <w:r w:rsidRPr="00203935">
        <w:rPr>
          <w:rFonts w:ascii="Times New Roman" w:hAnsi="Times New Roman"/>
          <w:bCs/>
          <w:lang w:val="en-ZW"/>
        </w:rPr>
        <w:t xml:space="preserve">measurements </w:t>
      </w:r>
      <w:r w:rsidR="00BB08CD" w:rsidRPr="00203935">
        <w:rPr>
          <w:rFonts w:ascii="Times New Roman" w:hAnsi="Times New Roman"/>
          <w:bCs/>
          <w:lang w:val="en-ZW"/>
        </w:rPr>
        <w:t>and groundwater quality data remain</w:t>
      </w:r>
      <w:r w:rsidRPr="00203935">
        <w:rPr>
          <w:rFonts w:ascii="Times New Roman" w:hAnsi="Times New Roman"/>
          <w:bCs/>
          <w:lang w:val="en-ZW"/>
        </w:rPr>
        <w:t xml:space="preserve"> important to evaluat</w:t>
      </w:r>
      <w:r w:rsidR="0069673D" w:rsidRPr="00203935">
        <w:rPr>
          <w:rFonts w:ascii="Times New Roman" w:hAnsi="Times New Roman"/>
          <w:bCs/>
          <w:lang w:val="en-ZW"/>
        </w:rPr>
        <w:t>e</w:t>
      </w:r>
      <w:r w:rsidRPr="00203935">
        <w:rPr>
          <w:rFonts w:ascii="Times New Roman" w:hAnsi="Times New Roman"/>
          <w:bCs/>
          <w:lang w:val="en-ZW"/>
        </w:rPr>
        <w:t xml:space="preserve"> </w:t>
      </w:r>
      <w:r w:rsidR="0069673D" w:rsidRPr="00203935">
        <w:rPr>
          <w:rFonts w:ascii="Times New Roman" w:hAnsi="Times New Roman"/>
          <w:bCs/>
          <w:lang w:val="en-ZW"/>
        </w:rPr>
        <w:t>the</w:t>
      </w:r>
      <w:r w:rsidRPr="00203935">
        <w:rPr>
          <w:rFonts w:ascii="Times New Roman" w:hAnsi="Times New Roman"/>
          <w:bCs/>
          <w:lang w:val="en-ZW"/>
        </w:rPr>
        <w:t xml:space="preserve"> potential for downward movement of </w:t>
      </w:r>
      <w:r w:rsidR="00581384" w:rsidRPr="00203935">
        <w:rPr>
          <w:rFonts w:ascii="Times New Roman" w:hAnsi="Times New Roman"/>
          <w:bCs/>
          <w:lang w:val="en-ZW"/>
        </w:rPr>
        <w:t>contaminants</w:t>
      </w:r>
      <w:r w:rsidRPr="00203935">
        <w:rPr>
          <w:rFonts w:ascii="Times New Roman" w:hAnsi="Times New Roman"/>
          <w:bCs/>
          <w:lang w:val="en-ZW"/>
        </w:rPr>
        <w:t xml:space="preserve"> from the TGA to the TSA. </w:t>
      </w:r>
      <w:r w:rsidR="00BB08CD" w:rsidRPr="00203935">
        <w:rPr>
          <w:rFonts w:ascii="Times New Roman" w:hAnsi="Times New Roman"/>
          <w:bCs/>
          <w:lang w:val="en-ZW"/>
        </w:rPr>
        <w:t xml:space="preserve">Potential downward movement of VOCs </w:t>
      </w:r>
      <w:r w:rsidRPr="00203935">
        <w:rPr>
          <w:rFonts w:ascii="Times New Roman" w:hAnsi="Times New Roman"/>
          <w:bCs/>
          <w:lang w:val="en-ZW"/>
        </w:rPr>
        <w:t xml:space="preserve">is important to </w:t>
      </w:r>
      <w:r w:rsidR="00BB08CD" w:rsidRPr="00203935">
        <w:rPr>
          <w:rFonts w:ascii="Times New Roman" w:hAnsi="Times New Roman"/>
          <w:bCs/>
          <w:lang w:val="en-ZW"/>
        </w:rPr>
        <w:t xml:space="preserve">consider </w:t>
      </w:r>
      <w:r w:rsidRPr="00203935">
        <w:rPr>
          <w:rFonts w:ascii="Times New Roman" w:hAnsi="Times New Roman"/>
          <w:bCs/>
          <w:lang w:val="en-ZW"/>
        </w:rPr>
        <w:t xml:space="preserve">as extraction wells are </w:t>
      </w:r>
      <w:r w:rsidR="00BB08CD" w:rsidRPr="00203935">
        <w:rPr>
          <w:rFonts w:ascii="Times New Roman" w:hAnsi="Times New Roman"/>
          <w:bCs/>
          <w:lang w:val="en-ZW"/>
        </w:rPr>
        <w:t xml:space="preserve">taken offline and </w:t>
      </w:r>
      <w:r w:rsidRPr="00203935">
        <w:rPr>
          <w:rFonts w:ascii="Times New Roman" w:hAnsi="Times New Roman"/>
          <w:bCs/>
          <w:lang w:val="en-ZW"/>
        </w:rPr>
        <w:t xml:space="preserve">decommissioned. </w:t>
      </w:r>
    </w:p>
    <w:p w14:paraId="46B805F4" w14:textId="77777777" w:rsidR="00124584" w:rsidRPr="00124584" w:rsidRDefault="00124584" w:rsidP="00191366">
      <w:pPr>
        <w:autoSpaceDE w:val="0"/>
        <w:autoSpaceDN w:val="0"/>
        <w:adjustRightInd w:val="0"/>
        <w:rPr>
          <w:rFonts w:eastAsiaTheme="minorHAnsi"/>
          <w:bCs/>
          <w:sz w:val="22"/>
          <w:szCs w:val="22"/>
          <w:lang w:val="en-ZW"/>
        </w:rPr>
      </w:pPr>
    </w:p>
    <w:p w14:paraId="50B15FB0" w14:textId="339DDABD" w:rsidR="00A77BD8" w:rsidRDefault="00A77BD8" w:rsidP="00045F49">
      <w:pPr>
        <w:pStyle w:val="ListParagraph"/>
        <w:numPr>
          <w:ilvl w:val="0"/>
          <w:numId w:val="9"/>
        </w:numPr>
        <w:autoSpaceDE w:val="0"/>
        <w:autoSpaceDN w:val="0"/>
        <w:adjustRightInd w:val="0"/>
        <w:rPr>
          <w:rFonts w:ascii="Times New Roman" w:hAnsi="Times New Roman"/>
          <w:bCs/>
          <w:lang w:val="en-ZW"/>
        </w:rPr>
      </w:pPr>
      <w:r w:rsidRPr="00203935">
        <w:rPr>
          <w:rFonts w:ascii="Times New Roman" w:hAnsi="Times New Roman"/>
          <w:bCs/>
          <w:lang w:val="en-ZW"/>
        </w:rPr>
        <w:t xml:space="preserve">Section 3.3.1 </w:t>
      </w:r>
      <w:r w:rsidRPr="00D46EFF">
        <w:rPr>
          <w:rFonts w:ascii="Times New Roman" w:hAnsi="Times New Roman"/>
          <w:bCs/>
          <w:u w:val="single"/>
          <w:lang w:val="en-ZW"/>
        </w:rPr>
        <w:t>Soil Vapor Extraction System Expansion Progress</w:t>
      </w:r>
      <w:r w:rsidR="00016E9C" w:rsidRPr="00203935">
        <w:rPr>
          <w:rFonts w:ascii="Times New Roman" w:hAnsi="Times New Roman"/>
          <w:bCs/>
          <w:lang w:val="en-ZW"/>
        </w:rPr>
        <w:t xml:space="preserve">. Please provide an update on the planned installation of three new subslab vapor extraction wells and conversion of an existing vapor observation well to a vapor extraction well. These soil vapor extraction wells are in the area of the Former Vapor Degreaser Source Area. </w:t>
      </w:r>
    </w:p>
    <w:p w14:paraId="489D769A" w14:textId="77777777" w:rsidR="00715511" w:rsidRPr="00715511" w:rsidRDefault="00715511" w:rsidP="00715511">
      <w:pPr>
        <w:pStyle w:val="ListParagraph"/>
        <w:rPr>
          <w:rFonts w:ascii="Times New Roman" w:hAnsi="Times New Roman"/>
          <w:bCs/>
          <w:lang w:val="en-ZW"/>
        </w:rPr>
      </w:pPr>
    </w:p>
    <w:p w14:paraId="4B276945" w14:textId="51CF66D7" w:rsidR="00B83F92" w:rsidRPr="00B83F92" w:rsidRDefault="007A7FDA" w:rsidP="00B83F92">
      <w:pPr>
        <w:pStyle w:val="ListParagraph"/>
        <w:numPr>
          <w:ilvl w:val="0"/>
          <w:numId w:val="9"/>
        </w:numPr>
        <w:autoSpaceDE w:val="0"/>
        <w:autoSpaceDN w:val="0"/>
        <w:adjustRightInd w:val="0"/>
        <w:rPr>
          <w:rFonts w:ascii="Times New Roman" w:hAnsi="Times New Roman"/>
          <w:bCs/>
          <w:lang w:val="en-ZW"/>
        </w:rPr>
      </w:pPr>
      <w:r w:rsidRPr="00944F77">
        <w:rPr>
          <w:rFonts w:ascii="Times New Roman" w:hAnsi="Times New Roman"/>
          <w:bCs/>
          <w:lang w:val="en-ZW"/>
        </w:rPr>
        <w:t>Section 4.1.1, West Corrective Action Area. Well BOP-57(</w:t>
      </w:r>
      <w:proofErr w:type="spellStart"/>
      <w:r w:rsidRPr="00944F77">
        <w:rPr>
          <w:rFonts w:ascii="Times New Roman" w:hAnsi="Times New Roman"/>
          <w:bCs/>
          <w:lang w:val="en-ZW"/>
        </w:rPr>
        <w:t>ib</w:t>
      </w:r>
      <w:proofErr w:type="spellEnd"/>
      <w:r w:rsidRPr="00944F77">
        <w:rPr>
          <w:rFonts w:ascii="Times New Roman" w:hAnsi="Times New Roman"/>
          <w:bCs/>
          <w:lang w:val="en-ZW"/>
        </w:rPr>
        <w:t xml:space="preserve">) is screened somewhat deeper than most site TGA monitoring wells. </w:t>
      </w:r>
      <w:proofErr w:type="spellStart"/>
      <w:r w:rsidRPr="00944F77">
        <w:rPr>
          <w:rFonts w:ascii="Times New Roman" w:hAnsi="Times New Roman"/>
          <w:bCs/>
          <w:lang w:val="en-ZW"/>
        </w:rPr>
        <w:t>Its</w:t>
      </w:r>
      <w:proofErr w:type="spellEnd"/>
      <w:r w:rsidRPr="00944F77">
        <w:rPr>
          <w:rFonts w:ascii="Times New Roman" w:hAnsi="Times New Roman"/>
          <w:bCs/>
          <w:lang w:val="en-ZW"/>
        </w:rPr>
        <w:t xml:space="preserve"> well screen partially penetrates the upper siltstone of Confining Unit 1 </w:t>
      </w:r>
      <w:r w:rsidR="008B0FA7" w:rsidRPr="00944F77">
        <w:rPr>
          <w:rFonts w:ascii="Times New Roman" w:hAnsi="Times New Roman"/>
          <w:bCs/>
          <w:lang w:val="en-ZW"/>
        </w:rPr>
        <w:t>as well as the lower</w:t>
      </w:r>
      <w:r w:rsidRPr="00944F77">
        <w:rPr>
          <w:rFonts w:ascii="Times New Roman" w:hAnsi="Times New Roman"/>
          <w:bCs/>
          <w:lang w:val="en-ZW"/>
        </w:rPr>
        <w:t xml:space="preserve"> TGA</w:t>
      </w:r>
      <w:r w:rsidR="00F767FB" w:rsidRPr="00944F77">
        <w:rPr>
          <w:rFonts w:ascii="Times New Roman" w:hAnsi="Times New Roman"/>
          <w:bCs/>
          <w:lang w:val="en-ZW"/>
        </w:rPr>
        <w:t xml:space="preserve"> aquifer</w:t>
      </w:r>
      <w:r w:rsidR="008B0FA7" w:rsidRPr="00944F77">
        <w:rPr>
          <w:rFonts w:ascii="Times New Roman" w:hAnsi="Times New Roman"/>
          <w:bCs/>
          <w:lang w:val="en-ZW"/>
        </w:rPr>
        <w:t xml:space="preserve">. Groundwater from this well contained 50.6 ug/L TCE when sampled on 8/4/2024. This result is in contrast to nearly all other monitoring wells in </w:t>
      </w:r>
      <w:r w:rsidR="00F767FB" w:rsidRPr="00944F77">
        <w:rPr>
          <w:rFonts w:ascii="Times New Roman" w:hAnsi="Times New Roman"/>
          <w:bCs/>
          <w:lang w:val="en-ZW"/>
        </w:rPr>
        <w:t>its</w:t>
      </w:r>
      <w:r w:rsidR="008B0FA7" w:rsidRPr="00944F77">
        <w:rPr>
          <w:rFonts w:ascii="Times New Roman" w:hAnsi="Times New Roman"/>
          <w:bCs/>
          <w:lang w:val="en-ZW"/>
        </w:rPr>
        <w:t xml:space="preserve"> area which contain TCE at less than 5 ug/L and are screened in </w:t>
      </w:r>
      <w:r w:rsidR="00F767FB" w:rsidRPr="00944F77">
        <w:rPr>
          <w:rFonts w:ascii="Times New Roman" w:hAnsi="Times New Roman"/>
          <w:bCs/>
          <w:lang w:val="en-ZW"/>
        </w:rPr>
        <w:t xml:space="preserve">somewhat </w:t>
      </w:r>
      <w:r w:rsidR="008B0FA7" w:rsidRPr="00944F77">
        <w:rPr>
          <w:rFonts w:ascii="Times New Roman" w:hAnsi="Times New Roman"/>
          <w:bCs/>
          <w:lang w:val="en-ZW"/>
        </w:rPr>
        <w:t xml:space="preserve">higher sections of the TGA. Well BOP-7(i) is screened similarly </w:t>
      </w:r>
      <w:r w:rsidR="00665758" w:rsidRPr="00944F77">
        <w:rPr>
          <w:rFonts w:ascii="Times New Roman" w:hAnsi="Times New Roman"/>
          <w:bCs/>
          <w:lang w:val="en-ZW"/>
        </w:rPr>
        <w:t>to BOP-57(</w:t>
      </w:r>
      <w:proofErr w:type="spellStart"/>
      <w:r w:rsidR="00665758" w:rsidRPr="00944F77">
        <w:rPr>
          <w:rFonts w:ascii="Times New Roman" w:hAnsi="Times New Roman"/>
          <w:bCs/>
          <w:lang w:val="en-ZW"/>
        </w:rPr>
        <w:t>ib</w:t>
      </w:r>
      <w:proofErr w:type="spellEnd"/>
      <w:r w:rsidR="00665758" w:rsidRPr="00944F77">
        <w:rPr>
          <w:rFonts w:ascii="Times New Roman" w:hAnsi="Times New Roman"/>
          <w:bCs/>
          <w:lang w:val="en-ZW"/>
        </w:rPr>
        <w:t xml:space="preserve">) </w:t>
      </w:r>
      <w:r w:rsidR="00F65F92" w:rsidRPr="00944F77">
        <w:rPr>
          <w:rFonts w:ascii="Times New Roman" w:hAnsi="Times New Roman"/>
          <w:bCs/>
          <w:lang w:val="en-ZW"/>
        </w:rPr>
        <w:t xml:space="preserve">and includes a portion of Confining Unit 1 and as well as the lower TGA. </w:t>
      </w:r>
      <w:r w:rsidR="00B83F92">
        <w:rPr>
          <w:rFonts w:ascii="Times New Roman" w:hAnsi="Times New Roman"/>
          <w:bCs/>
          <w:lang w:val="en-ZW"/>
        </w:rPr>
        <w:t xml:space="preserve">Please continue to monitor and sample wells </w:t>
      </w:r>
      <w:r w:rsidR="00B83F92" w:rsidRPr="00944F77">
        <w:rPr>
          <w:rFonts w:ascii="Times New Roman" w:hAnsi="Times New Roman"/>
          <w:bCs/>
          <w:lang w:val="en-ZW"/>
        </w:rPr>
        <w:t xml:space="preserve">BOP-7(i) </w:t>
      </w:r>
      <w:r w:rsidR="00B83F92">
        <w:rPr>
          <w:rFonts w:ascii="Times New Roman" w:hAnsi="Times New Roman"/>
          <w:bCs/>
          <w:lang w:val="en-ZW"/>
        </w:rPr>
        <w:t>and</w:t>
      </w:r>
      <w:r w:rsidR="00B83F92" w:rsidRPr="00944F77">
        <w:rPr>
          <w:rFonts w:ascii="Times New Roman" w:hAnsi="Times New Roman"/>
          <w:bCs/>
          <w:lang w:val="en-ZW"/>
        </w:rPr>
        <w:t xml:space="preserve"> BOP-57(</w:t>
      </w:r>
      <w:proofErr w:type="spellStart"/>
      <w:r w:rsidR="00B83F92" w:rsidRPr="00944F77">
        <w:rPr>
          <w:rFonts w:ascii="Times New Roman" w:hAnsi="Times New Roman"/>
          <w:bCs/>
          <w:lang w:val="en-ZW"/>
        </w:rPr>
        <w:t>ib</w:t>
      </w:r>
      <w:proofErr w:type="spellEnd"/>
      <w:r w:rsidR="00B83F92" w:rsidRPr="00944F77">
        <w:rPr>
          <w:rFonts w:ascii="Times New Roman" w:hAnsi="Times New Roman"/>
          <w:bCs/>
          <w:lang w:val="en-ZW"/>
        </w:rPr>
        <w:t>)</w:t>
      </w:r>
      <w:r w:rsidR="00B83F92">
        <w:rPr>
          <w:rFonts w:ascii="Times New Roman" w:hAnsi="Times New Roman"/>
          <w:bCs/>
          <w:lang w:val="en-ZW"/>
        </w:rPr>
        <w:t xml:space="preserve"> annually instead of biannually as proposed.</w:t>
      </w:r>
    </w:p>
    <w:p w14:paraId="6EE76FA9" w14:textId="77777777" w:rsidR="00715511" w:rsidRPr="00715511" w:rsidRDefault="00715511" w:rsidP="00715511">
      <w:pPr>
        <w:autoSpaceDE w:val="0"/>
        <w:autoSpaceDN w:val="0"/>
        <w:adjustRightInd w:val="0"/>
        <w:rPr>
          <w:bCs/>
          <w:lang w:val="en-ZW"/>
        </w:rPr>
      </w:pPr>
    </w:p>
    <w:p w14:paraId="68012BF9" w14:textId="77777777" w:rsidR="00715511" w:rsidRPr="00944F77" w:rsidRDefault="00F767FB" w:rsidP="00715511">
      <w:pPr>
        <w:pStyle w:val="ListParagraph"/>
        <w:numPr>
          <w:ilvl w:val="0"/>
          <w:numId w:val="8"/>
        </w:numPr>
        <w:autoSpaceDE w:val="0"/>
        <w:autoSpaceDN w:val="0"/>
        <w:adjustRightInd w:val="0"/>
        <w:rPr>
          <w:rFonts w:ascii="Times New Roman" w:hAnsi="Times New Roman"/>
          <w:bCs/>
          <w:lang w:val="en-ZW"/>
        </w:rPr>
      </w:pPr>
      <w:r w:rsidRPr="00944F77">
        <w:rPr>
          <w:rFonts w:ascii="Times New Roman" w:hAnsi="Times New Roman"/>
          <w:bCs/>
          <w:lang w:val="en-ZW"/>
        </w:rPr>
        <w:lastRenderedPageBreak/>
        <w:t>What explains th</w:t>
      </w:r>
      <w:r w:rsidR="00D014BF" w:rsidRPr="00944F77">
        <w:rPr>
          <w:rFonts w:ascii="Times New Roman" w:hAnsi="Times New Roman"/>
          <w:bCs/>
          <w:lang w:val="en-ZW"/>
        </w:rPr>
        <w:t>e</w:t>
      </w:r>
      <w:r w:rsidRPr="00944F77">
        <w:rPr>
          <w:rFonts w:ascii="Times New Roman" w:hAnsi="Times New Roman"/>
          <w:bCs/>
          <w:lang w:val="en-ZW"/>
        </w:rPr>
        <w:t xml:space="preserve"> increased TCE concentration </w:t>
      </w:r>
      <w:r w:rsidR="00D014BF" w:rsidRPr="00944F77">
        <w:rPr>
          <w:rFonts w:ascii="Times New Roman" w:hAnsi="Times New Roman"/>
          <w:bCs/>
          <w:lang w:val="en-ZW"/>
        </w:rPr>
        <w:t xml:space="preserve">in groundwater </w:t>
      </w:r>
      <w:r w:rsidRPr="00944F77">
        <w:rPr>
          <w:rFonts w:ascii="Times New Roman" w:hAnsi="Times New Roman"/>
          <w:bCs/>
          <w:lang w:val="en-ZW"/>
        </w:rPr>
        <w:t xml:space="preserve">attributed to well </w:t>
      </w:r>
      <w:r w:rsidR="00D014BF" w:rsidRPr="00944F77">
        <w:rPr>
          <w:rFonts w:ascii="Times New Roman" w:hAnsi="Times New Roman"/>
          <w:bCs/>
          <w:lang w:val="en-ZW"/>
        </w:rPr>
        <w:t xml:space="preserve">screen </w:t>
      </w:r>
      <w:r w:rsidRPr="00944F77">
        <w:rPr>
          <w:rFonts w:ascii="Times New Roman" w:hAnsi="Times New Roman"/>
          <w:bCs/>
          <w:lang w:val="en-ZW"/>
        </w:rPr>
        <w:t xml:space="preserve">exposure to </w:t>
      </w:r>
      <w:r w:rsidR="00D014BF" w:rsidRPr="00944F77">
        <w:rPr>
          <w:rFonts w:ascii="Times New Roman" w:hAnsi="Times New Roman"/>
          <w:bCs/>
          <w:lang w:val="en-ZW"/>
        </w:rPr>
        <w:t xml:space="preserve">upper </w:t>
      </w:r>
      <w:r w:rsidRPr="00944F77">
        <w:rPr>
          <w:rFonts w:ascii="Times New Roman" w:hAnsi="Times New Roman"/>
          <w:bCs/>
          <w:lang w:val="en-ZW"/>
        </w:rPr>
        <w:t xml:space="preserve">confining unit 1 siltstone?  </w:t>
      </w:r>
      <w:r w:rsidR="00715511" w:rsidRPr="00944F77">
        <w:rPr>
          <w:rFonts w:ascii="Times New Roman" w:hAnsi="Times New Roman"/>
          <w:bCs/>
          <w:lang w:val="en-ZW"/>
        </w:rPr>
        <w:t>BOP-57(</w:t>
      </w:r>
      <w:proofErr w:type="spellStart"/>
      <w:r w:rsidR="00715511" w:rsidRPr="00944F77">
        <w:rPr>
          <w:rFonts w:ascii="Times New Roman" w:hAnsi="Times New Roman"/>
          <w:bCs/>
          <w:lang w:val="en-ZW"/>
        </w:rPr>
        <w:t>ib</w:t>
      </w:r>
      <w:proofErr w:type="spellEnd"/>
      <w:r w:rsidR="00715511" w:rsidRPr="00944F77">
        <w:rPr>
          <w:rFonts w:ascii="Times New Roman" w:hAnsi="Times New Roman"/>
          <w:bCs/>
          <w:lang w:val="en-ZW"/>
        </w:rPr>
        <w:t>) is located adjacent to active extraction well E-16.</w:t>
      </w:r>
    </w:p>
    <w:p w14:paraId="2C35FCF4" w14:textId="77777777" w:rsidR="00715511" w:rsidRPr="00715511" w:rsidRDefault="00715511" w:rsidP="00715511">
      <w:pPr>
        <w:pStyle w:val="ListParagraph"/>
        <w:autoSpaceDE w:val="0"/>
        <w:autoSpaceDN w:val="0"/>
        <w:adjustRightInd w:val="0"/>
        <w:ind w:left="1080"/>
        <w:rPr>
          <w:bCs/>
          <w:lang w:val="en-ZW"/>
        </w:rPr>
      </w:pPr>
    </w:p>
    <w:p w14:paraId="68DC77E7" w14:textId="32277B08" w:rsidR="00D46EFF" w:rsidRPr="00715511" w:rsidRDefault="00F767FB" w:rsidP="00715511">
      <w:pPr>
        <w:pStyle w:val="ListParagraph"/>
        <w:numPr>
          <w:ilvl w:val="0"/>
          <w:numId w:val="8"/>
        </w:numPr>
        <w:autoSpaceDE w:val="0"/>
        <w:autoSpaceDN w:val="0"/>
        <w:adjustRightInd w:val="0"/>
        <w:rPr>
          <w:rFonts w:ascii="Times New Roman" w:hAnsi="Times New Roman"/>
          <w:bCs/>
          <w:lang w:val="en-ZW"/>
        </w:rPr>
      </w:pPr>
      <w:r w:rsidRPr="00944F77">
        <w:rPr>
          <w:rFonts w:ascii="Times New Roman" w:hAnsi="Times New Roman"/>
          <w:bCs/>
          <w:lang w:val="en-ZW"/>
        </w:rPr>
        <w:t>Are wells BOP-57(</w:t>
      </w:r>
      <w:proofErr w:type="spellStart"/>
      <w:r w:rsidRPr="00944F77">
        <w:rPr>
          <w:rFonts w:ascii="Times New Roman" w:hAnsi="Times New Roman"/>
          <w:bCs/>
          <w:lang w:val="en-ZW"/>
        </w:rPr>
        <w:t>ib</w:t>
      </w:r>
      <w:proofErr w:type="spellEnd"/>
      <w:r w:rsidRPr="00944F77">
        <w:rPr>
          <w:rFonts w:ascii="Times New Roman" w:hAnsi="Times New Roman"/>
          <w:bCs/>
          <w:lang w:val="en-ZW"/>
        </w:rPr>
        <w:t>) and BOP-7(i) p</w:t>
      </w:r>
      <w:r w:rsidR="00665758" w:rsidRPr="00944F77">
        <w:rPr>
          <w:rFonts w:ascii="Times New Roman" w:hAnsi="Times New Roman"/>
          <w:bCs/>
          <w:lang w:val="en-ZW"/>
        </w:rPr>
        <w:t>referential pathway</w:t>
      </w:r>
      <w:r w:rsidRPr="00944F77">
        <w:rPr>
          <w:rFonts w:ascii="Times New Roman" w:hAnsi="Times New Roman"/>
          <w:bCs/>
          <w:lang w:val="en-ZW"/>
        </w:rPr>
        <w:t>s</w:t>
      </w:r>
      <w:r w:rsidR="00665758" w:rsidRPr="00944F77">
        <w:rPr>
          <w:rFonts w:ascii="Times New Roman" w:hAnsi="Times New Roman"/>
          <w:bCs/>
          <w:lang w:val="en-ZW"/>
        </w:rPr>
        <w:t xml:space="preserve"> for downward migration of </w:t>
      </w:r>
      <w:r w:rsidRPr="00944F77">
        <w:rPr>
          <w:rFonts w:ascii="Times New Roman" w:hAnsi="Times New Roman"/>
          <w:bCs/>
          <w:lang w:val="en-ZW"/>
        </w:rPr>
        <w:t xml:space="preserve">dissolved contaminants to the underlying TSA aquifer? </w:t>
      </w:r>
      <w:r w:rsidR="00D014BF" w:rsidRPr="00944F77">
        <w:rPr>
          <w:rFonts w:ascii="Times New Roman" w:hAnsi="Times New Roman"/>
          <w:bCs/>
          <w:lang w:val="en-ZW"/>
        </w:rPr>
        <w:t xml:space="preserve">How much of confining unit 1 </w:t>
      </w:r>
      <w:r w:rsidR="00E67992" w:rsidRPr="00944F77">
        <w:rPr>
          <w:rFonts w:ascii="Times New Roman" w:hAnsi="Times New Roman"/>
          <w:bCs/>
          <w:lang w:val="en-ZW"/>
        </w:rPr>
        <w:t xml:space="preserve">thickness </w:t>
      </w:r>
      <w:r w:rsidR="00D014BF" w:rsidRPr="00944F77">
        <w:rPr>
          <w:rFonts w:ascii="Times New Roman" w:hAnsi="Times New Roman"/>
          <w:bCs/>
          <w:lang w:val="en-ZW"/>
        </w:rPr>
        <w:t xml:space="preserve">has been penetrated by these wells? </w:t>
      </w:r>
    </w:p>
    <w:p w14:paraId="3BD5CB9A" w14:textId="77777777" w:rsidR="00715511" w:rsidRPr="00715511" w:rsidRDefault="00715511" w:rsidP="00715511">
      <w:pPr>
        <w:pStyle w:val="ListParagraph"/>
        <w:autoSpaceDE w:val="0"/>
        <w:autoSpaceDN w:val="0"/>
        <w:adjustRightInd w:val="0"/>
        <w:ind w:left="1080"/>
        <w:rPr>
          <w:rFonts w:ascii="Times New Roman" w:hAnsi="Times New Roman"/>
          <w:bCs/>
          <w:lang w:val="en-ZW"/>
        </w:rPr>
      </w:pPr>
    </w:p>
    <w:p w14:paraId="6BDE0D75" w14:textId="06301E76" w:rsidR="00B469CF" w:rsidRDefault="00D46EFF" w:rsidP="00B469CF">
      <w:pPr>
        <w:pStyle w:val="ListParagraph"/>
        <w:numPr>
          <w:ilvl w:val="0"/>
          <w:numId w:val="9"/>
        </w:numPr>
        <w:autoSpaceDE w:val="0"/>
        <w:autoSpaceDN w:val="0"/>
        <w:adjustRightInd w:val="0"/>
        <w:rPr>
          <w:rFonts w:ascii="Times New Roman" w:hAnsi="Times New Roman"/>
          <w:bCs/>
          <w:lang w:val="en-ZW"/>
        </w:rPr>
      </w:pPr>
      <w:r w:rsidRPr="00D46EFF">
        <w:rPr>
          <w:rFonts w:ascii="Times New Roman" w:hAnsi="Times New Roman"/>
          <w:bCs/>
          <w:lang w:val="en-ZW"/>
        </w:rPr>
        <w:t xml:space="preserve">Section 4.3 </w:t>
      </w:r>
      <w:r w:rsidRPr="00D46EFF">
        <w:rPr>
          <w:rFonts w:ascii="Times New Roman" w:hAnsi="Times New Roman"/>
          <w:bCs/>
          <w:u w:val="single"/>
          <w:lang w:val="en-ZW"/>
        </w:rPr>
        <w:t>Upper TSA Groundwater Quality</w:t>
      </w:r>
      <w:r w:rsidRPr="00D46EFF">
        <w:rPr>
          <w:rFonts w:ascii="Times New Roman" w:hAnsi="Times New Roman"/>
          <w:bCs/>
          <w:lang w:val="en-ZW"/>
        </w:rPr>
        <w:t xml:space="preserve">. </w:t>
      </w:r>
      <w:r>
        <w:rPr>
          <w:rFonts w:ascii="Times New Roman" w:hAnsi="Times New Roman"/>
          <w:bCs/>
          <w:lang w:val="en-ZW"/>
        </w:rPr>
        <w:t>During</w:t>
      </w:r>
      <w:r w:rsidRPr="00D46EFF">
        <w:rPr>
          <w:rFonts w:ascii="Times New Roman" w:hAnsi="Times New Roman"/>
          <w:bCs/>
          <w:lang w:val="en-ZW"/>
        </w:rPr>
        <w:t xml:space="preserve"> the August 2023 groundwater gauging event, </w:t>
      </w:r>
      <w:r>
        <w:rPr>
          <w:rFonts w:ascii="Times New Roman" w:hAnsi="Times New Roman"/>
          <w:bCs/>
          <w:lang w:val="en-ZW"/>
        </w:rPr>
        <w:t xml:space="preserve">groundwater elevations in the TGA were found to be higher than in the underlying, </w:t>
      </w:r>
      <w:r w:rsidRPr="00D46EFF">
        <w:rPr>
          <w:rFonts w:ascii="Times New Roman" w:hAnsi="Times New Roman"/>
          <w:bCs/>
          <w:lang w:val="en-ZW"/>
        </w:rPr>
        <w:t>confined TSA aquifer.</w:t>
      </w:r>
      <w:r>
        <w:rPr>
          <w:rFonts w:ascii="Times New Roman" w:hAnsi="Times New Roman"/>
          <w:bCs/>
          <w:lang w:val="en-ZW"/>
        </w:rPr>
        <w:t xml:space="preserve"> The report provided an example is in the Southwest Corrective Action Area. The depth to </w:t>
      </w:r>
      <w:r w:rsidR="00B469CF">
        <w:rPr>
          <w:rFonts w:ascii="Times New Roman" w:hAnsi="Times New Roman"/>
          <w:bCs/>
          <w:lang w:val="en-ZW"/>
        </w:rPr>
        <w:t xml:space="preserve">unconfined </w:t>
      </w:r>
      <w:r>
        <w:rPr>
          <w:rFonts w:ascii="Times New Roman" w:hAnsi="Times New Roman"/>
          <w:bCs/>
          <w:lang w:val="en-ZW"/>
        </w:rPr>
        <w:t>groundwater in the TG</w:t>
      </w:r>
      <w:r w:rsidR="00B469CF">
        <w:rPr>
          <w:rFonts w:ascii="Times New Roman" w:hAnsi="Times New Roman"/>
          <w:bCs/>
          <w:lang w:val="en-ZW"/>
        </w:rPr>
        <w:t>A</w:t>
      </w:r>
      <w:r>
        <w:rPr>
          <w:rFonts w:ascii="Times New Roman" w:hAnsi="Times New Roman"/>
          <w:bCs/>
          <w:lang w:val="en-ZW"/>
        </w:rPr>
        <w:t xml:space="preserve"> monitoring well BOP-9(i) </w:t>
      </w:r>
      <w:r w:rsidR="00B469CF">
        <w:rPr>
          <w:rFonts w:ascii="Times New Roman" w:hAnsi="Times New Roman"/>
          <w:bCs/>
          <w:lang w:val="en-ZW"/>
        </w:rPr>
        <w:t>was 35.79 feet above MSL. The elevation of confined groundwater in TSA monitoring well BOP-62(ds) was 12.56 feet above MSL. The head difference between these two wells is -23.23 feet indicati</w:t>
      </w:r>
      <w:r w:rsidR="00E67992">
        <w:rPr>
          <w:rFonts w:ascii="Times New Roman" w:hAnsi="Times New Roman"/>
          <w:bCs/>
          <w:lang w:val="en-ZW"/>
        </w:rPr>
        <w:t xml:space="preserve">ng </w:t>
      </w:r>
      <w:r w:rsidR="00B469CF">
        <w:rPr>
          <w:rFonts w:ascii="Times New Roman" w:hAnsi="Times New Roman"/>
          <w:bCs/>
          <w:lang w:val="en-ZW"/>
        </w:rPr>
        <w:t xml:space="preserve">a downward gradient for groundwater. </w:t>
      </w:r>
      <w:r w:rsidR="00AE5BCA">
        <w:rPr>
          <w:rFonts w:ascii="Times New Roman" w:hAnsi="Times New Roman"/>
          <w:bCs/>
          <w:lang w:val="en-ZW"/>
        </w:rPr>
        <w:t>Monitoring well BOP-9(i) is located about 350 feet south of the nearest currently operating TGA extraction well E-16 and does not appear to be within the cone of influence of the nearest extraction wells E-15 and E-16 (Figure 10, TGA Groundwater Elevation Contours – August 2023).</w:t>
      </w:r>
    </w:p>
    <w:p w14:paraId="0D27D2FA" w14:textId="77777777" w:rsidR="00886CF6" w:rsidRDefault="00886CF6" w:rsidP="00886CF6">
      <w:pPr>
        <w:pStyle w:val="ListParagraph"/>
        <w:autoSpaceDE w:val="0"/>
        <w:autoSpaceDN w:val="0"/>
        <w:adjustRightInd w:val="0"/>
        <w:rPr>
          <w:rFonts w:ascii="Times New Roman" w:hAnsi="Times New Roman"/>
          <w:bCs/>
          <w:lang w:val="en-ZW"/>
        </w:rPr>
      </w:pPr>
    </w:p>
    <w:p w14:paraId="2767A3FA" w14:textId="62F58629" w:rsidR="00886CF6" w:rsidRDefault="00886CF6" w:rsidP="00B469CF">
      <w:pPr>
        <w:pStyle w:val="ListParagraph"/>
        <w:numPr>
          <w:ilvl w:val="0"/>
          <w:numId w:val="9"/>
        </w:numPr>
        <w:autoSpaceDE w:val="0"/>
        <w:autoSpaceDN w:val="0"/>
        <w:adjustRightInd w:val="0"/>
        <w:rPr>
          <w:rFonts w:ascii="Times New Roman" w:hAnsi="Times New Roman"/>
          <w:bCs/>
          <w:lang w:val="en-ZW"/>
        </w:rPr>
      </w:pPr>
      <w:r>
        <w:rPr>
          <w:rFonts w:ascii="Times New Roman" w:hAnsi="Times New Roman"/>
          <w:bCs/>
          <w:lang w:val="en-ZW"/>
        </w:rPr>
        <w:t xml:space="preserve">Section 6.2. </w:t>
      </w:r>
      <w:r w:rsidRPr="00886CF6">
        <w:rPr>
          <w:rFonts w:ascii="Times New Roman" w:hAnsi="Times New Roman"/>
          <w:bCs/>
          <w:u w:val="single"/>
          <w:lang w:val="en-ZW"/>
        </w:rPr>
        <w:t>Groundwater Performance Monitoring Program</w:t>
      </w:r>
      <w:r>
        <w:rPr>
          <w:rFonts w:ascii="Times New Roman" w:hAnsi="Times New Roman"/>
          <w:bCs/>
          <w:lang w:val="en-ZW"/>
        </w:rPr>
        <w:t>. Seventh bullet on page 6-2</w:t>
      </w:r>
      <w:r w:rsidR="006326E8">
        <w:rPr>
          <w:rFonts w:ascii="Times New Roman" w:hAnsi="Times New Roman"/>
          <w:bCs/>
          <w:lang w:val="en-ZW"/>
        </w:rPr>
        <w:t xml:space="preserve"> regarding monitoring well BOP-7(i)</w:t>
      </w:r>
      <w:r>
        <w:rPr>
          <w:rFonts w:ascii="Times New Roman" w:hAnsi="Times New Roman"/>
          <w:bCs/>
          <w:lang w:val="en-ZW"/>
        </w:rPr>
        <w:t xml:space="preserve">. </w:t>
      </w:r>
      <w:r w:rsidR="006326E8">
        <w:rPr>
          <w:rFonts w:ascii="Times New Roman" w:hAnsi="Times New Roman"/>
          <w:bCs/>
          <w:lang w:val="en-ZW"/>
        </w:rPr>
        <w:t>DEQ does not agree with the proposed decrease of elevation measurements, decreased sampling frequency for VOCs, and decreased collection of bioremediation parameters. The 2023 TCE concentration in monitoring well BOP-7(i) is 34.6 ug/L. This well partially penetrates Confining Unit 1 (see comment 3 above). Continued collection of data</w:t>
      </w:r>
      <w:r w:rsidR="00112CAB">
        <w:rPr>
          <w:rFonts w:ascii="Times New Roman" w:hAnsi="Times New Roman"/>
          <w:bCs/>
          <w:lang w:val="en-ZW"/>
        </w:rPr>
        <w:t>,</w:t>
      </w:r>
      <w:r w:rsidR="006326E8">
        <w:rPr>
          <w:rFonts w:ascii="Times New Roman" w:hAnsi="Times New Roman"/>
          <w:bCs/>
          <w:lang w:val="en-ZW"/>
        </w:rPr>
        <w:t xml:space="preserve"> including bioremediation parameters</w:t>
      </w:r>
      <w:r w:rsidR="00112CAB">
        <w:rPr>
          <w:rFonts w:ascii="Times New Roman" w:hAnsi="Times New Roman"/>
          <w:bCs/>
          <w:lang w:val="en-ZW"/>
        </w:rPr>
        <w:t>,</w:t>
      </w:r>
      <w:r w:rsidR="006326E8">
        <w:rPr>
          <w:rFonts w:ascii="Times New Roman" w:hAnsi="Times New Roman"/>
          <w:bCs/>
          <w:lang w:val="en-ZW"/>
        </w:rPr>
        <w:t xml:space="preserve"> from this well is important to understand potential preferential pathways to the underlying TSA Aquifer.  </w:t>
      </w:r>
    </w:p>
    <w:p w14:paraId="0A3ECC89" w14:textId="77777777" w:rsidR="00B469CF" w:rsidRPr="00B469CF" w:rsidRDefault="00B469CF" w:rsidP="00B469CF">
      <w:pPr>
        <w:autoSpaceDE w:val="0"/>
        <w:autoSpaceDN w:val="0"/>
        <w:adjustRightInd w:val="0"/>
        <w:rPr>
          <w:rFonts w:eastAsiaTheme="minorHAnsi"/>
          <w:bCs/>
          <w:lang w:val="en-ZW"/>
        </w:rPr>
      </w:pPr>
    </w:p>
    <w:p w14:paraId="2D7F7890" w14:textId="406521B0" w:rsidR="001D41CD" w:rsidRPr="00B469CF" w:rsidRDefault="001D41CD" w:rsidP="00191366">
      <w:pPr>
        <w:pStyle w:val="ListParagraph"/>
        <w:numPr>
          <w:ilvl w:val="0"/>
          <w:numId w:val="9"/>
        </w:numPr>
        <w:autoSpaceDE w:val="0"/>
        <w:autoSpaceDN w:val="0"/>
        <w:adjustRightInd w:val="0"/>
        <w:rPr>
          <w:rFonts w:ascii="Times New Roman" w:hAnsi="Times New Roman"/>
          <w:bCs/>
          <w:lang w:val="en-ZW"/>
        </w:rPr>
      </w:pPr>
      <w:r w:rsidRPr="00B469CF">
        <w:rPr>
          <w:rFonts w:ascii="Times New Roman" w:hAnsi="Times New Roman"/>
          <w:bCs/>
          <w:lang w:val="en-ZW"/>
        </w:rPr>
        <w:t xml:space="preserve">Through time </w:t>
      </w:r>
      <w:r w:rsidR="00247605">
        <w:rPr>
          <w:rFonts w:ascii="Times New Roman" w:hAnsi="Times New Roman"/>
          <w:bCs/>
          <w:lang w:val="en-ZW"/>
        </w:rPr>
        <w:t xml:space="preserve">and </w:t>
      </w:r>
      <w:r w:rsidRPr="00B469CF">
        <w:rPr>
          <w:rFonts w:ascii="Times New Roman" w:hAnsi="Times New Roman"/>
          <w:bCs/>
          <w:lang w:val="en-ZW"/>
        </w:rPr>
        <w:t xml:space="preserve">with DEQ approval, 12 groundwater extraction wells have been taken offline with five </w:t>
      </w:r>
      <w:r w:rsidR="00247605" w:rsidRPr="00B469CF">
        <w:rPr>
          <w:rFonts w:ascii="Times New Roman" w:hAnsi="Times New Roman"/>
          <w:bCs/>
          <w:lang w:val="en-ZW"/>
        </w:rPr>
        <w:t xml:space="preserve">groundwater extraction wells </w:t>
      </w:r>
      <w:r w:rsidRPr="00B469CF">
        <w:rPr>
          <w:rFonts w:ascii="Times New Roman" w:hAnsi="Times New Roman"/>
          <w:bCs/>
          <w:lang w:val="en-ZW"/>
        </w:rPr>
        <w:t xml:space="preserve">remaining active to maintain hydraulic control in the TGA. The focus of hydraulic control has tended to be in the horizontal sense. Have you evaluated the </w:t>
      </w:r>
      <w:r w:rsidR="00AE5BCA">
        <w:rPr>
          <w:rFonts w:ascii="Times New Roman" w:hAnsi="Times New Roman"/>
          <w:bCs/>
          <w:lang w:val="en-ZW"/>
        </w:rPr>
        <w:t>e</w:t>
      </w:r>
      <w:r w:rsidR="00AE5BCA" w:rsidRPr="00B469CF">
        <w:rPr>
          <w:rFonts w:ascii="Times New Roman" w:hAnsi="Times New Roman"/>
          <w:bCs/>
          <w:lang w:val="en-ZW"/>
        </w:rPr>
        <w:t>ffects</w:t>
      </w:r>
      <w:r w:rsidRPr="00B469CF">
        <w:rPr>
          <w:rFonts w:ascii="Times New Roman" w:hAnsi="Times New Roman"/>
          <w:bCs/>
          <w:lang w:val="en-ZW"/>
        </w:rPr>
        <w:t xml:space="preserve"> on vertical groundwater gradient resulting from the shutdown of extraction wells? Has the risk from downward contaminant transfer from vertical gradients increased with fewer extraction wells in operation? </w:t>
      </w:r>
    </w:p>
    <w:p w14:paraId="50256B5C" w14:textId="77777777" w:rsidR="00B469CF" w:rsidRPr="00B469CF" w:rsidRDefault="00B469CF" w:rsidP="00B469CF">
      <w:pPr>
        <w:pStyle w:val="ListParagraph"/>
        <w:rPr>
          <w:rFonts w:ascii="Times New Roman" w:hAnsi="Times New Roman"/>
          <w:bCs/>
          <w:lang w:val="en-ZW"/>
        </w:rPr>
      </w:pPr>
    </w:p>
    <w:p w14:paraId="309D0228" w14:textId="470783CA" w:rsidR="00081E46" w:rsidRDefault="00D014BF" w:rsidP="00B469CF">
      <w:pPr>
        <w:pStyle w:val="ListParagraph"/>
        <w:numPr>
          <w:ilvl w:val="0"/>
          <w:numId w:val="9"/>
        </w:numPr>
        <w:autoSpaceDE w:val="0"/>
        <w:autoSpaceDN w:val="0"/>
        <w:adjustRightInd w:val="0"/>
        <w:rPr>
          <w:rFonts w:ascii="Times New Roman" w:hAnsi="Times New Roman"/>
          <w:bCs/>
          <w:lang w:val="en-ZW"/>
        </w:rPr>
      </w:pPr>
      <w:r w:rsidRPr="00B469CF">
        <w:rPr>
          <w:rFonts w:ascii="Times New Roman" w:hAnsi="Times New Roman"/>
          <w:bCs/>
          <w:lang w:val="en-ZW"/>
        </w:rPr>
        <w:t xml:space="preserve">The cutting/cooling oil used in Boeing Portland machine shops is Horcut 795B used at about a 1:10 ratio with water to form an emulsion. The Safety Data Sheet for this product provides a limited ingredient list due to proprietary </w:t>
      </w:r>
      <w:r w:rsidR="001D41CD" w:rsidRPr="00B469CF">
        <w:rPr>
          <w:rFonts w:ascii="Times New Roman" w:hAnsi="Times New Roman"/>
          <w:bCs/>
          <w:lang w:val="en-ZW"/>
        </w:rPr>
        <w:t>concerns</w:t>
      </w:r>
      <w:r w:rsidRPr="00B469CF">
        <w:rPr>
          <w:rFonts w:ascii="Times New Roman" w:hAnsi="Times New Roman"/>
          <w:bCs/>
          <w:lang w:val="en-ZW"/>
        </w:rPr>
        <w:t xml:space="preserve">. PFAS </w:t>
      </w:r>
      <w:r w:rsidR="001D41CD" w:rsidRPr="00B469CF">
        <w:rPr>
          <w:rFonts w:ascii="Times New Roman" w:hAnsi="Times New Roman"/>
          <w:bCs/>
          <w:lang w:val="en-ZW"/>
        </w:rPr>
        <w:t>ingredients are sometimes used in cutting/cooling oil as a surfactant. Do you have information on PFAS use in Horcut 795B?</w:t>
      </w:r>
      <w:r w:rsidR="00C816FE">
        <w:rPr>
          <w:rFonts w:ascii="Times New Roman" w:hAnsi="Times New Roman"/>
          <w:bCs/>
          <w:lang w:val="en-ZW"/>
        </w:rPr>
        <w:t xml:space="preserve"> if not, please </w:t>
      </w:r>
      <w:r w:rsidR="002D2860">
        <w:rPr>
          <w:rFonts w:ascii="Times New Roman" w:hAnsi="Times New Roman"/>
          <w:bCs/>
          <w:lang w:val="en-ZW"/>
        </w:rPr>
        <w:t>submit a product sample for</w:t>
      </w:r>
      <w:r w:rsidR="00C816FE">
        <w:rPr>
          <w:rFonts w:ascii="Times New Roman" w:hAnsi="Times New Roman"/>
          <w:bCs/>
          <w:lang w:val="en-ZW"/>
        </w:rPr>
        <w:t xml:space="preserve"> PFAS analysis </w:t>
      </w:r>
      <w:r w:rsidR="002D2860">
        <w:rPr>
          <w:rFonts w:ascii="Times New Roman" w:hAnsi="Times New Roman"/>
          <w:bCs/>
          <w:lang w:val="en-ZW"/>
        </w:rPr>
        <w:t>by</w:t>
      </w:r>
      <w:r w:rsidR="00C816FE">
        <w:rPr>
          <w:rFonts w:ascii="Times New Roman" w:hAnsi="Times New Roman"/>
          <w:bCs/>
          <w:lang w:val="en-ZW"/>
        </w:rPr>
        <w:t xml:space="preserve"> EPA1633 to determine if </w:t>
      </w:r>
      <w:r w:rsidR="00C816FE" w:rsidRPr="00B469CF">
        <w:rPr>
          <w:rFonts w:ascii="Times New Roman" w:hAnsi="Times New Roman"/>
          <w:bCs/>
          <w:lang w:val="en-ZW"/>
        </w:rPr>
        <w:t>Horcut 795B</w:t>
      </w:r>
      <w:r w:rsidR="00C816FE">
        <w:rPr>
          <w:rFonts w:ascii="Times New Roman" w:hAnsi="Times New Roman"/>
          <w:bCs/>
          <w:lang w:val="en-ZW"/>
        </w:rPr>
        <w:t xml:space="preserve"> contains PFAS chemicals.</w:t>
      </w:r>
    </w:p>
    <w:p w14:paraId="03549982" w14:textId="77777777" w:rsidR="00AE1CF2" w:rsidRPr="00AE1CF2" w:rsidRDefault="00AE1CF2" w:rsidP="00AE1CF2">
      <w:pPr>
        <w:pStyle w:val="ListParagraph"/>
        <w:rPr>
          <w:rFonts w:ascii="Times New Roman" w:hAnsi="Times New Roman"/>
          <w:bCs/>
          <w:lang w:val="en-ZW"/>
        </w:rPr>
      </w:pPr>
    </w:p>
    <w:p w14:paraId="5113E568" w14:textId="5B8B0868" w:rsidR="00AE1CF2" w:rsidRPr="00AE1CF2" w:rsidRDefault="00AE1CF2" w:rsidP="00AE1CF2">
      <w:pPr>
        <w:autoSpaceDE w:val="0"/>
        <w:autoSpaceDN w:val="0"/>
        <w:adjustRightInd w:val="0"/>
        <w:rPr>
          <w:rFonts w:eastAsiaTheme="minorHAnsi"/>
          <w:bCs/>
          <w:sz w:val="22"/>
          <w:szCs w:val="22"/>
          <w:lang w:val="en-ZW"/>
        </w:rPr>
      </w:pPr>
      <w:r w:rsidRPr="009A5013">
        <w:rPr>
          <w:rFonts w:eastAsiaTheme="minorHAnsi"/>
          <w:bCs/>
          <w:sz w:val="22"/>
          <w:szCs w:val="22"/>
          <w:u w:val="single"/>
          <w:lang w:val="en-ZW"/>
        </w:rPr>
        <w:t xml:space="preserve">Comments below are </w:t>
      </w:r>
      <w:r w:rsidR="009A5013" w:rsidRPr="009A5013">
        <w:rPr>
          <w:rFonts w:eastAsiaTheme="minorHAnsi"/>
          <w:bCs/>
          <w:sz w:val="22"/>
          <w:szCs w:val="22"/>
          <w:u w:val="single"/>
          <w:lang w:val="en-ZW"/>
        </w:rPr>
        <w:t xml:space="preserve">carried forward </w:t>
      </w:r>
      <w:r w:rsidRPr="009A5013">
        <w:rPr>
          <w:rFonts w:eastAsiaTheme="minorHAnsi"/>
          <w:bCs/>
          <w:sz w:val="22"/>
          <w:szCs w:val="22"/>
          <w:u w:val="single"/>
          <w:lang w:val="en-ZW"/>
        </w:rPr>
        <w:t>from the Portland Water Bureau</w:t>
      </w:r>
      <w:r w:rsidRPr="00AE1CF2">
        <w:rPr>
          <w:rFonts w:eastAsiaTheme="minorHAnsi"/>
          <w:bCs/>
          <w:sz w:val="22"/>
          <w:szCs w:val="22"/>
          <w:lang w:val="en-ZW"/>
        </w:rPr>
        <w:t>:</w:t>
      </w:r>
    </w:p>
    <w:p w14:paraId="0F7277A0" w14:textId="77777777" w:rsidR="00AE1CF2" w:rsidRPr="00AE1CF2" w:rsidRDefault="00AE1CF2" w:rsidP="00AE1CF2">
      <w:pPr>
        <w:pStyle w:val="ListParagraph"/>
        <w:rPr>
          <w:rFonts w:ascii="Times New Roman" w:hAnsi="Times New Roman"/>
          <w:bCs/>
          <w:lang w:val="en-ZW"/>
        </w:rPr>
      </w:pPr>
    </w:p>
    <w:p w14:paraId="21ADDF1D" w14:textId="77777777" w:rsidR="00AE1CF2" w:rsidRPr="00AE1CF2" w:rsidRDefault="00AE1CF2" w:rsidP="00AE1CF2">
      <w:pPr>
        <w:pStyle w:val="ListParagraph"/>
        <w:numPr>
          <w:ilvl w:val="0"/>
          <w:numId w:val="10"/>
        </w:numPr>
        <w:rPr>
          <w:rFonts w:ascii="Times New Roman" w:eastAsia="Times New Roman" w:hAnsi="Times New Roman"/>
        </w:rPr>
      </w:pPr>
      <w:r w:rsidRPr="00AE1CF2">
        <w:rPr>
          <w:rFonts w:ascii="Times New Roman" w:eastAsia="Times New Roman" w:hAnsi="Times New Roman"/>
        </w:rPr>
        <w:t xml:space="preserve">The PWB remains concerned about vertical gradients and possible contaminant transport occurring between the TGA into the TSA. The potential for impacts to the TSA are supported by a statistically significant increasing TCE trend at PWB-1uts and PWB-1lts. Twelve pumping wells of the original Boeing Groundwater Extraction and Treatment System (GWETS) have been taken offline since 2010 leaving five pumping wells to maintain hydraulic control of the Boeing TGA in 2023. Removal of these 12 pumping wells has caused a significant change to the site hydraulic flow regime and warrants a review of these data independent of the data collected with all pumping wells in operation. Given hydraulic changes and TCE concentrations in the TSA, it </w:t>
      </w:r>
      <w:r w:rsidRPr="00AE1CF2">
        <w:rPr>
          <w:rFonts w:ascii="Times New Roman" w:eastAsia="Times New Roman" w:hAnsi="Times New Roman"/>
        </w:rPr>
        <w:lastRenderedPageBreak/>
        <w:t>seems prudent to maintain any wells that allow for discernment of vertical gradients and that monitoring of these wells be quarterly for water levels.</w:t>
      </w:r>
    </w:p>
    <w:p w14:paraId="26551D53" w14:textId="77777777" w:rsidR="00AE1CF2" w:rsidRPr="00AE1CF2" w:rsidRDefault="00AE1CF2" w:rsidP="00AE1CF2">
      <w:pPr>
        <w:pStyle w:val="ListParagraph"/>
        <w:rPr>
          <w:rFonts w:ascii="Times New Roman" w:eastAsia="Times New Roman" w:hAnsi="Times New Roman"/>
        </w:rPr>
      </w:pPr>
    </w:p>
    <w:p w14:paraId="2A52BF10" w14:textId="398C466D" w:rsidR="00AE1CF2" w:rsidRPr="00AE1CF2" w:rsidRDefault="00AE1CF2" w:rsidP="00AE1CF2">
      <w:pPr>
        <w:pStyle w:val="ListParagraph"/>
        <w:numPr>
          <w:ilvl w:val="0"/>
          <w:numId w:val="10"/>
        </w:numPr>
        <w:rPr>
          <w:rFonts w:ascii="Times New Roman" w:eastAsia="Times New Roman" w:hAnsi="Times New Roman"/>
        </w:rPr>
      </w:pPr>
      <w:r w:rsidRPr="00AE1CF2">
        <w:rPr>
          <w:rFonts w:ascii="Times New Roman" w:eastAsia="Times New Roman" w:hAnsi="Times New Roman"/>
        </w:rPr>
        <w:t xml:space="preserve">In order to fully inform an assessment of risk to the TSA, future annual reports should include information about the depth of the </w:t>
      </w:r>
      <w:r>
        <w:rPr>
          <w:rFonts w:ascii="Times New Roman" w:eastAsia="Times New Roman" w:hAnsi="Times New Roman"/>
        </w:rPr>
        <w:t xml:space="preserve">well’s </w:t>
      </w:r>
      <w:r w:rsidRPr="00AE1CF2">
        <w:rPr>
          <w:rFonts w:ascii="Times New Roman" w:eastAsia="Times New Roman" w:hAnsi="Times New Roman"/>
        </w:rPr>
        <w:t>screened intervals and the encountered depth of CU1 and the TSA (inferred or known) that demonstrate proposed changes to the monitoring program.</w:t>
      </w:r>
    </w:p>
    <w:p w14:paraId="43788E59" w14:textId="77777777" w:rsidR="00AE1CF2" w:rsidRPr="00AE1CF2" w:rsidRDefault="00AE1CF2" w:rsidP="00AE1CF2">
      <w:pPr>
        <w:rPr>
          <w:sz w:val="22"/>
          <w:szCs w:val="22"/>
        </w:rPr>
      </w:pPr>
    </w:p>
    <w:p w14:paraId="78A295B8" w14:textId="3EA0101B" w:rsidR="00BB08CD" w:rsidRPr="00AE1CF2" w:rsidRDefault="00AE1CF2" w:rsidP="00AE1CF2">
      <w:pPr>
        <w:pStyle w:val="ListParagraph"/>
        <w:numPr>
          <w:ilvl w:val="0"/>
          <w:numId w:val="10"/>
        </w:numPr>
        <w:rPr>
          <w:rFonts w:ascii="Times New Roman" w:eastAsia="Times New Roman" w:hAnsi="Times New Roman"/>
        </w:rPr>
      </w:pPr>
      <w:r w:rsidRPr="00AE1CF2">
        <w:rPr>
          <w:rFonts w:ascii="Times New Roman" w:eastAsia="Times New Roman" w:hAnsi="Times New Roman"/>
        </w:rPr>
        <w:t>PWB notes that the Safety Data Sheet for the cutting oil includes an acknowledgement that the State of California knows it to contain 1,4-dioxane. It appears that the wells previously sampled for 1,4-dioxane are downgradient of the sump where the cutting oil release was first recognized. Therefore, it seems appropriate to include 1,4-dioxane in the reconnaissance and continued monitoring of potential impacts from the cutting oil release. Chemicals are often added to products to stabilize them in their containers, and since they aren’t part of the recipe for the product, the SDS doesn’t usually include these stabilizing chemicals in the Hazard Identification section. Common stabilizers include 1,4-dioxane and various PFAS compounds. The presence of 1,4-dioxane in the SDS suggests that this product has stabilizing compounds added, and as such, it would be reasonable to test for 1,4-dioxane in the release area, as well as where 1,4-dioxane has been detected. 1,4-dioxane and PFAS compounds are miscible and behave differently than cVOCs, and neither are removed from groundwater by any of the current treatment trains in use at the site. As such, further characterization of the extent, horizontal and vertical, of the known 1,4-dioxane impacts is appropriate as part of investigating the reported environmental release. The inclusion of PFAS in this characterization is also appropriate given its use as a stabilizer with similar applications as 1,4-dioxane.</w:t>
      </w:r>
    </w:p>
    <w:p w14:paraId="338E78EF" w14:textId="77777777" w:rsidR="00112CAB" w:rsidRDefault="00112CAB" w:rsidP="0007130C">
      <w:pPr>
        <w:spacing w:line="264" w:lineRule="auto"/>
        <w:rPr>
          <w:sz w:val="22"/>
          <w:szCs w:val="22"/>
        </w:rPr>
      </w:pPr>
    </w:p>
    <w:p w14:paraId="1576427C" w14:textId="6F1AF7D5" w:rsidR="0007130C" w:rsidRPr="009C7555" w:rsidRDefault="0007130C" w:rsidP="0007130C">
      <w:pPr>
        <w:spacing w:line="264" w:lineRule="auto"/>
        <w:rPr>
          <w:sz w:val="22"/>
          <w:szCs w:val="22"/>
        </w:rPr>
      </w:pPr>
      <w:r w:rsidRPr="009C7555">
        <w:rPr>
          <w:sz w:val="22"/>
          <w:szCs w:val="22"/>
        </w:rPr>
        <w:t xml:space="preserve">Please </w:t>
      </w:r>
      <w:r w:rsidR="004053C6" w:rsidRPr="009C7555">
        <w:rPr>
          <w:sz w:val="22"/>
          <w:szCs w:val="22"/>
        </w:rPr>
        <w:t xml:space="preserve">feel free to </w:t>
      </w:r>
      <w:r w:rsidRPr="009C7555">
        <w:rPr>
          <w:sz w:val="22"/>
          <w:szCs w:val="22"/>
        </w:rPr>
        <w:t xml:space="preserve">call me with questions. </w:t>
      </w:r>
    </w:p>
    <w:p w14:paraId="74E155B4" w14:textId="77777777" w:rsidR="0007130C" w:rsidRPr="009C7555" w:rsidRDefault="0007130C" w:rsidP="0007130C">
      <w:pPr>
        <w:spacing w:line="264" w:lineRule="auto"/>
        <w:rPr>
          <w:sz w:val="22"/>
          <w:szCs w:val="22"/>
        </w:rPr>
      </w:pPr>
    </w:p>
    <w:p w14:paraId="03A1BF40" w14:textId="77777777" w:rsidR="0007130C" w:rsidRPr="009C7555" w:rsidRDefault="0007130C" w:rsidP="0007130C">
      <w:pPr>
        <w:spacing w:line="264" w:lineRule="auto"/>
        <w:rPr>
          <w:sz w:val="22"/>
          <w:szCs w:val="22"/>
        </w:rPr>
      </w:pPr>
      <w:r w:rsidRPr="009C7555">
        <w:rPr>
          <w:sz w:val="22"/>
          <w:szCs w:val="22"/>
        </w:rPr>
        <w:t>Sincerely,</w:t>
      </w:r>
    </w:p>
    <w:p w14:paraId="6F329A3E" w14:textId="77777777" w:rsidR="0007130C" w:rsidRPr="009C7555" w:rsidRDefault="006D5598" w:rsidP="0007130C">
      <w:pPr>
        <w:spacing w:line="264" w:lineRule="auto"/>
        <w:rPr>
          <w:sz w:val="22"/>
          <w:szCs w:val="22"/>
        </w:rPr>
      </w:pPr>
      <w:r w:rsidRPr="009C7555">
        <w:rPr>
          <w:noProof/>
          <w:sz w:val="22"/>
          <w:szCs w:val="22"/>
          <w:lang w:val="en-ZW" w:eastAsia="en-ZW"/>
        </w:rPr>
        <w:drawing>
          <wp:inline distT="0" distB="0" distL="0" distR="0" wp14:anchorId="0D679AB2" wp14:editId="5AA66266">
            <wp:extent cx="2156059" cy="7670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170" cy="779188"/>
                    </a:xfrm>
                    <a:prstGeom prst="rect">
                      <a:avLst/>
                    </a:prstGeom>
                    <a:noFill/>
                    <a:ln>
                      <a:noFill/>
                    </a:ln>
                  </pic:spPr>
                </pic:pic>
              </a:graphicData>
            </a:graphic>
          </wp:inline>
        </w:drawing>
      </w:r>
    </w:p>
    <w:p w14:paraId="03542BDF" w14:textId="3B8C9491" w:rsidR="0007130C" w:rsidRPr="009C7555" w:rsidRDefault="0007130C" w:rsidP="0007130C">
      <w:pPr>
        <w:spacing w:line="264" w:lineRule="auto"/>
        <w:rPr>
          <w:sz w:val="22"/>
          <w:szCs w:val="22"/>
        </w:rPr>
      </w:pPr>
      <w:r w:rsidRPr="009C7555">
        <w:rPr>
          <w:sz w:val="22"/>
          <w:szCs w:val="22"/>
        </w:rPr>
        <w:t>Kenneth Thiessen</w:t>
      </w:r>
      <w:r w:rsidR="00B53634" w:rsidRPr="009C7555">
        <w:rPr>
          <w:sz w:val="22"/>
          <w:szCs w:val="22"/>
        </w:rPr>
        <w:t>,</w:t>
      </w:r>
      <w:r w:rsidR="00320219" w:rsidRPr="009C7555">
        <w:rPr>
          <w:sz w:val="22"/>
          <w:szCs w:val="22"/>
        </w:rPr>
        <w:t xml:space="preserve"> RG,</w:t>
      </w:r>
      <w:r w:rsidRPr="009C7555">
        <w:rPr>
          <w:sz w:val="22"/>
          <w:szCs w:val="22"/>
        </w:rPr>
        <w:t xml:space="preserve"> CEG</w:t>
      </w:r>
    </w:p>
    <w:p w14:paraId="4F23BA7D" w14:textId="77777777" w:rsidR="0007130C" w:rsidRPr="009C7555" w:rsidRDefault="0007130C" w:rsidP="0007130C">
      <w:pPr>
        <w:spacing w:line="264" w:lineRule="auto"/>
        <w:rPr>
          <w:sz w:val="22"/>
          <w:szCs w:val="22"/>
        </w:rPr>
      </w:pPr>
      <w:r w:rsidRPr="009C7555">
        <w:rPr>
          <w:sz w:val="22"/>
          <w:szCs w:val="22"/>
        </w:rPr>
        <w:t>Northwest Region Cleanup Section</w:t>
      </w:r>
    </w:p>
    <w:p w14:paraId="28B63B42" w14:textId="14871141" w:rsidR="0007130C" w:rsidRDefault="00081E46" w:rsidP="0007130C">
      <w:pPr>
        <w:spacing w:line="264" w:lineRule="auto"/>
        <w:rPr>
          <w:sz w:val="22"/>
          <w:szCs w:val="22"/>
        </w:rPr>
      </w:pPr>
      <w:r>
        <w:rPr>
          <w:sz w:val="22"/>
          <w:szCs w:val="22"/>
        </w:rPr>
        <w:t>(503) 887-7636</w:t>
      </w:r>
    </w:p>
    <w:p w14:paraId="1CADA7FB" w14:textId="77777777" w:rsidR="00081E46" w:rsidRPr="009C7555" w:rsidRDefault="00081E46" w:rsidP="0007130C">
      <w:pPr>
        <w:spacing w:line="264" w:lineRule="auto"/>
        <w:rPr>
          <w:sz w:val="22"/>
          <w:szCs w:val="22"/>
        </w:rPr>
      </w:pPr>
    </w:p>
    <w:p w14:paraId="0B5BC98D" w14:textId="13676D46" w:rsidR="003622B6" w:rsidRPr="009C7555" w:rsidRDefault="00F04519" w:rsidP="003622B6">
      <w:pPr>
        <w:spacing w:line="264" w:lineRule="auto"/>
        <w:rPr>
          <w:sz w:val="22"/>
          <w:szCs w:val="22"/>
        </w:rPr>
      </w:pPr>
      <w:r w:rsidRPr="009C7555">
        <w:rPr>
          <w:sz w:val="22"/>
          <w:szCs w:val="22"/>
        </w:rPr>
        <w:t>cc:</w:t>
      </w:r>
      <w:r w:rsidRPr="009C7555">
        <w:rPr>
          <w:sz w:val="22"/>
          <w:szCs w:val="22"/>
        </w:rPr>
        <w:tab/>
      </w:r>
      <w:r w:rsidR="005A2B89">
        <w:rPr>
          <w:sz w:val="22"/>
          <w:szCs w:val="22"/>
        </w:rPr>
        <w:t>Erin Waibel</w:t>
      </w:r>
      <w:r w:rsidR="003622B6" w:rsidRPr="009C7555">
        <w:rPr>
          <w:sz w:val="22"/>
          <w:szCs w:val="22"/>
        </w:rPr>
        <w:t xml:space="preserve">, </w:t>
      </w:r>
      <w:r w:rsidR="005A2B89">
        <w:rPr>
          <w:sz w:val="22"/>
          <w:szCs w:val="22"/>
        </w:rPr>
        <w:t>PE</w:t>
      </w:r>
      <w:r w:rsidR="003622B6" w:rsidRPr="009C7555">
        <w:rPr>
          <w:sz w:val="22"/>
          <w:szCs w:val="22"/>
        </w:rPr>
        <w:t>, Landau Associates</w:t>
      </w:r>
    </w:p>
    <w:p w14:paraId="720C2864" w14:textId="516978B2" w:rsidR="00B53634" w:rsidRPr="009C7555" w:rsidRDefault="003622B6" w:rsidP="00144302">
      <w:pPr>
        <w:spacing w:line="264" w:lineRule="auto"/>
        <w:rPr>
          <w:sz w:val="22"/>
          <w:szCs w:val="22"/>
        </w:rPr>
      </w:pPr>
      <w:r w:rsidRPr="009C7555">
        <w:rPr>
          <w:sz w:val="22"/>
          <w:szCs w:val="22"/>
        </w:rPr>
        <w:tab/>
      </w:r>
      <w:r w:rsidR="00421D95">
        <w:rPr>
          <w:sz w:val="22"/>
          <w:szCs w:val="22"/>
        </w:rPr>
        <w:t>Jesikah Cavinaugh</w:t>
      </w:r>
      <w:r w:rsidR="00E06079" w:rsidRPr="009C7555">
        <w:rPr>
          <w:sz w:val="22"/>
          <w:szCs w:val="22"/>
        </w:rPr>
        <w:t xml:space="preserve">, </w:t>
      </w:r>
      <w:r w:rsidR="00421D95">
        <w:rPr>
          <w:sz w:val="22"/>
          <w:szCs w:val="22"/>
        </w:rPr>
        <w:t>EIT</w:t>
      </w:r>
      <w:r w:rsidR="00F014C6" w:rsidRPr="009C7555">
        <w:rPr>
          <w:sz w:val="22"/>
          <w:szCs w:val="22"/>
        </w:rPr>
        <w:t>, Landau Associates</w:t>
      </w:r>
      <w:r w:rsidR="00F04519" w:rsidRPr="009C7555">
        <w:rPr>
          <w:sz w:val="22"/>
          <w:szCs w:val="22"/>
        </w:rPr>
        <w:tab/>
      </w:r>
    </w:p>
    <w:p w14:paraId="5776873A" w14:textId="26F61AAA" w:rsidR="00B53634" w:rsidRPr="009C7555" w:rsidRDefault="00B53634" w:rsidP="00144302">
      <w:pPr>
        <w:spacing w:line="264" w:lineRule="auto"/>
        <w:rPr>
          <w:sz w:val="22"/>
          <w:szCs w:val="22"/>
        </w:rPr>
      </w:pPr>
      <w:r w:rsidRPr="009C7555">
        <w:rPr>
          <w:rFonts w:eastAsiaTheme="minorHAnsi"/>
          <w:bCs/>
          <w:sz w:val="22"/>
          <w:szCs w:val="22"/>
          <w:lang w:val="en-ZW"/>
        </w:rPr>
        <w:tab/>
      </w:r>
      <w:r w:rsidR="005A2B89">
        <w:rPr>
          <w:rFonts w:eastAsiaTheme="minorHAnsi"/>
          <w:bCs/>
          <w:sz w:val="22"/>
          <w:szCs w:val="22"/>
          <w:lang w:val="en-ZW"/>
        </w:rPr>
        <w:t>Clint Jacob</w:t>
      </w:r>
      <w:r w:rsidR="003622B6" w:rsidRPr="009C7555">
        <w:rPr>
          <w:rFonts w:eastAsiaTheme="minorHAnsi"/>
          <w:bCs/>
          <w:sz w:val="22"/>
          <w:szCs w:val="22"/>
          <w:lang w:val="en-ZW"/>
        </w:rPr>
        <w:t>, PE,</w:t>
      </w:r>
      <w:r w:rsidR="00174CB5" w:rsidRPr="009C7555">
        <w:rPr>
          <w:rFonts w:eastAsiaTheme="minorHAnsi"/>
          <w:bCs/>
          <w:sz w:val="22"/>
          <w:szCs w:val="22"/>
          <w:lang w:val="en-ZW"/>
        </w:rPr>
        <w:t xml:space="preserve"> </w:t>
      </w:r>
      <w:r w:rsidR="00174CB5" w:rsidRPr="009C7555">
        <w:rPr>
          <w:sz w:val="22"/>
          <w:szCs w:val="22"/>
        </w:rPr>
        <w:t>Landau Associates</w:t>
      </w:r>
    </w:p>
    <w:p w14:paraId="3DC8B0C1" w14:textId="5CFCB352" w:rsidR="00421D95" w:rsidRDefault="002C3BF1" w:rsidP="00144302">
      <w:pPr>
        <w:spacing w:line="264" w:lineRule="auto"/>
        <w:rPr>
          <w:sz w:val="22"/>
          <w:szCs w:val="22"/>
        </w:rPr>
      </w:pPr>
      <w:r w:rsidRPr="009C7555">
        <w:rPr>
          <w:sz w:val="22"/>
          <w:szCs w:val="22"/>
        </w:rPr>
        <w:tab/>
        <w:t>Dan Hafley, RG, DEQ Northwest Region</w:t>
      </w:r>
    </w:p>
    <w:p w14:paraId="0D293FBE" w14:textId="4BF5CA58" w:rsidR="00DD5FCC" w:rsidRDefault="00BB08CD" w:rsidP="00144302">
      <w:pPr>
        <w:spacing w:line="264" w:lineRule="auto"/>
        <w:rPr>
          <w:sz w:val="22"/>
          <w:szCs w:val="22"/>
        </w:rPr>
      </w:pPr>
      <w:r>
        <w:rPr>
          <w:sz w:val="22"/>
          <w:szCs w:val="22"/>
        </w:rPr>
        <w:tab/>
        <w:t xml:space="preserve">Amber Lutey, RG, </w:t>
      </w:r>
      <w:r w:rsidRPr="009C7555">
        <w:rPr>
          <w:sz w:val="22"/>
          <w:szCs w:val="22"/>
        </w:rPr>
        <w:t>DEQ Northwest Region</w:t>
      </w:r>
    </w:p>
    <w:p w14:paraId="6558F647" w14:textId="5DE2BEB3" w:rsidR="00BC1527" w:rsidRDefault="00BC1527" w:rsidP="00144302">
      <w:pPr>
        <w:spacing w:line="264" w:lineRule="auto"/>
        <w:rPr>
          <w:sz w:val="22"/>
          <w:szCs w:val="22"/>
        </w:rPr>
      </w:pPr>
      <w:r>
        <w:rPr>
          <w:sz w:val="22"/>
          <w:szCs w:val="22"/>
        </w:rPr>
        <w:tab/>
      </w:r>
      <w:r w:rsidR="005F3679">
        <w:rPr>
          <w:sz w:val="22"/>
          <w:szCs w:val="22"/>
        </w:rPr>
        <w:t>J</w:t>
      </w:r>
      <w:r>
        <w:rPr>
          <w:sz w:val="22"/>
          <w:szCs w:val="22"/>
        </w:rPr>
        <w:t>ack</w:t>
      </w:r>
      <w:r w:rsidR="005F3679">
        <w:rPr>
          <w:sz w:val="22"/>
          <w:szCs w:val="22"/>
        </w:rPr>
        <w:t xml:space="preserve"> Dahl, PE, Portland Water Bureau</w:t>
      </w:r>
    </w:p>
    <w:p w14:paraId="5A560E00" w14:textId="22F00673" w:rsidR="004D4978" w:rsidRPr="009C7555" w:rsidRDefault="004D4978" w:rsidP="00144302">
      <w:pPr>
        <w:spacing w:line="264" w:lineRule="auto"/>
        <w:rPr>
          <w:sz w:val="22"/>
          <w:szCs w:val="22"/>
        </w:rPr>
      </w:pPr>
      <w:r>
        <w:rPr>
          <w:sz w:val="22"/>
          <w:szCs w:val="22"/>
        </w:rPr>
        <w:tab/>
        <w:t>Doug Wise, Portland Water Bureau</w:t>
      </w:r>
    </w:p>
    <w:p w14:paraId="792EA27E" w14:textId="77777777" w:rsidR="0007130C" w:rsidRPr="009C7555" w:rsidRDefault="00174CB5" w:rsidP="00B53634">
      <w:pPr>
        <w:spacing w:line="264" w:lineRule="auto"/>
        <w:ind w:firstLine="720"/>
        <w:rPr>
          <w:sz w:val="22"/>
          <w:szCs w:val="22"/>
        </w:rPr>
      </w:pPr>
      <w:r w:rsidRPr="009C7555">
        <w:rPr>
          <w:sz w:val="22"/>
          <w:szCs w:val="22"/>
        </w:rPr>
        <w:t>ECSI #13</w:t>
      </w:r>
    </w:p>
    <w:p w14:paraId="0D1CC798" w14:textId="77777777" w:rsidR="0007130C" w:rsidRPr="009C7555" w:rsidRDefault="0007130C" w:rsidP="00216B3F">
      <w:pPr>
        <w:spacing w:line="264" w:lineRule="auto"/>
        <w:jc w:val="both"/>
        <w:rPr>
          <w:sz w:val="22"/>
          <w:szCs w:val="22"/>
        </w:rPr>
      </w:pPr>
    </w:p>
    <w:p w14:paraId="2421C399" w14:textId="77777777" w:rsidR="0007130C" w:rsidRPr="009C7555" w:rsidRDefault="0007130C" w:rsidP="00216B3F">
      <w:pPr>
        <w:spacing w:line="264" w:lineRule="auto"/>
        <w:jc w:val="both"/>
        <w:rPr>
          <w:sz w:val="22"/>
          <w:szCs w:val="22"/>
        </w:rPr>
      </w:pPr>
    </w:p>
    <w:p w14:paraId="2FD78200" w14:textId="77777777" w:rsidR="00E7795C" w:rsidRPr="009C7555" w:rsidRDefault="00E7795C">
      <w:pPr>
        <w:widowControl w:val="0"/>
        <w:spacing w:before="120" w:after="80"/>
        <w:rPr>
          <w:sz w:val="22"/>
          <w:szCs w:val="22"/>
        </w:rPr>
      </w:pPr>
    </w:p>
    <w:sectPr w:rsidR="00E7795C" w:rsidRPr="009C7555" w:rsidSect="005029D0">
      <w:headerReference w:type="even" r:id="rId9"/>
      <w:headerReference w:type="default" r:id="rId10"/>
      <w:footerReference w:type="even" r:id="rId11"/>
      <w:footerReference w:type="default" r:id="rId12"/>
      <w:headerReference w:type="first" r:id="rId13"/>
      <w:footerReference w:type="first" r:id="rId14"/>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2708" w14:textId="77777777" w:rsidR="009861F8" w:rsidRDefault="009861F8">
      <w:r>
        <w:separator/>
      </w:r>
    </w:p>
  </w:endnote>
  <w:endnote w:type="continuationSeparator" w:id="0">
    <w:p w14:paraId="13379AAD" w14:textId="77777777" w:rsidR="009861F8" w:rsidRDefault="0098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4F79" w14:textId="77777777" w:rsidR="004D4978" w:rsidRDefault="004D4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CD9F" w14:textId="77777777" w:rsidR="004D4978" w:rsidRDefault="004D4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78B9" w14:textId="77777777" w:rsidR="004D4978" w:rsidRDefault="004D4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C4B0" w14:textId="77777777" w:rsidR="009861F8" w:rsidRDefault="009861F8">
      <w:r>
        <w:separator/>
      </w:r>
    </w:p>
  </w:footnote>
  <w:footnote w:type="continuationSeparator" w:id="0">
    <w:p w14:paraId="3AF4F24E" w14:textId="77777777" w:rsidR="009861F8" w:rsidRDefault="00986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1AA5" w14:textId="77777777" w:rsidR="004D4978" w:rsidRDefault="004D4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9E53" w14:textId="77777777" w:rsidR="004D4978" w:rsidRDefault="004D4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236B" w14:textId="6250F8F9" w:rsidR="005218CD" w:rsidRPr="00442032" w:rsidRDefault="005218CD">
    <w:pPr>
      <w:pStyle w:val="Header"/>
      <w:tabs>
        <w:tab w:val="clear" w:pos="4680"/>
        <w:tab w:val="clear" w:pos="9360"/>
        <w:tab w:val="right" w:pos="11016"/>
      </w:tabs>
      <w:ind w:left="0" w:right="90" w:hanging="990"/>
      <w:rPr>
        <w:color w:val="4B5B9F"/>
      </w:rPr>
    </w:pPr>
    <w:r w:rsidRPr="001630E9">
      <w:rPr>
        <w:noProof/>
        <w:color w:val="4B5B9F"/>
        <w:lang w:val="en-ZW" w:eastAsia="en-ZW"/>
      </w:rPr>
      <w:drawing>
        <wp:anchor distT="0" distB="0" distL="114300" distR="114300" simplePos="0" relativeHeight="251657728" behindDoc="1" locked="0" layoutInCell="1" allowOverlap="1" wp14:anchorId="1EE7D7F9" wp14:editId="3F552381">
          <wp:simplePos x="0" y="0"/>
          <wp:positionH relativeFrom="column">
            <wp:posOffset>-553444</wp:posOffset>
          </wp:positionH>
          <wp:positionV relativeFrom="paragraph">
            <wp:posOffset>32302</wp:posOffset>
          </wp:positionV>
          <wp:extent cx="890270" cy="882595"/>
          <wp:effectExtent l="19050" t="0" r="5439" b="0"/>
          <wp:wrapNone/>
          <wp:docPr id="8"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1"/>
                  <a:stretch>
                    <a:fillRect/>
                  </a:stretch>
                </pic:blipFill>
                <pic:spPr>
                  <a:xfrm>
                    <a:off x="0" y="0"/>
                    <a:ext cx="889911" cy="885941"/>
                  </a:xfrm>
                  <a:prstGeom prst="rect">
                    <a:avLst/>
                  </a:prstGeom>
                </pic:spPr>
              </pic:pic>
            </a:graphicData>
          </a:graphic>
        </wp:anchor>
      </w:drawing>
    </w:r>
    <w:r w:rsidRPr="00442032">
      <w:rPr>
        <w:noProof/>
        <w:color w:val="4B5B9F"/>
        <w:lang w:val="en-ZW" w:eastAsia="en-ZW"/>
      </w:rPr>
      <w:drawing>
        <wp:anchor distT="0" distB="0" distL="114300" distR="114300" simplePos="0" relativeHeight="251656704" behindDoc="1" locked="0" layoutInCell="1" allowOverlap="1" wp14:anchorId="403FE09C" wp14:editId="6D9884DB">
          <wp:simplePos x="0" y="0"/>
          <wp:positionH relativeFrom="column">
            <wp:posOffset>429370</wp:posOffset>
          </wp:positionH>
          <wp:positionV relativeFrom="paragraph">
            <wp:posOffset>-15406</wp:posOffset>
          </wp:positionV>
          <wp:extent cx="6105967" cy="930303"/>
          <wp:effectExtent l="19050" t="0" r="9083" b="0"/>
          <wp:wrapNone/>
          <wp:docPr id="1"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2"/>
                  <a:srcRect l="13379"/>
                  <a:stretch>
                    <a:fillRect/>
                  </a:stretch>
                </pic:blipFill>
                <pic:spPr>
                  <a:xfrm>
                    <a:off x="0" y="0"/>
                    <a:ext cx="6105967" cy="930303"/>
                  </a:xfrm>
                  <a:prstGeom prst="rect">
                    <a:avLst/>
                  </a:prstGeom>
                </pic:spPr>
              </pic:pic>
            </a:graphicData>
          </a:graphic>
        </wp:anchor>
      </w:drawing>
    </w:r>
  </w:p>
  <w:p w14:paraId="26B999F0" w14:textId="77777777" w:rsidR="005218CD" w:rsidRPr="00442032" w:rsidRDefault="0004032A">
    <w:pPr>
      <w:pStyle w:val="Header"/>
      <w:tabs>
        <w:tab w:val="left" w:pos="5760"/>
      </w:tabs>
      <w:spacing w:before="120"/>
      <w:ind w:right="-634"/>
      <w:jc w:val="right"/>
      <w:rPr>
        <w:b/>
        <w:color w:val="4B5B9F"/>
        <w:sz w:val="20"/>
        <w:szCs w:val="18"/>
      </w:rPr>
    </w:pPr>
    <w:r>
      <w:rPr>
        <w:rFonts w:ascii="Palatino Linotype" w:hAnsi="Palatino Linotype"/>
        <w:b/>
        <w:noProof/>
        <w:color w:val="4B5B9F"/>
        <w:szCs w:val="20"/>
      </w:rPr>
      <w:pict w14:anchorId="0F2DAAA4">
        <v:rect id="_x0000_s2049" style="position:absolute;left:0;text-align:left;margin-left:290.5pt;margin-top:6.15pt;width:218.5pt;height:18.2pt;z-index:-251657728" stroked="f"/>
      </w:pict>
    </w:r>
    <w:r w:rsidR="005218CD" w:rsidRPr="00442032">
      <w:rPr>
        <w:rFonts w:ascii="Palatino Linotype" w:hAnsi="Palatino Linotype"/>
        <w:b/>
        <w:color w:val="4B5B9F"/>
        <w:szCs w:val="20"/>
      </w:rPr>
      <w:t>Department of Environmental Quality</w:t>
    </w:r>
  </w:p>
  <w:p w14:paraId="39534C67" w14:textId="77777777" w:rsidR="005218CD" w:rsidRPr="00442032" w:rsidRDefault="005218CD">
    <w:pPr>
      <w:pStyle w:val="Header"/>
      <w:tabs>
        <w:tab w:val="clear" w:pos="4680"/>
        <w:tab w:val="clear" w:pos="9360"/>
        <w:tab w:val="left" w:pos="630"/>
        <w:tab w:val="right" w:pos="9990"/>
      </w:tabs>
      <w:ind w:left="0" w:right="-634" w:firstLine="0"/>
      <w:rPr>
        <w:rFonts w:ascii="Palatino Linotype" w:hAnsi="Palatino Linotype"/>
        <w:b/>
        <w:color w:val="4B5B9F"/>
        <w:sz w:val="18"/>
        <w:szCs w:val="18"/>
      </w:rPr>
    </w:pPr>
    <w:r w:rsidRPr="00442032">
      <w:rPr>
        <w:rFonts w:ascii="Palatino Linotype" w:hAnsi="Palatino Linotype"/>
        <w:b/>
        <w:color w:val="4B5B9F"/>
        <w:sz w:val="18"/>
        <w:szCs w:val="18"/>
      </w:rPr>
      <w:tab/>
    </w:r>
    <w:r w:rsidRPr="00442032">
      <w:rPr>
        <w:rFonts w:ascii="Palatino Linotype" w:hAnsi="Palatino Linotype"/>
        <w:b/>
        <w:color w:val="4B5B9F"/>
        <w:sz w:val="18"/>
        <w:szCs w:val="18"/>
      </w:rPr>
      <w:tab/>
    </w:r>
    <w:r>
      <w:rPr>
        <w:rFonts w:ascii="Palatino Linotype" w:hAnsi="Palatino Linotype"/>
        <w:b/>
        <w:color w:val="4B5B9F"/>
        <w:sz w:val="18"/>
        <w:szCs w:val="18"/>
      </w:rPr>
      <w:t>Northwest Region</w:t>
    </w:r>
  </w:p>
  <w:p w14:paraId="4BA6D872" w14:textId="77777777" w:rsidR="005218CD" w:rsidRPr="00E06EFC" w:rsidRDefault="005218CD" w:rsidP="00E06EFC">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r>
    <w:r w:rsidRPr="00E06EFC">
      <w:rPr>
        <w:rFonts w:ascii="Palatino Linotype" w:hAnsi="Palatino Linotype"/>
        <w:color w:val="4B5B9F"/>
        <w:sz w:val="18"/>
        <w:szCs w:val="18"/>
      </w:rPr>
      <w:t>700 NE Multnomah Street, Suite 600</w:t>
    </w:r>
  </w:p>
  <w:p w14:paraId="5ACA5CC3" w14:textId="71DCC4AD" w:rsidR="005218CD" w:rsidRPr="00442032" w:rsidRDefault="005218CD" w:rsidP="00E06EFC">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E06EFC">
      <w:rPr>
        <w:rFonts w:ascii="Palatino Linotype" w:hAnsi="Palatino Linotype"/>
        <w:color w:val="4B5B9F"/>
        <w:sz w:val="18"/>
        <w:szCs w:val="18"/>
      </w:rPr>
      <w:tab/>
    </w:r>
    <w:r w:rsidR="009571F2">
      <w:rPr>
        <w:rFonts w:ascii="Palatino Linotype" w:hAnsi="Palatino Linotype"/>
        <w:color w:val="4B5B9F"/>
        <w:sz w:val="18"/>
        <w:szCs w:val="18"/>
      </w:rPr>
      <w:t>Tina Kotek</w:t>
    </w:r>
    <w:r w:rsidRPr="00E06EFC">
      <w:rPr>
        <w:rFonts w:ascii="Palatino Linotype" w:hAnsi="Palatino Linotype"/>
        <w:color w:val="4B5B9F"/>
        <w:sz w:val="18"/>
        <w:szCs w:val="18"/>
      </w:rPr>
      <w:t>, Governor</w:t>
    </w:r>
    <w:r w:rsidRPr="00E06EFC">
      <w:rPr>
        <w:rFonts w:ascii="Palatino Linotype" w:hAnsi="Palatino Linotype"/>
        <w:color w:val="4B5B9F"/>
        <w:sz w:val="18"/>
        <w:szCs w:val="18"/>
      </w:rPr>
      <w:tab/>
      <w:t>Portland, OR  97232</w:t>
    </w:r>
  </w:p>
  <w:p w14:paraId="20558C65" w14:textId="77777777" w:rsidR="005218CD" w:rsidRPr="00442032" w:rsidRDefault="005218CD">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(503) 229-5</w:t>
    </w:r>
    <w:r>
      <w:rPr>
        <w:rFonts w:ascii="Palatino Linotype" w:hAnsi="Palatino Linotype"/>
        <w:color w:val="4B5B9F"/>
        <w:sz w:val="18"/>
        <w:szCs w:val="18"/>
      </w:rPr>
      <w:t>2</w:t>
    </w:r>
    <w:r w:rsidRPr="00442032">
      <w:rPr>
        <w:rFonts w:ascii="Palatino Linotype" w:hAnsi="Palatino Linotype"/>
        <w:color w:val="4B5B9F"/>
        <w:sz w:val="18"/>
        <w:szCs w:val="18"/>
      </w:rPr>
      <w:t>6</w:t>
    </w:r>
    <w:r>
      <w:rPr>
        <w:rFonts w:ascii="Palatino Linotype" w:hAnsi="Palatino Linotype"/>
        <w:color w:val="4B5B9F"/>
        <w:sz w:val="18"/>
        <w:szCs w:val="18"/>
      </w:rPr>
      <w:t>3</w:t>
    </w:r>
  </w:p>
  <w:p w14:paraId="0CF7B338" w14:textId="77777777" w:rsidR="005218CD" w:rsidRPr="00442032" w:rsidRDefault="005218CD">
    <w:pPr>
      <w:pStyle w:val="Header"/>
      <w:tabs>
        <w:tab w:val="clear" w:pos="4680"/>
        <w:tab w:val="clear" w:pos="9360"/>
        <w:tab w:val="left" w:pos="630"/>
        <w:tab w:val="right" w:pos="9990"/>
      </w:tabs>
      <w:ind w:left="0" w:right="-634" w:firstLine="0"/>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FAX (503) 229-6</w:t>
    </w:r>
    <w:r>
      <w:rPr>
        <w:rFonts w:ascii="Palatino Linotype" w:hAnsi="Palatino Linotype"/>
        <w:color w:val="4B5B9F"/>
        <w:sz w:val="18"/>
        <w:szCs w:val="18"/>
      </w:rPr>
      <w:t>945</w:t>
    </w:r>
  </w:p>
  <w:p w14:paraId="15A32B7C" w14:textId="77777777" w:rsidR="005218CD" w:rsidRPr="00442032" w:rsidRDefault="005218CD">
    <w:pPr>
      <w:pStyle w:val="Header"/>
      <w:tabs>
        <w:tab w:val="left" w:pos="5760"/>
      </w:tabs>
      <w:ind w:right="-630"/>
      <w:jc w:val="right"/>
      <w:rPr>
        <w:rFonts w:ascii="Palatino Linotype" w:hAnsi="Palatino Linotype"/>
        <w:color w:val="4B5B9F"/>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t>TTY 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00E9"/>
    <w:multiLevelType w:val="hybridMultilevel"/>
    <w:tmpl w:val="2AE2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B7ECD"/>
    <w:multiLevelType w:val="hybridMultilevel"/>
    <w:tmpl w:val="CA9C6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580CD9"/>
    <w:multiLevelType w:val="hybridMultilevel"/>
    <w:tmpl w:val="3E9430F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902A50"/>
    <w:multiLevelType w:val="hybridMultilevel"/>
    <w:tmpl w:val="28A81B5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8461299"/>
    <w:multiLevelType w:val="hybridMultilevel"/>
    <w:tmpl w:val="672C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405C7"/>
    <w:multiLevelType w:val="hybridMultilevel"/>
    <w:tmpl w:val="406242D8"/>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6CA0749D"/>
    <w:multiLevelType w:val="hybridMultilevel"/>
    <w:tmpl w:val="1AFA5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3E741D"/>
    <w:multiLevelType w:val="hybridMultilevel"/>
    <w:tmpl w:val="8DEE4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277730"/>
    <w:multiLevelType w:val="hybridMultilevel"/>
    <w:tmpl w:val="7360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F3299"/>
    <w:multiLevelType w:val="hybridMultilevel"/>
    <w:tmpl w:val="E42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982507">
    <w:abstractNumId w:val="6"/>
  </w:num>
  <w:num w:numId="2" w16cid:durableId="1022512480">
    <w:abstractNumId w:val="0"/>
  </w:num>
  <w:num w:numId="3" w16cid:durableId="742485245">
    <w:abstractNumId w:val="4"/>
  </w:num>
  <w:num w:numId="4" w16cid:durableId="1667703966">
    <w:abstractNumId w:val="9"/>
  </w:num>
  <w:num w:numId="5" w16cid:durableId="56519356">
    <w:abstractNumId w:val="8"/>
  </w:num>
  <w:num w:numId="6" w16cid:durableId="2089423805">
    <w:abstractNumId w:val="7"/>
  </w:num>
  <w:num w:numId="7" w16cid:durableId="2009745389">
    <w:abstractNumId w:val="3"/>
  </w:num>
  <w:num w:numId="8" w16cid:durableId="1624385251">
    <w:abstractNumId w:val="5"/>
  </w:num>
  <w:num w:numId="9" w16cid:durableId="25179209">
    <w:abstractNumId w:val="2"/>
  </w:num>
  <w:num w:numId="10" w16cid:durableId="258567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360E"/>
    <w:rsid w:val="00002F2E"/>
    <w:rsid w:val="00016E9C"/>
    <w:rsid w:val="000201A9"/>
    <w:rsid w:val="000369DF"/>
    <w:rsid w:val="0004032A"/>
    <w:rsid w:val="00045F49"/>
    <w:rsid w:val="00050EA7"/>
    <w:rsid w:val="0007130C"/>
    <w:rsid w:val="000819A5"/>
    <w:rsid w:val="00081E46"/>
    <w:rsid w:val="000C6492"/>
    <w:rsid w:val="000F0D73"/>
    <w:rsid w:val="000F47CD"/>
    <w:rsid w:val="0011249A"/>
    <w:rsid w:val="00112CAB"/>
    <w:rsid w:val="00124584"/>
    <w:rsid w:val="00125BE1"/>
    <w:rsid w:val="00132622"/>
    <w:rsid w:val="001402CF"/>
    <w:rsid w:val="00144302"/>
    <w:rsid w:val="001630E9"/>
    <w:rsid w:val="00174CB5"/>
    <w:rsid w:val="00175FC5"/>
    <w:rsid w:val="0018360E"/>
    <w:rsid w:val="00191366"/>
    <w:rsid w:val="001A2041"/>
    <w:rsid w:val="001A61CB"/>
    <w:rsid w:val="001D0EA0"/>
    <w:rsid w:val="001D41CD"/>
    <w:rsid w:val="00203935"/>
    <w:rsid w:val="00214EEB"/>
    <w:rsid w:val="00215294"/>
    <w:rsid w:val="00216B3F"/>
    <w:rsid w:val="00227F8C"/>
    <w:rsid w:val="00231D0E"/>
    <w:rsid w:val="002326CD"/>
    <w:rsid w:val="00247605"/>
    <w:rsid w:val="00295CD0"/>
    <w:rsid w:val="002B5E0B"/>
    <w:rsid w:val="002C3BF1"/>
    <w:rsid w:val="002C5310"/>
    <w:rsid w:val="002D2860"/>
    <w:rsid w:val="002E4615"/>
    <w:rsid w:val="002E4670"/>
    <w:rsid w:val="00302763"/>
    <w:rsid w:val="003129EB"/>
    <w:rsid w:val="003139C9"/>
    <w:rsid w:val="00320219"/>
    <w:rsid w:val="003622B6"/>
    <w:rsid w:val="00364488"/>
    <w:rsid w:val="00387E59"/>
    <w:rsid w:val="00394F4E"/>
    <w:rsid w:val="004053C6"/>
    <w:rsid w:val="00410D0F"/>
    <w:rsid w:val="0042036E"/>
    <w:rsid w:val="00421D95"/>
    <w:rsid w:val="00442032"/>
    <w:rsid w:val="004479A9"/>
    <w:rsid w:val="00452E8E"/>
    <w:rsid w:val="00453011"/>
    <w:rsid w:val="004531C5"/>
    <w:rsid w:val="004D4978"/>
    <w:rsid w:val="00501543"/>
    <w:rsid w:val="005029D0"/>
    <w:rsid w:val="005218CD"/>
    <w:rsid w:val="00535646"/>
    <w:rsid w:val="0054266A"/>
    <w:rsid w:val="005734CB"/>
    <w:rsid w:val="00573579"/>
    <w:rsid w:val="00573747"/>
    <w:rsid w:val="00581384"/>
    <w:rsid w:val="0058508E"/>
    <w:rsid w:val="00585E80"/>
    <w:rsid w:val="005A2B89"/>
    <w:rsid w:val="005A5A35"/>
    <w:rsid w:val="005B018F"/>
    <w:rsid w:val="005B02CC"/>
    <w:rsid w:val="005B5163"/>
    <w:rsid w:val="005C3EB5"/>
    <w:rsid w:val="005F3679"/>
    <w:rsid w:val="00606540"/>
    <w:rsid w:val="00614398"/>
    <w:rsid w:val="006224C4"/>
    <w:rsid w:val="006326E8"/>
    <w:rsid w:val="00634046"/>
    <w:rsid w:val="00636083"/>
    <w:rsid w:val="00636899"/>
    <w:rsid w:val="00647BB6"/>
    <w:rsid w:val="00662B0F"/>
    <w:rsid w:val="00665758"/>
    <w:rsid w:val="00694E79"/>
    <w:rsid w:val="0069673D"/>
    <w:rsid w:val="006A61B1"/>
    <w:rsid w:val="006D5598"/>
    <w:rsid w:val="006E2794"/>
    <w:rsid w:val="006E39C5"/>
    <w:rsid w:val="00712124"/>
    <w:rsid w:val="00715511"/>
    <w:rsid w:val="00753FC5"/>
    <w:rsid w:val="007A1C3E"/>
    <w:rsid w:val="007A7FDA"/>
    <w:rsid w:val="0082599D"/>
    <w:rsid w:val="00831E5C"/>
    <w:rsid w:val="008354C1"/>
    <w:rsid w:val="0084684F"/>
    <w:rsid w:val="008673F3"/>
    <w:rsid w:val="008734B6"/>
    <w:rsid w:val="00886CF6"/>
    <w:rsid w:val="00895D21"/>
    <w:rsid w:val="008B0FA7"/>
    <w:rsid w:val="008D37D2"/>
    <w:rsid w:val="00923B19"/>
    <w:rsid w:val="00934745"/>
    <w:rsid w:val="00944F77"/>
    <w:rsid w:val="009571F2"/>
    <w:rsid w:val="00957402"/>
    <w:rsid w:val="00965FC3"/>
    <w:rsid w:val="009861F8"/>
    <w:rsid w:val="009A0FFC"/>
    <w:rsid w:val="009A5013"/>
    <w:rsid w:val="009B00A0"/>
    <w:rsid w:val="009C09A8"/>
    <w:rsid w:val="009C7555"/>
    <w:rsid w:val="009C7FB4"/>
    <w:rsid w:val="009D39FC"/>
    <w:rsid w:val="00A357E1"/>
    <w:rsid w:val="00A4482B"/>
    <w:rsid w:val="00A52D24"/>
    <w:rsid w:val="00A741B6"/>
    <w:rsid w:val="00A741F1"/>
    <w:rsid w:val="00A77BD8"/>
    <w:rsid w:val="00A84460"/>
    <w:rsid w:val="00AA5C64"/>
    <w:rsid w:val="00AB15A3"/>
    <w:rsid w:val="00AC6801"/>
    <w:rsid w:val="00AD284E"/>
    <w:rsid w:val="00AE1CF2"/>
    <w:rsid w:val="00AE5BCA"/>
    <w:rsid w:val="00AE6A44"/>
    <w:rsid w:val="00AF2D53"/>
    <w:rsid w:val="00B00CB4"/>
    <w:rsid w:val="00B07DC3"/>
    <w:rsid w:val="00B20C10"/>
    <w:rsid w:val="00B469CF"/>
    <w:rsid w:val="00B515FE"/>
    <w:rsid w:val="00B53634"/>
    <w:rsid w:val="00B6058C"/>
    <w:rsid w:val="00B83F92"/>
    <w:rsid w:val="00BA2157"/>
    <w:rsid w:val="00BB08CD"/>
    <w:rsid w:val="00BB6223"/>
    <w:rsid w:val="00BC1527"/>
    <w:rsid w:val="00BD08DC"/>
    <w:rsid w:val="00BD539A"/>
    <w:rsid w:val="00BF4F5B"/>
    <w:rsid w:val="00C05A5C"/>
    <w:rsid w:val="00C22FC7"/>
    <w:rsid w:val="00C576A5"/>
    <w:rsid w:val="00C625D6"/>
    <w:rsid w:val="00C642EE"/>
    <w:rsid w:val="00C66C4C"/>
    <w:rsid w:val="00C70995"/>
    <w:rsid w:val="00C816FE"/>
    <w:rsid w:val="00C81DB0"/>
    <w:rsid w:val="00C81DED"/>
    <w:rsid w:val="00C90B27"/>
    <w:rsid w:val="00CC05D2"/>
    <w:rsid w:val="00D014BF"/>
    <w:rsid w:val="00D0679E"/>
    <w:rsid w:val="00D07596"/>
    <w:rsid w:val="00D20FDE"/>
    <w:rsid w:val="00D21192"/>
    <w:rsid w:val="00D30932"/>
    <w:rsid w:val="00D37784"/>
    <w:rsid w:val="00D37D2D"/>
    <w:rsid w:val="00D463D5"/>
    <w:rsid w:val="00D46EFF"/>
    <w:rsid w:val="00D56489"/>
    <w:rsid w:val="00D62C0F"/>
    <w:rsid w:val="00D646FA"/>
    <w:rsid w:val="00D80FBC"/>
    <w:rsid w:val="00DA5A46"/>
    <w:rsid w:val="00DA6F8C"/>
    <w:rsid w:val="00DB039F"/>
    <w:rsid w:val="00DB5D3C"/>
    <w:rsid w:val="00DD5FCC"/>
    <w:rsid w:val="00E04940"/>
    <w:rsid w:val="00E06079"/>
    <w:rsid w:val="00E06EFC"/>
    <w:rsid w:val="00E12DBB"/>
    <w:rsid w:val="00E36F90"/>
    <w:rsid w:val="00E645A3"/>
    <w:rsid w:val="00E67992"/>
    <w:rsid w:val="00E7795C"/>
    <w:rsid w:val="00EB3DF5"/>
    <w:rsid w:val="00EB701A"/>
    <w:rsid w:val="00EB76DF"/>
    <w:rsid w:val="00EC05D9"/>
    <w:rsid w:val="00ED47EE"/>
    <w:rsid w:val="00ED61B6"/>
    <w:rsid w:val="00EE6826"/>
    <w:rsid w:val="00EF13F1"/>
    <w:rsid w:val="00EF54C7"/>
    <w:rsid w:val="00F014C6"/>
    <w:rsid w:val="00F038A5"/>
    <w:rsid w:val="00F04473"/>
    <w:rsid w:val="00F04519"/>
    <w:rsid w:val="00F65F92"/>
    <w:rsid w:val="00F75A89"/>
    <w:rsid w:val="00F767FB"/>
    <w:rsid w:val="00F97DA4"/>
    <w:rsid w:val="00FD2118"/>
    <w:rsid w:val="00FE13FA"/>
    <w:rsid w:val="00FE7C3B"/>
    <w:rsid w:val="00FF2812"/>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B3ED6D"/>
  <w15:docId w15:val="{44606133-DB2B-406F-B071-653DAF32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B3F"/>
    <w:pPr>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pPr>
      <w:ind w:left="2160" w:hanging="2160"/>
    </w:pPr>
    <w:rPr>
      <w:rFonts w:ascii="Arial Black" w:eastAsiaTheme="minorHAnsi" w:hAnsi="Arial Black" w:cstheme="minorBidi"/>
      <w:spacing w:val="-6"/>
      <w:w w:val="90"/>
      <w:kern w:val="40"/>
      <w:sz w:val="40"/>
      <w:szCs w:val="22"/>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pPr>
      <w:spacing w:after="120"/>
    </w:pPr>
    <w:rPr>
      <w:rFonts w:eastAsiaTheme="minorHAnsi" w:cstheme="minorBidi"/>
      <w:sz w:val="22"/>
      <w:szCs w:val="22"/>
    </w:rPr>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pPr>
      <w:spacing w:after="120"/>
      <w:ind w:left="2160"/>
    </w:pPr>
    <w:rPr>
      <w:rFonts w:eastAsiaTheme="minorHAnsi" w:cstheme="minorBidi"/>
      <w:b/>
      <w:sz w:val="24"/>
      <w:szCs w:val="22"/>
      <w:u w:val="single"/>
    </w:rPr>
  </w:style>
  <w:style w:type="paragraph" w:styleId="Header">
    <w:name w:val="header"/>
    <w:basedOn w:val="Normal"/>
    <w:link w:val="HeaderChar"/>
    <w:unhideWhenUsed/>
    <w:rsid w:val="005029D0"/>
    <w:pPr>
      <w:tabs>
        <w:tab w:val="center" w:pos="4680"/>
        <w:tab w:val="right" w:pos="9360"/>
      </w:tabs>
      <w:ind w:left="2160" w:hanging="2160"/>
    </w:pPr>
    <w:rPr>
      <w:rFonts w:eastAsiaTheme="minorHAnsi" w:cstheme="minorBidi"/>
      <w:sz w:val="22"/>
      <w:szCs w:val="22"/>
    </w:r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ind w:left="2160" w:hanging="2160"/>
    </w:pPr>
    <w:rPr>
      <w:rFonts w:eastAsiaTheme="minorHAnsi" w:cstheme="minorBidi"/>
      <w:sz w:val="22"/>
      <w:szCs w:val="22"/>
    </w:r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pPr>
      <w:ind w:left="2160" w:hanging="216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character" w:styleId="CommentReference">
    <w:name w:val="annotation reference"/>
    <w:basedOn w:val="DefaultParagraphFont"/>
    <w:uiPriority w:val="99"/>
    <w:semiHidden/>
    <w:unhideWhenUsed/>
    <w:rsid w:val="00216B3F"/>
    <w:rPr>
      <w:sz w:val="16"/>
      <w:szCs w:val="16"/>
    </w:rPr>
  </w:style>
  <w:style w:type="paragraph" w:styleId="CommentText">
    <w:name w:val="annotation text"/>
    <w:basedOn w:val="Normal"/>
    <w:link w:val="CommentTextChar"/>
    <w:uiPriority w:val="99"/>
    <w:unhideWhenUsed/>
    <w:rsid w:val="00216B3F"/>
  </w:style>
  <w:style w:type="character" w:customStyle="1" w:styleId="CommentTextChar">
    <w:name w:val="Comment Text Char"/>
    <w:basedOn w:val="DefaultParagraphFont"/>
    <w:link w:val="CommentText"/>
    <w:uiPriority w:val="99"/>
    <w:rsid w:val="00216B3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6B3F"/>
    <w:rPr>
      <w:rFonts w:ascii="Times New Roman" w:hAnsi="Times New Roman" w:cs="Times New Roman" w:hint="default"/>
      <w:color w:val="0000FF"/>
      <w:u w:val="single"/>
    </w:rPr>
  </w:style>
  <w:style w:type="paragraph" w:styleId="ListParagraph">
    <w:name w:val="List Paragraph"/>
    <w:basedOn w:val="Normal"/>
    <w:uiPriority w:val="34"/>
    <w:qFormat/>
    <w:rsid w:val="0007130C"/>
    <w:pPr>
      <w:ind w:left="720"/>
    </w:pPr>
    <w:rPr>
      <w:rFonts w:ascii="Calibri" w:eastAsiaTheme="minorHAnsi" w:hAnsi="Calibri"/>
      <w:sz w:val="22"/>
      <w:szCs w:val="22"/>
    </w:rPr>
  </w:style>
  <w:style w:type="paragraph" w:styleId="CommentSubject">
    <w:name w:val="annotation subject"/>
    <w:basedOn w:val="CommentText"/>
    <w:next w:val="CommentText"/>
    <w:link w:val="CommentSubjectChar"/>
    <w:uiPriority w:val="99"/>
    <w:semiHidden/>
    <w:unhideWhenUsed/>
    <w:rsid w:val="002C5310"/>
    <w:rPr>
      <w:b/>
      <w:bCs/>
    </w:rPr>
  </w:style>
  <w:style w:type="character" w:customStyle="1" w:styleId="CommentSubjectChar">
    <w:name w:val="Comment Subject Char"/>
    <w:basedOn w:val="CommentTextChar"/>
    <w:link w:val="CommentSubject"/>
    <w:uiPriority w:val="99"/>
    <w:semiHidden/>
    <w:rsid w:val="002C5310"/>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585E80"/>
    <w:pPr>
      <w:spacing w:after="120"/>
    </w:pPr>
  </w:style>
  <w:style w:type="character" w:customStyle="1" w:styleId="BodyTextChar">
    <w:name w:val="Body Text Char"/>
    <w:basedOn w:val="DefaultParagraphFont"/>
    <w:link w:val="BodyText"/>
    <w:uiPriority w:val="99"/>
    <w:rsid w:val="00585E8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7772">
      <w:bodyDiv w:val="1"/>
      <w:marLeft w:val="0"/>
      <w:marRight w:val="0"/>
      <w:marTop w:val="0"/>
      <w:marBottom w:val="0"/>
      <w:divBdr>
        <w:top w:val="none" w:sz="0" w:space="0" w:color="auto"/>
        <w:left w:val="none" w:sz="0" w:space="0" w:color="auto"/>
        <w:bottom w:val="none" w:sz="0" w:space="0" w:color="auto"/>
        <w:right w:val="none" w:sz="0" w:space="0" w:color="auto"/>
      </w:divBdr>
    </w:div>
    <w:div w:id="117575769">
      <w:bodyDiv w:val="1"/>
      <w:marLeft w:val="0"/>
      <w:marRight w:val="0"/>
      <w:marTop w:val="0"/>
      <w:marBottom w:val="0"/>
      <w:divBdr>
        <w:top w:val="none" w:sz="0" w:space="0" w:color="auto"/>
        <w:left w:val="none" w:sz="0" w:space="0" w:color="auto"/>
        <w:bottom w:val="none" w:sz="0" w:space="0" w:color="auto"/>
        <w:right w:val="none" w:sz="0" w:space="0" w:color="auto"/>
      </w:divBdr>
    </w:div>
    <w:div w:id="338696713">
      <w:bodyDiv w:val="1"/>
      <w:marLeft w:val="0"/>
      <w:marRight w:val="0"/>
      <w:marTop w:val="0"/>
      <w:marBottom w:val="0"/>
      <w:divBdr>
        <w:top w:val="none" w:sz="0" w:space="0" w:color="auto"/>
        <w:left w:val="none" w:sz="0" w:space="0" w:color="auto"/>
        <w:bottom w:val="none" w:sz="0" w:space="0" w:color="auto"/>
        <w:right w:val="none" w:sz="0" w:space="0" w:color="auto"/>
      </w:divBdr>
    </w:div>
    <w:div w:id="918448271">
      <w:bodyDiv w:val="1"/>
      <w:marLeft w:val="0"/>
      <w:marRight w:val="0"/>
      <w:marTop w:val="0"/>
      <w:marBottom w:val="0"/>
      <w:divBdr>
        <w:top w:val="none" w:sz="0" w:space="0" w:color="auto"/>
        <w:left w:val="none" w:sz="0" w:space="0" w:color="auto"/>
        <w:bottom w:val="none" w:sz="0" w:space="0" w:color="auto"/>
        <w:right w:val="none" w:sz="0" w:space="0" w:color="auto"/>
      </w:divBdr>
    </w:div>
    <w:div w:id="128773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8C085-EAE8-42F2-AA79-D04EE0B62C78}">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1321</TotalTime>
  <Pages>3</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Thiessen</dc:creator>
  <cp:lastModifiedBy>THIESSEN Kenneth * DEQ</cp:lastModifiedBy>
  <cp:revision>103</cp:revision>
  <cp:lastPrinted>2016-03-08T00:36:00Z</cp:lastPrinted>
  <dcterms:created xsi:type="dcterms:W3CDTF">2016-03-08T19:12:00Z</dcterms:created>
  <dcterms:modified xsi:type="dcterms:W3CDTF">2025-07-11T00:02:00Z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2023-10-16T18:27:29Z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44fbcdff-b3ee-4fd2-bede-7f1c9cc764a0</vt:lpwstr>
  </property>
  <property fmtid="{D5CDD505-2E9C-101B-9397-08002B2CF9AE}" pid="8" name="MSIP_Label_09b73270-2993-4076-be47-9c78f42a1e84_ContentBits">
    <vt:lpwstr>0</vt:lpwstr>
  </property>
</Properties>
</file>