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0F18" w14:textId="77777777" w:rsidR="00717BA5" w:rsidRDefault="00717BA5" w:rsidP="00717BA5">
      <w:pPr>
        <w:pStyle w:val="ListParagraph"/>
        <w:numPr>
          <w:ilvl w:val="0"/>
          <w:numId w:val="1"/>
        </w:numPr>
        <w:spacing w:after="0" w:line="240" w:lineRule="auto"/>
        <w:contextualSpacing w:val="0"/>
        <w:rPr>
          <w:rFonts w:eastAsia="Times New Roman"/>
          <w:sz w:val="22"/>
          <w:szCs w:val="22"/>
        </w:rPr>
      </w:pPr>
      <w:r>
        <w:rPr>
          <w:rFonts w:eastAsia="Times New Roman"/>
          <w:sz w:val="22"/>
          <w:szCs w:val="22"/>
        </w:rPr>
        <w:t>PWB remains concerned about the vertical gradients and transport occurring from the TGA into the TSA. The potential for impacts to the TSA are supported by analysis of TCE concentrations at PWB-1uts and PWB-1lts. Since the shutdown of the remedy in 2010, which was a significant change to the hydraulic paradigm and therefore warrants a review of these data independent of the data collected during the previous paradigm, TCE concentrations demonstrate a statistically significant increasing trend. Given this observation and on-going changes to TCE concentrations in the TSA, it seems prudent to keep any wells that allow for discernment of vertical gradients and that monitoring of these wells be quarterly for water levels.</w:t>
      </w:r>
    </w:p>
    <w:p w14:paraId="71750A1F" w14:textId="77777777" w:rsidR="00717BA5" w:rsidRDefault="00717BA5" w:rsidP="00717BA5">
      <w:pPr>
        <w:pStyle w:val="ListParagraph"/>
        <w:numPr>
          <w:ilvl w:val="0"/>
          <w:numId w:val="1"/>
        </w:numPr>
        <w:spacing w:after="0" w:line="240" w:lineRule="auto"/>
        <w:contextualSpacing w:val="0"/>
        <w:rPr>
          <w:rFonts w:eastAsia="Times New Roman"/>
          <w:sz w:val="22"/>
          <w:szCs w:val="22"/>
        </w:rPr>
      </w:pPr>
      <w:proofErr w:type="gramStart"/>
      <w:r>
        <w:rPr>
          <w:rFonts w:eastAsia="Times New Roman"/>
          <w:sz w:val="22"/>
          <w:szCs w:val="22"/>
        </w:rPr>
        <w:t>In order to</w:t>
      </w:r>
      <w:proofErr w:type="gramEnd"/>
      <w:r>
        <w:rPr>
          <w:rFonts w:eastAsia="Times New Roman"/>
          <w:sz w:val="22"/>
          <w:szCs w:val="22"/>
        </w:rPr>
        <w:t xml:space="preserve"> fully inform an assessment of risk to the TSA, future reports should include information about the depth of the screened interval and the depth of CU1 and the TSA (inferred or known) as a description of the wells, and especially in tables that demonstrate proposed changes to the monitoring program.</w:t>
      </w:r>
    </w:p>
    <w:p w14:paraId="32123196" w14:textId="77777777" w:rsidR="00717BA5" w:rsidRDefault="00717BA5" w:rsidP="00717BA5">
      <w:pPr>
        <w:pStyle w:val="ListParagraph"/>
        <w:numPr>
          <w:ilvl w:val="0"/>
          <w:numId w:val="1"/>
        </w:numPr>
        <w:spacing w:after="0" w:line="240" w:lineRule="auto"/>
        <w:contextualSpacing w:val="0"/>
        <w:rPr>
          <w:rFonts w:eastAsia="Times New Roman"/>
          <w:sz w:val="22"/>
          <w:szCs w:val="22"/>
        </w:rPr>
      </w:pPr>
      <w:r>
        <w:rPr>
          <w:rFonts w:eastAsia="Times New Roman"/>
          <w:sz w:val="22"/>
          <w:szCs w:val="22"/>
        </w:rPr>
        <w:t xml:space="preserve">PWB notes that the MSDS for the cutting oil includes an acknowledgement that the State of California knows it to contain 1,4-dioxane. It appears that the wells sampled for 1,4-dioxane are downgradient of the sump where the spill occurred. Therefore, it seems appropriate to include 1,4-dioxane in the reconnaissance and continued monitoring of potential impacts from the cutting oil release. Chemicals are often added to products to stabilize them in their containers, and since they aren’t part of the recipe for the product, the MSDS doesn’t usually include these stabilizing chemicals in the Hazard Identification section. </w:t>
      </w:r>
      <w:proofErr w:type="gramStart"/>
      <w:r>
        <w:rPr>
          <w:rFonts w:eastAsia="Times New Roman"/>
          <w:sz w:val="22"/>
          <w:szCs w:val="22"/>
        </w:rPr>
        <w:t>Common  stabilizers</w:t>
      </w:r>
      <w:proofErr w:type="gramEnd"/>
      <w:r>
        <w:rPr>
          <w:rFonts w:eastAsia="Times New Roman"/>
          <w:sz w:val="22"/>
          <w:szCs w:val="22"/>
        </w:rPr>
        <w:t xml:space="preserve"> include 1,4-dioxane and various PFAS compounds. The presence of 1,4-dioxane in the MSDS suggests that this product has stabilizing compounds added, and as such, it would be reasonable to test for 1,4-dioxane in the release area, as well as where 1,4-dioxane has been detected. 1,4-dioxane and PFAS compounds are miscible and behave differently than </w:t>
      </w:r>
      <w:proofErr w:type="spellStart"/>
      <w:r>
        <w:rPr>
          <w:rFonts w:eastAsia="Times New Roman"/>
          <w:sz w:val="22"/>
          <w:szCs w:val="22"/>
        </w:rPr>
        <w:t>cVOCs</w:t>
      </w:r>
      <w:proofErr w:type="spellEnd"/>
      <w:r>
        <w:rPr>
          <w:rFonts w:eastAsia="Times New Roman"/>
          <w:sz w:val="22"/>
          <w:szCs w:val="22"/>
        </w:rPr>
        <w:t xml:space="preserve">, and neither are removed from groundwater by any of the current treatment trains in use at the site. As such, further characterization of the extent, horizontal and vertical, of the known 1,4-dioxane impacts is appropriate as part of investigating the reported environmental release. The inclusion of PFAS in this characterization is also appropriate given </w:t>
      </w:r>
      <w:proofErr w:type="spellStart"/>
      <w:r>
        <w:rPr>
          <w:rFonts w:eastAsia="Times New Roman"/>
          <w:sz w:val="22"/>
          <w:szCs w:val="22"/>
        </w:rPr>
        <w:t>it’s</w:t>
      </w:r>
      <w:proofErr w:type="spellEnd"/>
      <w:r>
        <w:rPr>
          <w:rFonts w:eastAsia="Times New Roman"/>
          <w:sz w:val="22"/>
          <w:szCs w:val="22"/>
        </w:rPr>
        <w:t xml:space="preserve"> use as a stabilizer with similar applications as 1,4-dioxane.</w:t>
      </w:r>
    </w:p>
    <w:p w14:paraId="0179244C" w14:textId="77777777" w:rsidR="00692DF3" w:rsidRDefault="00692DF3"/>
    <w:sectPr w:rsidR="0069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ECD"/>
    <w:multiLevelType w:val="hybridMultilevel"/>
    <w:tmpl w:val="CA9C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10119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F3"/>
    <w:rsid w:val="00692DF3"/>
    <w:rsid w:val="00717BA5"/>
    <w:rsid w:val="00B7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AFEC4-322F-4EF4-9F22-8E95DEBE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DF3"/>
    <w:rPr>
      <w:rFonts w:eastAsiaTheme="majorEastAsia" w:cstheme="majorBidi"/>
      <w:color w:val="272727" w:themeColor="text1" w:themeTint="D8"/>
    </w:rPr>
  </w:style>
  <w:style w:type="paragraph" w:styleId="Title">
    <w:name w:val="Title"/>
    <w:basedOn w:val="Normal"/>
    <w:next w:val="Normal"/>
    <w:link w:val="TitleChar"/>
    <w:uiPriority w:val="10"/>
    <w:qFormat/>
    <w:rsid w:val="0069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DF3"/>
    <w:pPr>
      <w:spacing w:before="160"/>
      <w:jc w:val="center"/>
    </w:pPr>
    <w:rPr>
      <w:i/>
      <w:iCs/>
      <w:color w:val="404040" w:themeColor="text1" w:themeTint="BF"/>
    </w:rPr>
  </w:style>
  <w:style w:type="character" w:customStyle="1" w:styleId="QuoteChar">
    <w:name w:val="Quote Char"/>
    <w:basedOn w:val="DefaultParagraphFont"/>
    <w:link w:val="Quote"/>
    <w:uiPriority w:val="29"/>
    <w:rsid w:val="00692DF3"/>
    <w:rPr>
      <w:i/>
      <w:iCs/>
      <w:color w:val="404040" w:themeColor="text1" w:themeTint="BF"/>
    </w:rPr>
  </w:style>
  <w:style w:type="paragraph" w:styleId="ListParagraph">
    <w:name w:val="List Paragraph"/>
    <w:basedOn w:val="Normal"/>
    <w:uiPriority w:val="34"/>
    <w:qFormat/>
    <w:rsid w:val="00692DF3"/>
    <w:pPr>
      <w:ind w:left="720"/>
      <w:contextualSpacing/>
    </w:pPr>
  </w:style>
  <w:style w:type="character" w:styleId="IntenseEmphasis">
    <w:name w:val="Intense Emphasis"/>
    <w:basedOn w:val="DefaultParagraphFont"/>
    <w:uiPriority w:val="21"/>
    <w:qFormat/>
    <w:rsid w:val="00692DF3"/>
    <w:rPr>
      <w:i/>
      <w:iCs/>
      <w:color w:val="0F4761" w:themeColor="accent1" w:themeShade="BF"/>
    </w:rPr>
  </w:style>
  <w:style w:type="paragraph" w:styleId="IntenseQuote">
    <w:name w:val="Intense Quote"/>
    <w:basedOn w:val="Normal"/>
    <w:next w:val="Normal"/>
    <w:link w:val="IntenseQuoteChar"/>
    <w:uiPriority w:val="30"/>
    <w:qFormat/>
    <w:rsid w:val="0069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DF3"/>
    <w:rPr>
      <w:i/>
      <w:iCs/>
      <w:color w:val="0F4761" w:themeColor="accent1" w:themeShade="BF"/>
    </w:rPr>
  </w:style>
  <w:style w:type="character" w:styleId="IntenseReference">
    <w:name w:val="Intense Reference"/>
    <w:basedOn w:val="DefaultParagraphFont"/>
    <w:uiPriority w:val="32"/>
    <w:qFormat/>
    <w:rsid w:val="00692D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3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THIESSEN Kenneth * DEQ</dc:creator>
  <cp:keywords/>
  <dc:description/>
  <cp:lastModifiedBy>THIESSEN Kenneth * DEQ</cp:lastModifiedBy>
  <cp:revision>2</cp:revision>
  <dcterms:created xsi:type="dcterms:W3CDTF">2025-01-27T22:45:00Z</dcterms:created>
  <dcterms:modified xsi:type="dcterms:W3CDTF">2025-01-27T22:48:00Z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2025-01-27T22:45:49Z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75c7fdac-0607-4c82-a16f-6870ecdcc1cc</vt:lpwstr>
  </property>
  <property fmtid="{D5CDD505-2E9C-101B-9397-08002B2CF9AE}" pid="8" name="MSIP_Label_db79d039-fcd0-4045-9c78-4cfb2eba0904_ContentBits">
    <vt:lpwstr>0</vt:lpwstr>
  </property>
</Properties>
</file>