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0F62" w14:textId="7CB54984" w:rsidR="0007130C" w:rsidRPr="009C7555" w:rsidRDefault="00D56489" w:rsidP="004479A9">
      <w:pPr>
        <w:spacing w:line="264" w:lineRule="auto"/>
        <w:jc w:val="both"/>
        <w:rPr>
          <w:sz w:val="22"/>
          <w:szCs w:val="22"/>
        </w:rPr>
      </w:pPr>
      <w:r>
        <w:rPr>
          <w:sz w:val="22"/>
          <w:szCs w:val="22"/>
        </w:rPr>
        <w:t xml:space="preserve"> </w:t>
      </w:r>
      <w:r w:rsidR="00726DB8">
        <w:rPr>
          <w:sz w:val="22"/>
          <w:szCs w:val="22"/>
        </w:rPr>
        <w:t>May 2, 2023</w:t>
      </w:r>
      <w:r w:rsidR="00F014C6" w:rsidRPr="009C7555">
        <w:rPr>
          <w:sz w:val="22"/>
          <w:szCs w:val="22"/>
        </w:rPr>
        <w:tab/>
      </w:r>
      <w:r w:rsidR="00F014C6" w:rsidRPr="009C7555">
        <w:rPr>
          <w:sz w:val="22"/>
          <w:szCs w:val="22"/>
        </w:rPr>
        <w:tab/>
      </w:r>
      <w:r w:rsidR="00F014C6" w:rsidRPr="009C7555">
        <w:rPr>
          <w:sz w:val="22"/>
          <w:szCs w:val="22"/>
        </w:rPr>
        <w:tab/>
      </w:r>
      <w:r w:rsidR="00F014C6" w:rsidRPr="009C7555">
        <w:rPr>
          <w:sz w:val="22"/>
          <w:szCs w:val="22"/>
        </w:rPr>
        <w:tab/>
      </w:r>
      <w:r w:rsidR="00F014C6" w:rsidRPr="009C7555">
        <w:rPr>
          <w:sz w:val="22"/>
          <w:szCs w:val="22"/>
        </w:rPr>
        <w:tab/>
      </w:r>
      <w:r w:rsidR="00F014C6" w:rsidRPr="009C7555">
        <w:rPr>
          <w:sz w:val="22"/>
          <w:szCs w:val="22"/>
        </w:rPr>
        <w:tab/>
      </w:r>
      <w:r w:rsidR="00F014C6" w:rsidRPr="009C7555">
        <w:rPr>
          <w:sz w:val="22"/>
          <w:szCs w:val="22"/>
        </w:rPr>
        <w:tab/>
      </w:r>
      <w:r w:rsidR="00F014C6" w:rsidRPr="009C7555">
        <w:rPr>
          <w:sz w:val="22"/>
          <w:szCs w:val="22"/>
        </w:rPr>
        <w:tab/>
      </w:r>
      <w:r w:rsidR="00F014C6" w:rsidRPr="009C7555">
        <w:rPr>
          <w:i/>
          <w:sz w:val="22"/>
          <w:szCs w:val="22"/>
        </w:rPr>
        <w:t>sent via email</w:t>
      </w:r>
    </w:p>
    <w:p w14:paraId="3BCE640F" w14:textId="77777777" w:rsidR="004479A9" w:rsidRPr="009C7555" w:rsidRDefault="004479A9" w:rsidP="00E645A3">
      <w:pPr>
        <w:spacing w:line="264" w:lineRule="auto"/>
        <w:rPr>
          <w:sz w:val="22"/>
          <w:szCs w:val="22"/>
        </w:rPr>
      </w:pPr>
    </w:p>
    <w:p w14:paraId="0592E5D1" w14:textId="77777777" w:rsidR="00B53634" w:rsidRPr="009C7555" w:rsidRDefault="00F014C6" w:rsidP="00B53634">
      <w:pPr>
        <w:rPr>
          <w:sz w:val="22"/>
          <w:szCs w:val="22"/>
        </w:rPr>
      </w:pPr>
      <w:r w:rsidRPr="009C7555">
        <w:rPr>
          <w:sz w:val="22"/>
          <w:szCs w:val="22"/>
        </w:rPr>
        <w:t>Deborah Taege</w:t>
      </w:r>
    </w:p>
    <w:p w14:paraId="6F8733C7" w14:textId="77777777" w:rsidR="00F014C6" w:rsidRPr="009C7555" w:rsidRDefault="00F014C6" w:rsidP="00B53634">
      <w:pPr>
        <w:rPr>
          <w:sz w:val="22"/>
          <w:szCs w:val="22"/>
        </w:rPr>
      </w:pPr>
      <w:r w:rsidRPr="009C7555">
        <w:rPr>
          <w:sz w:val="22"/>
          <w:szCs w:val="22"/>
        </w:rPr>
        <w:t>The Boeing Company</w:t>
      </w:r>
    </w:p>
    <w:p w14:paraId="30DA439E" w14:textId="77777777" w:rsidR="00F014C6" w:rsidRPr="009C7555" w:rsidRDefault="00387E59" w:rsidP="00F014C6">
      <w:pPr>
        <w:rPr>
          <w:sz w:val="22"/>
          <w:szCs w:val="22"/>
          <w:lang w:eastAsia="en-ZW"/>
        </w:rPr>
      </w:pPr>
      <w:r w:rsidRPr="009C7555">
        <w:rPr>
          <w:sz w:val="22"/>
          <w:szCs w:val="22"/>
          <w:lang w:eastAsia="en-ZW"/>
        </w:rPr>
        <w:t xml:space="preserve">EHS </w:t>
      </w:r>
      <w:r w:rsidR="00F014C6" w:rsidRPr="009C7555">
        <w:rPr>
          <w:sz w:val="22"/>
          <w:szCs w:val="22"/>
          <w:lang w:eastAsia="en-ZW"/>
        </w:rPr>
        <w:t xml:space="preserve">Remediation </w:t>
      </w:r>
      <w:r w:rsidR="00F014C6" w:rsidRPr="009C7555">
        <w:rPr>
          <w:sz w:val="22"/>
          <w:szCs w:val="22"/>
          <w:lang w:eastAsia="en-ZW"/>
        </w:rPr>
        <w:br/>
      </w:r>
      <w:r w:rsidR="00174CB5" w:rsidRPr="009C7555">
        <w:rPr>
          <w:sz w:val="22"/>
          <w:szCs w:val="22"/>
          <w:lang w:eastAsia="en-ZW"/>
        </w:rPr>
        <w:t>Bldg.</w:t>
      </w:r>
      <w:r w:rsidR="00F014C6" w:rsidRPr="009C7555">
        <w:rPr>
          <w:sz w:val="22"/>
          <w:szCs w:val="22"/>
          <w:lang w:eastAsia="en-ZW"/>
        </w:rPr>
        <w:t xml:space="preserve"> 10-20, MC 9U4-26</w:t>
      </w:r>
    </w:p>
    <w:p w14:paraId="3F0E98A1" w14:textId="4AE7AFEB" w:rsidR="00BD539A" w:rsidRPr="009C7555" w:rsidRDefault="00F014C6" w:rsidP="00F014C6">
      <w:pPr>
        <w:rPr>
          <w:sz w:val="22"/>
          <w:szCs w:val="22"/>
          <w:lang w:eastAsia="en-ZW"/>
        </w:rPr>
      </w:pPr>
      <w:r w:rsidRPr="009C7555">
        <w:rPr>
          <w:sz w:val="22"/>
          <w:szCs w:val="22"/>
          <w:lang w:eastAsia="en-ZW"/>
        </w:rPr>
        <w:t>800 N 6th Street</w:t>
      </w:r>
      <w:r w:rsidRPr="009C7555">
        <w:rPr>
          <w:sz w:val="22"/>
          <w:szCs w:val="22"/>
          <w:lang w:eastAsia="en-ZW"/>
        </w:rPr>
        <w:br/>
      </w:r>
      <w:r w:rsidR="00174CB5" w:rsidRPr="009C7555">
        <w:rPr>
          <w:sz w:val="22"/>
          <w:szCs w:val="22"/>
          <w:lang w:eastAsia="en-ZW"/>
        </w:rPr>
        <w:t>Renton, WA</w:t>
      </w:r>
      <w:r w:rsidRPr="009C7555">
        <w:rPr>
          <w:sz w:val="22"/>
          <w:szCs w:val="22"/>
          <w:lang w:eastAsia="en-ZW"/>
        </w:rPr>
        <w:t xml:space="preserve">   98055-1409</w:t>
      </w:r>
    </w:p>
    <w:p w14:paraId="5DCAAC62" w14:textId="77E1620C" w:rsidR="00452E8E" w:rsidRPr="009C7555" w:rsidRDefault="00452E8E" w:rsidP="0007130C">
      <w:pPr>
        <w:spacing w:line="264" w:lineRule="auto"/>
        <w:jc w:val="both"/>
        <w:rPr>
          <w:sz w:val="22"/>
          <w:szCs w:val="22"/>
        </w:rPr>
      </w:pPr>
    </w:p>
    <w:p w14:paraId="1C7B54F5" w14:textId="77777777" w:rsidR="004479A9" w:rsidRPr="009C7555" w:rsidRDefault="004479A9" w:rsidP="0007130C">
      <w:pPr>
        <w:spacing w:line="264" w:lineRule="auto"/>
        <w:jc w:val="both"/>
        <w:rPr>
          <w:sz w:val="22"/>
          <w:szCs w:val="22"/>
        </w:rPr>
      </w:pPr>
    </w:p>
    <w:p w14:paraId="784FD88B" w14:textId="77777777" w:rsidR="00DD5FCC" w:rsidRPr="009C7555" w:rsidRDefault="00DD5FCC" w:rsidP="0007130C">
      <w:pPr>
        <w:spacing w:line="264" w:lineRule="auto"/>
        <w:rPr>
          <w:sz w:val="22"/>
          <w:szCs w:val="22"/>
        </w:rPr>
      </w:pPr>
    </w:p>
    <w:p w14:paraId="309D0228" w14:textId="7882F740" w:rsidR="00081E46" w:rsidRPr="00032D9B" w:rsidRDefault="00B7605E" w:rsidP="0007130C">
      <w:pPr>
        <w:spacing w:line="264" w:lineRule="auto"/>
        <w:rPr>
          <w:color w:val="FF0000"/>
          <w:sz w:val="22"/>
          <w:szCs w:val="22"/>
        </w:rPr>
      </w:pPr>
      <w:r w:rsidRPr="00032D9B">
        <w:rPr>
          <w:color w:val="FF0000"/>
          <w:sz w:val="22"/>
          <w:szCs w:val="22"/>
        </w:rPr>
        <w:t xml:space="preserve">PWB Comments: </w:t>
      </w:r>
    </w:p>
    <w:p w14:paraId="0EA299B6" w14:textId="77777777" w:rsidR="00032D9B" w:rsidRPr="00032D9B" w:rsidRDefault="00032D9B" w:rsidP="00032D9B">
      <w:pPr>
        <w:rPr>
          <w:color w:val="FF0000"/>
        </w:rPr>
      </w:pPr>
      <w:r w:rsidRPr="00032D9B">
        <w:rPr>
          <w:color w:val="FF0000"/>
        </w:rPr>
        <w:t xml:space="preserve">With respect to the </w:t>
      </w:r>
      <w:r w:rsidRPr="00032D9B">
        <w:rPr>
          <w:i/>
          <w:iCs/>
          <w:color w:val="FF0000"/>
        </w:rPr>
        <w:t xml:space="preserve">2022 Annual Progress Report for the Troutdale Gravel Aquifer Boeing Portland Facility ECSI #13 </w:t>
      </w:r>
      <w:r w:rsidRPr="00032D9B">
        <w:rPr>
          <w:color w:val="FF0000"/>
        </w:rPr>
        <w:t>dated March 21, 2023, PWB has reviewed the recommendations in consultation with our technical advisers at GSI and offers the following:</w:t>
      </w:r>
    </w:p>
    <w:p w14:paraId="0EEF957D" w14:textId="77777777" w:rsidR="00032D9B" w:rsidRPr="00032D9B" w:rsidRDefault="00032D9B" w:rsidP="00032D9B">
      <w:pPr>
        <w:rPr>
          <w:color w:val="FF0000"/>
        </w:rPr>
      </w:pPr>
    </w:p>
    <w:p w14:paraId="1846A2FF" w14:textId="77777777" w:rsidR="00032D9B" w:rsidRPr="00032D9B" w:rsidRDefault="00032D9B" w:rsidP="00032D9B">
      <w:pPr>
        <w:rPr>
          <w:color w:val="FF0000"/>
        </w:rPr>
      </w:pPr>
      <w:r w:rsidRPr="00032D9B">
        <w:rPr>
          <w:color w:val="FF0000"/>
        </w:rPr>
        <w:t xml:space="preserve">PWB generally considers the recommendations reasonable with respect to well decommissioning in the central portion of the site and the reduction in monitoring to an annual basis. PWB does not concur with the recommendation to eliminate groundwater elevation monitoring altogether at the Upper TSA monitoring wells, however, which remains a requirement of the TGA Consent Order. (We’ll also note here that the closure of the TSA remedy should not result in changes to the requirements for the TGA remedy.) The TSA measurements are important to evaluating whether there is potential for downward movement of VOCs from the TGA to the TSA, and the data do indicate this potential exists. TSA observations therefore remain necessary to provide evidence against whether VOCs are escaping the TGA. This mechanism is even more important to maintain as the extraction wells are decommissioned in future years. </w:t>
      </w:r>
    </w:p>
    <w:p w14:paraId="68E7C828" w14:textId="77777777" w:rsidR="00032D9B" w:rsidRPr="00032D9B" w:rsidRDefault="00032D9B" w:rsidP="00032D9B">
      <w:pPr>
        <w:rPr>
          <w:color w:val="FF0000"/>
        </w:rPr>
      </w:pPr>
    </w:p>
    <w:p w14:paraId="1EF6973A" w14:textId="77777777" w:rsidR="00032D9B" w:rsidRPr="00032D9B" w:rsidRDefault="00032D9B" w:rsidP="00032D9B">
      <w:pPr>
        <w:rPr>
          <w:color w:val="FF0000"/>
        </w:rPr>
      </w:pPr>
      <w:r w:rsidRPr="00032D9B">
        <w:rPr>
          <w:color w:val="FF0000"/>
        </w:rPr>
        <w:t>PWB would be amenable to a more narrowly targeted elevation data collection scheme that would reduce the overall monitoring burden but maintain sufficient data resolution to evaluate the TGA-TSA potential pathway. At minimum this should include the wells underlying areas of TGA contamination that have historically exhibited a downward vertical gradient.</w:t>
      </w:r>
    </w:p>
    <w:p w14:paraId="6170E5FA" w14:textId="77777777" w:rsidR="00B7605E" w:rsidRDefault="00B7605E" w:rsidP="0007130C">
      <w:pPr>
        <w:spacing w:line="264" w:lineRule="auto"/>
        <w:rPr>
          <w:sz w:val="22"/>
          <w:szCs w:val="22"/>
        </w:rPr>
      </w:pPr>
    </w:p>
    <w:p w14:paraId="1576427C" w14:textId="57B0B1AC" w:rsidR="0007130C" w:rsidRPr="009C7555" w:rsidRDefault="0007130C" w:rsidP="0007130C">
      <w:pPr>
        <w:spacing w:line="264" w:lineRule="auto"/>
        <w:rPr>
          <w:sz w:val="22"/>
          <w:szCs w:val="22"/>
        </w:rPr>
      </w:pPr>
      <w:r w:rsidRPr="009C7555">
        <w:rPr>
          <w:sz w:val="22"/>
          <w:szCs w:val="22"/>
        </w:rPr>
        <w:t xml:space="preserve">Please </w:t>
      </w:r>
      <w:r w:rsidR="004053C6" w:rsidRPr="009C7555">
        <w:rPr>
          <w:sz w:val="22"/>
          <w:szCs w:val="22"/>
        </w:rPr>
        <w:t xml:space="preserve">feel free to </w:t>
      </w:r>
      <w:r w:rsidRPr="009C7555">
        <w:rPr>
          <w:sz w:val="22"/>
          <w:szCs w:val="22"/>
        </w:rPr>
        <w:t xml:space="preserve">call me with questions. </w:t>
      </w:r>
    </w:p>
    <w:p w14:paraId="74E155B4" w14:textId="77777777" w:rsidR="0007130C" w:rsidRPr="009C7555" w:rsidRDefault="0007130C" w:rsidP="0007130C">
      <w:pPr>
        <w:spacing w:line="264" w:lineRule="auto"/>
        <w:rPr>
          <w:sz w:val="22"/>
          <w:szCs w:val="22"/>
        </w:rPr>
      </w:pPr>
    </w:p>
    <w:p w14:paraId="03A1BF40" w14:textId="77777777" w:rsidR="0007130C" w:rsidRPr="009C7555" w:rsidRDefault="0007130C" w:rsidP="0007130C">
      <w:pPr>
        <w:spacing w:line="264" w:lineRule="auto"/>
        <w:rPr>
          <w:sz w:val="22"/>
          <w:szCs w:val="22"/>
        </w:rPr>
      </w:pPr>
      <w:r w:rsidRPr="009C7555">
        <w:rPr>
          <w:sz w:val="22"/>
          <w:szCs w:val="22"/>
        </w:rPr>
        <w:t>Sincerely,</w:t>
      </w:r>
    </w:p>
    <w:p w14:paraId="6F329A3E" w14:textId="77777777" w:rsidR="0007130C" w:rsidRPr="009C7555" w:rsidRDefault="006D5598" w:rsidP="0007130C">
      <w:pPr>
        <w:spacing w:line="264" w:lineRule="auto"/>
        <w:rPr>
          <w:sz w:val="22"/>
          <w:szCs w:val="22"/>
        </w:rPr>
      </w:pPr>
      <w:r w:rsidRPr="009C7555">
        <w:rPr>
          <w:noProof/>
          <w:sz w:val="22"/>
          <w:szCs w:val="22"/>
          <w:lang w:val="en-ZW" w:eastAsia="en-ZW"/>
        </w:rPr>
        <w:drawing>
          <wp:inline distT="0" distB="0" distL="0" distR="0" wp14:anchorId="0D679AB2" wp14:editId="5AA66266">
            <wp:extent cx="2156059" cy="7670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170" cy="779188"/>
                    </a:xfrm>
                    <a:prstGeom prst="rect">
                      <a:avLst/>
                    </a:prstGeom>
                    <a:noFill/>
                    <a:ln>
                      <a:noFill/>
                    </a:ln>
                  </pic:spPr>
                </pic:pic>
              </a:graphicData>
            </a:graphic>
          </wp:inline>
        </w:drawing>
      </w:r>
    </w:p>
    <w:p w14:paraId="03542BDF" w14:textId="3B8C9491" w:rsidR="0007130C" w:rsidRPr="009C7555" w:rsidRDefault="0007130C" w:rsidP="0007130C">
      <w:pPr>
        <w:spacing w:line="264" w:lineRule="auto"/>
        <w:rPr>
          <w:sz w:val="22"/>
          <w:szCs w:val="22"/>
        </w:rPr>
      </w:pPr>
      <w:r w:rsidRPr="009C7555">
        <w:rPr>
          <w:sz w:val="22"/>
          <w:szCs w:val="22"/>
        </w:rPr>
        <w:t>Kenneth Thiessen</w:t>
      </w:r>
      <w:r w:rsidR="00B53634" w:rsidRPr="009C7555">
        <w:rPr>
          <w:sz w:val="22"/>
          <w:szCs w:val="22"/>
        </w:rPr>
        <w:t>,</w:t>
      </w:r>
      <w:r w:rsidR="00320219" w:rsidRPr="009C7555">
        <w:rPr>
          <w:sz w:val="22"/>
          <w:szCs w:val="22"/>
        </w:rPr>
        <w:t xml:space="preserve"> RG,</w:t>
      </w:r>
      <w:r w:rsidRPr="009C7555">
        <w:rPr>
          <w:sz w:val="22"/>
          <w:szCs w:val="22"/>
        </w:rPr>
        <w:t xml:space="preserve"> CEG</w:t>
      </w:r>
    </w:p>
    <w:p w14:paraId="4F23BA7D" w14:textId="77777777" w:rsidR="0007130C" w:rsidRPr="009C7555" w:rsidRDefault="0007130C" w:rsidP="0007130C">
      <w:pPr>
        <w:spacing w:line="264" w:lineRule="auto"/>
        <w:rPr>
          <w:sz w:val="22"/>
          <w:szCs w:val="22"/>
        </w:rPr>
      </w:pPr>
      <w:r w:rsidRPr="009C7555">
        <w:rPr>
          <w:sz w:val="22"/>
          <w:szCs w:val="22"/>
        </w:rPr>
        <w:t>Northwest Region Cleanup Section</w:t>
      </w:r>
    </w:p>
    <w:p w14:paraId="28B63B42" w14:textId="14871141" w:rsidR="0007130C" w:rsidRDefault="00081E46" w:rsidP="0007130C">
      <w:pPr>
        <w:spacing w:line="264" w:lineRule="auto"/>
        <w:rPr>
          <w:sz w:val="22"/>
          <w:szCs w:val="22"/>
        </w:rPr>
      </w:pPr>
      <w:r>
        <w:rPr>
          <w:sz w:val="22"/>
          <w:szCs w:val="22"/>
        </w:rPr>
        <w:t>(503) 887-7636</w:t>
      </w:r>
    </w:p>
    <w:p w14:paraId="1CADA7FB" w14:textId="77777777" w:rsidR="00081E46" w:rsidRPr="009C7555" w:rsidRDefault="00081E46" w:rsidP="0007130C">
      <w:pPr>
        <w:spacing w:line="264" w:lineRule="auto"/>
        <w:rPr>
          <w:sz w:val="22"/>
          <w:szCs w:val="22"/>
        </w:rPr>
      </w:pPr>
    </w:p>
    <w:p w14:paraId="0B5BC98D" w14:textId="13676D46" w:rsidR="003622B6" w:rsidRPr="009C7555" w:rsidRDefault="00F04519" w:rsidP="003622B6">
      <w:pPr>
        <w:spacing w:line="264" w:lineRule="auto"/>
        <w:rPr>
          <w:sz w:val="22"/>
          <w:szCs w:val="22"/>
        </w:rPr>
      </w:pPr>
      <w:r w:rsidRPr="009C7555">
        <w:rPr>
          <w:sz w:val="22"/>
          <w:szCs w:val="22"/>
        </w:rPr>
        <w:t>cc:</w:t>
      </w:r>
      <w:r w:rsidRPr="009C7555">
        <w:rPr>
          <w:sz w:val="22"/>
          <w:szCs w:val="22"/>
        </w:rPr>
        <w:tab/>
      </w:r>
      <w:r w:rsidR="005A2B89">
        <w:rPr>
          <w:sz w:val="22"/>
          <w:szCs w:val="22"/>
        </w:rPr>
        <w:t>Erin Waibel</w:t>
      </w:r>
      <w:r w:rsidR="003622B6" w:rsidRPr="009C7555">
        <w:rPr>
          <w:sz w:val="22"/>
          <w:szCs w:val="22"/>
        </w:rPr>
        <w:t xml:space="preserve">, </w:t>
      </w:r>
      <w:r w:rsidR="005A2B89">
        <w:rPr>
          <w:sz w:val="22"/>
          <w:szCs w:val="22"/>
        </w:rPr>
        <w:t>PE</w:t>
      </w:r>
      <w:r w:rsidR="003622B6" w:rsidRPr="009C7555">
        <w:rPr>
          <w:sz w:val="22"/>
          <w:szCs w:val="22"/>
        </w:rPr>
        <w:t>, Landau Associates</w:t>
      </w:r>
    </w:p>
    <w:p w14:paraId="720C2864" w14:textId="4D4C0E94" w:rsidR="00B53634" w:rsidRPr="009C7555" w:rsidRDefault="003622B6" w:rsidP="00144302">
      <w:pPr>
        <w:spacing w:line="264" w:lineRule="auto"/>
        <w:rPr>
          <w:sz w:val="22"/>
          <w:szCs w:val="22"/>
        </w:rPr>
      </w:pPr>
      <w:r w:rsidRPr="009C7555">
        <w:rPr>
          <w:sz w:val="22"/>
          <w:szCs w:val="22"/>
        </w:rPr>
        <w:tab/>
      </w:r>
      <w:r w:rsidR="00EE6826" w:rsidRPr="009C7555">
        <w:rPr>
          <w:sz w:val="22"/>
          <w:szCs w:val="22"/>
        </w:rPr>
        <w:t>Evelyn Ives</w:t>
      </w:r>
      <w:r w:rsidR="00E06079" w:rsidRPr="009C7555">
        <w:rPr>
          <w:sz w:val="22"/>
          <w:szCs w:val="22"/>
        </w:rPr>
        <w:t>, PE</w:t>
      </w:r>
      <w:r w:rsidR="00F014C6" w:rsidRPr="009C7555">
        <w:rPr>
          <w:sz w:val="22"/>
          <w:szCs w:val="22"/>
        </w:rPr>
        <w:t>, Landau Associates</w:t>
      </w:r>
      <w:r w:rsidR="00F04519" w:rsidRPr="009C7555">
        <w:rPr>
          <w:sz w:val="22"/>
          <w:szCs w:val="22"/>
        </w:rPr>
        <w:tab/>
      </w:r>
    </w:p>
    <w:p w14:paraId="5776873A" w14:textId="26F61AAA" w:rsidR="00B53634" w:rsidRPr="009C7555" w:rsidRDefault="00B53634" w:rsidP="00144302">
      <w:pPr>
        <w:spacing w:line="264" w:lineRule="auto"/>
        <w:rPr>
          <w:sz w:val="22"/>
          <w:szCs w:val="22"/>
        </w:rPr>
      </w:pPr>
      <w:r w:rsidRPr="009C7555">
        <w:rPr>
          <w:rFonts w:eastAsiaTheme="minorHAnsi"/>
          <w:bCs/>
          <w:sz w:val="22"/>
          <w:szCs w:val="22"/>
          <w:lang w:val="en-ZW"/>
        </w:rPr>
        <w:tab/>
      </w:r>
      <w:r w:rsidR="005A2B89">
        <w:rPr>
          <w:rFonts w:eastAsiaTheme="minorHAnsi"/>
          <w:bCs/>
          <w:sz w:val="22"/>
          <w:szCs w:val="22"/>
          <w:lang w:val="en-ZW"/>
        </w:rPr>
        <w:t>Clint Jacob</w:t>
      </w:r>
      <w:r w:rsidR="003622B6" w:rsidRPr="009C7555">
        <w:rPr>
          <w:rFonts w:eastAsiaTheme="minorHAnsi"/>
          <w:bCs/>
          <w:sz w:val="22"/>
          <w:szCs w:val="22"/>
          <w:lang w:val="en-ZW"/>
        </w:rPr>
        <w:t>, PE,</w:t>
      </w:r>
      <w:r w:rsidR="00174CB5" w:rsidRPr="009C7555">
        <w:rPr>
          <w:rFonts w:eastAsiaTheme="minorHAnsi"/>
          <w:bCs/>
          <w:sz w:val="22"/>
          <w:szCs w:val="22"/>
          <w:lang w:val="en-ZW"/>
        </w:rPr>
        <w:t xml:space="preserve"> </w:t>
      </w:r>
      <w:r w:rsidR="00174CB5" w:rsidRPr="009C7555">
        <w:rPr>
          <w:sz w:val="22"/>
          <w:szCs w:val="22"/>
        </w:rPr>
        <w:t>Landau Associates</w:t>
      </w:r>
    </w:p>
    <w:p w14:paraId="69079FF0" w14:textId="2A334D4D" w:rsidR="002C3BF1" w:rsidRPr="009C7555" w:rsidRDefault="002C3BF1" w:rsidP="00144302">
      <w:pPr>
        <w:spacing w:line="264" w:lineRule="auto"/>
        <w:rPr>
          <w:sz w:val="22"/>
          <w:szCs w:val="22"/>
        </w:rPr>
      </w:pPr>
      <w:r w:rsidRPr="009C7555">
        <w:rPr>
          <w:sz w:val="22"/>
          <w:szCs w:val="22"/>
        </w:rPr>
        <w:lastRenderedPageBreak/>
        <w:tab/>
        <w:t>Dan Hafley, RG, DEQ Northwest Region</w:t>
      </w:r>
    </w:p>
    <w:p w14:paraId="0D293FBE" w14:textId="77777777" w:rsidR="00DD5FCC" w:rsidRPr="009C7555" w:rsidRDefault="00DD5FCC" w:rsidP="00144302">
      <w:pPr>
        <w:spacing w:line="264" w:lineRule="auto"/>
        <w:rPr>
          <w:sz w:val="22"/>
          <w:szCs w:val="22"/>
        </w:rPr>
      </w:pPr>
    </w:p>
    <w:p w14:paraId="792EA27E" w14:textId="77777777" w:rsidR="0007130C" w:rsidRPr="009C7555" w:rsidRDefault="00174CB5" w:rsidP="00B53634">
      <w:pPr>
        <w:spacing w:line="264" w:lineRule="auto"/>
        <w:ind w:firstLine="720"/>
        <w:rPr>
          <w:sz w:val="22"/>
          <w:szCs w:val="22"/>
        </w:rPr>
      </w:pPr>
      <w:r w:rsidRPr="009C7555">
        <w:rPr>
          <w:sz w:val="22"/>
          <w:szCs w:val="22"/>
        </w:rPr>
        <w:t>ECSI #13</w:t>
      </w:r>
    </w:p>
    <w:p w14:paraId="0D1CC798" w14:textId="77777777" w:rsidR="0007130C" w:rsidRPr="009C7555" w:rsidRDefault="0007130C" w:rsidP="00216B3F">
      <w:pPr>
        <w:spacing w:line="264" w:lineRule="auto"/>
        <w:jc w:val="both"/>
        <w:rPr>
          <w:sz w:val="22"/>
          <w:szCs w:val="22"/>
        </w:rPr>
      </w:pPr>
    </w:p>
    <w:p w14:paraId="2421C399" w14:textId="77777777" w:rsidR="0007130C" w:rsidRPr="009C7555" w:rsidRDefault="0007130C" w:rsidP="00216B3F">
      <w:pPr>
        <w:spacing w:line="264" w:lineRule="auto"/>
        <w:jc w:val="both"/>
        <w:rPr>
          <w:sz w:val="22"/>
          <w:szCs w:val="22"/>
        </w:rPr>
      </w:pPr>
    </w:p>
    <w:p w14:paraId="3E5992F5" w14:textId="77777777" w:rsidR="005029D0" w:rsidRPr="009C7555" w:rsidRDefault="005029D0">
      <w:pPr>
        <w:widowControl w:val="0"/>
        <w:spacing w:before="120" w:after="80"/>
        <w:rPr>
          <w:sz w:val="22"/>
          <w:szCs w:val="22"/>
        </w:rPr>
      </w:pPr>
    </w:p>
    <w:sectPr w:rsidR="005029D0" w:rsidRPr="009C7555" w:rsidSect="005029D0">
      <w:headerReference w:type="first" r:id="rId9"/>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2708" w14:textId="77777777" w:rsidR="009861F8" w:rsidRDefault="009861F8">
      <w:r>
        <w:separator/>
      </w:r>
    </w:p>
  </w:endnote>
  <w:endnote w:type="continuationSeparator" w:id="0">
    <w:p w14:paraId="13379AAD" w14:textId="77777777" w:rsidR="009861F8" w:rsidRDefault="0098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9C4B0" w14:textId="77777777" w:rsidR="009861F8" w:rsidRDefault="009861F8">
      <w:r>
        <w:separator/>
      </w:r>
    </w:p>
  </w:footnote>
  <w:footnote w:type="continuationSeparator" w:id="0">
    <w:p w14:paraId="3AF4F24E" w14:textId="77777777" w:rsidR="009861F8" w:rsidRDefault="00986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236B" w14:textId="77777777" w:rsidR="005218CD" w:rsidRPr="00442032" w:rsidRDefault="005218CD">
    <w:pPr>
      <w:pStyle w:val="Header"/>
      <w:tabs>
        <w:tab w:val="clear" w:pos="4680"/>
        <w:tab w:val="clear" w:pos="9360"/>
        <w:tab w:val="right" w:pos="11016"/>
      </w:tabs>
      <w:ind w:left="0" w:right="90" w:hanging="990"/>
      <w:rPr>
        <w:color w:val="4B5B9F"/>
      </w:rPr>
    </w:pPr>
    <w:r w:rsidRPr="001630E9">
      <w:rPr>
        <w:noProof/>
        <w:color w:val="4B5B9F"/>
        <w:lang w:val="en-ZW" w:eastAsia="en-ZW"/>
      </w:rPr>
      <w:drawing>
        <wp:anchor distT="0" distB="0" distL="114300" distR="114300" simplePos="0" relativeHeight="251657728" behindDoc="1" locked="0" layoutInCell="1" allowOverlap="1" wp14:anchorId="1EE7D7F9" wp14:editId="3F552381">
          <wp:simplePos x="0" y="0"/>
          <wp:positionH relativeFrom="column">
            <wp:posOffset>-553444</wp:posOffset>
          </wp:positionH>
          <wp:positionV relativeFrom="paragraph">
            <wp:posOffset>32302</wp:posOffset>
          </wp:positionV>
          <wp:extent cx="890270" cy="882595"/>
          <wp:effectExtent l="19050" t="0" r="5439" b="0"/>
          <wp:wrapNone/>
          <wp:docPr id="8"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1"/>
                  <a:stretch>
                    <a:fillRect/>
                  </a:stretch>
                </pic:blipFill>
                <pic:spPr>
                  <a:xfrm>
                    <a:off x="0" y="0"/>
                    <a:ext cx="889911" cy="885941"/>
                  </a:xfrm>
                  <a:prstGeom prst="rect">
                    <a:avLst/>
                  </a:prstGeom>
                </pic:spPr>
              </pic:pic>
            </a:graphicData>
          </a:graphic>
        </wp:anchor>
      </w:drawing>
    </w:r>
    <w:r w:rsidRPr="00442032">
      <w:rPr>
        <w:noProof/>
        <w:color w:val="4B5B9F"/>
        <w:lang w:val="en-ZW" w:eastAsia="en-ZW"/>
      </w:rPr>
      <w:drawing>
        <wp:anchor distT="0" distB="0" distL="114300" distR="114300" simplePos="0" relativeHeight="251656704" behindDoc="1" locked="0" layoutInCell="1" allowOverlap="1" wp14:anchorId="403FE09C" wp14:editId="6D9884DB">
          <wp:simplePos x="0" y="0"/>
          <wp:positionH relativeFrom="column">
            <wp:posOffset>429370</wp:posOffset>
          </wp:positionH>
          <wp:positionV relativeFrom="paragraph">
            <wp:posOffset>-15406</wp:posOffset>
          </wp:positionV>
          <wp:extent cx="6105967" cy="930303"/>
          <wp:effectExtent l="19050" t="0" r="9083" b="0"/>
          <wp:wrapNone/>
          <wp:docPr id="1"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2"/>
                  <a:srcRect l="13379"/>
                  <a:stretch>
                    <a:fillRect/>
                  </a:stretch>
                </pic:blipFill>
                <pic:spPr>
                  <a:xfrm>
                    <a:off x="0" y="0"/>
                    <a:ext cx="6105967" cy="930303"/>
                  </a:xfrm>
                  <a:prstGeom prst="rect">
                    <a:avLst/>
                  </a:prstGeom>
                </pic:spPr>
              </pic:pic>
            </a:graphicData>
          </a:graphic>
        </wp:anchor>
      </w:drawing>
    </w:r>
  </w:p>
  <w:p w14:paraId="26B999F0" w14:textId="77777777" w:rsidR="005218CD" w:rsidRPr="00442032" w:rsidRDefault="00CC3B05">
    <w:pPr>
      <w:pStyle w:val="Header"/>
      <w:tabs>
        <w:tab w:val="left" w:pos="5760"/>
      </w:tabs>
      <w:spacing w:before="120"/>
      <w:ind w:right="-634"/>
      <w:jc w:val="right"/>
      <w:rPr>
        <w:b/>
        <w:color w:val="4B5B9F"/>
        <w:sz w:val="20"/>
        <w:szCs w:val="18"/>
      </w:rPr>
    </w:pPr>
    <w:r>
      <w:rPr>
        <w:rFonts w:ascii="Palatino Linotype" w:hAnsi="Palatino Linotype"/>
        <w:b/>
        <w:noProof/>
        <w:color w:val="4B5B9F"/>
        <w:szCs w:val="20"/>
      </w:rPr>
      <w:pict w14:anchorId="0F2DAAA4">
        <v:rect id="_x0000_s2049" style="position:absolute;left:0;text-align:left;margin-left:290.5pt;margin-top:6.15pt;width:218.5pt;height:18.2pt;z-index:-251657728" stroked="f"/>
      </w:pict>
    </w:r>
    <w:r w:rsidR="005218CD" w:rsidRPr="00442032">
      <w:rPr>
        <w:rFonts w:ascii="Palatino Linotype" w:hAnsi="Palatino Linotype"/>
        <w:b/>
        <w:color w:val="4B5B9F"/>
        <w:szCs w:val="20"/>
      </w:rPr>
      <w:t>Department of Environmental Quality</w:t>
    </w:r>
  </w:p>
  <w:p w14:paraId="39534C67" w14:textId="77777777" w:rsidR="005218CD" w:rsidRPr="00442032" w:rsidRDefault="005218CD">
    <w:pPr>
      <w:pStyle w:val="Header"/>
      <w:tabs>
        <w:tab w:val="clear" w:pos="4680"/>
        <w:tab w:val="clear" w:pos="9360"/>
        <w:tab w:val="left" w:pos="630"/>
        <w:tab w:val="right" w:pos="9990"/>
      </w:tabs>
      <w:ind w:left="0" w:right="-634" w:firstLine="0"/>
      <w:rPr>
        <w:rFonts w:ascii="Palatino Linotype" w:hAnsi="Palatino Linotype"/>
        <w:b/>
        <w:color w:val="4B5B9F"/>
        <w:sz w:val="18"/>
        <w:szCs w:val="18"/>
      </w:rPr>
    </w:pPr>
    <w:r w:rsidRPr="00442032">
      <w:rPr>
        <w:rFonts w:ascii="Palatino Linotype" w:hAnsi="Palatino Linotype"/>
        <w:b/>
        <w:color w:val="4B5B9F"/>
        <w:sz w:val="18"/>
        <w:szCs w:val="18"/>
      </w:rPr>
      <w:tab/>
    </w:r>
    <w:r w:rsidRPr="00442032">
      <w:rPr>
        <w:rFonts w:ascii="Palatino Linotype" w:hAnsi="Palatino Linotype"/>
        <w:b/>
        <w:color w:val="4B5B9F"/>
        <w:sz w:val="18"/>
        <w:szCs w:val="18"/>
      </w:rPr>
      <w:tab/>
    </w:r>
    <w:r>
      <w:rPr>
        <w:rFonts w:ascii="Palatino Linotype" w:hAnsi="Palatino Linotype"/>
        <w:b/>
        <w:color w:val="4B5B9F"/>
        <w:sz w:val="18"/>
        <w:szCs w:val="18"/>
      </w:rPr>
      <w:t>Northwest Region</w:t>
    </w:r>
  </w:p>
  <w:p w14:paraId="4BA6D872" w14:textId="77777777" w:rsidR="005218CD" w:rsidRPr="00E06EFC" w:rsidRDefault="005218CD" w:rsidP="00E06EFC">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r>
    <w:r w:rsidRPr="00E06EFC">
      <w:rPr>
        <w:rFonts w:ascii="Palatino Linotype" w:hAnsi="Palatino Linotype"/>
        <w:color w:val="4B5B9F"/>
        <w:sz w:val="18"/>
        <w:szCs w:val="18"/>
      </w:rPr>
      <w:t>700 NE Multnomah Street, Suite 600</w:t>
    </w:r>
  </w:p>
  <w:p w14:paraId="5ACA5CC3" w14:textId="65BD287C" w:rsidR="005218CD" w:rsidRPr="00442032" w:rsidRDefault="005218CD" w:rsidP="00E06EFC">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E06EFC">
      <w:rPr>
        <w:rFonts w:ascii="Palatino Linotype" w:hAnsi="Palatino Linotype"/>
        <w:color w:val="4B5B9F"/>
        <w:sz w:val="18"/>
        <w:szCs w:val="18"/>
      </w:rPr>
      <w:tab/>
    </w:r>
    <w:r w:rsidR="00726DB8">
      <w:rPr>
        <w:rFonts w:ascii="Palatino Linotype" w:hAnsi="Palatino Linotype"/>
        <w:color w:val="4B5B9F"/>
        <w:sz w:val="18"/>
        <w:szCs w:val="18"/>
      </w:rPr>
      <w:t>Tina Kotek</w:t>
    </w:r>
    <w:r w:rsidRPr="00E06EFC">
      <w:rPr>
        <w:rFonts w:ascii="Palatino Linotype" w:hAnsi="Palatino Linotype"/>
        <w:color w:val="4B5B9F"/>
        <w:sz w:val="18"/>
        <w:szCs w:val="18"/>
      </w:rPr>
      <w:t>, Governor</w:t>
    </w:r>
    <w:r w:rsidRPr="00E06EFC">
      <w:rPr>
        <w:rFonts w:ascii="Palatino Linotype" w:hAnsi="Palatino Linotype"/>
        <w:color w:val="4B5B9F"/>
        <w:sz w:val="18"/>
        <w:szCs w:val="18"/>
      </w:rPr>
      <w:tab/>
      <w:t>Portland, OR  97232</w:t>
    </w:r>
  </w:p>
  <w:p w14:paraId="20558C65" w14:textId="77777777" w:rsidR="005218CD" w:rsidRPr="00442032" w:rsidRDefault="005218CD">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(503) 229-5</w:t>
    </w:r>
    <w:r>
      <w:rPr>
        <w:rFonts w:ascii="Palatino Linotype" w:hAnsi="Palatino Linotype"/>
        <w:color w:val="4B5B9F"/>
        <w:sz w:val="18"/>
        <w:szCs w:val="18"/>
      </w:rPr>
      <w:t>2</w:t>
    </w:r>
    <w:r w:rsidRPr="00442032">
      <w:rPr>
        <w:rFonts w:ascii="Palatino Linotype" w:hAnsi="Palatino Linotype"/>
        <w:color w:val="4B5B9F"/>
        <w:sz w:val="18"/>
        <w:szCs w:val="18"/>
      </w:rPr>
      <w:t>6</w:t>
    </w:r>
    <w:r>
      <w:rPr>
        <w:rFonts w:ascii="Palatino Linotype" w:hAnsi="Palatino Linotype"/>
        <w:color w:val="4B5B9F"/>
        <w:sz w:val="18"/>
        <w:szCs w:val="18"/>
      </w:rPr>
      <w:t>3</w:t>
    </w:r>
  </w:p>
  <w:p w14:paraId="0CF7B338" w14:textId="77777777" w:rsidR="005218CD" w:rsidRPr="00442032" w:rsidRDefault="005218CD">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FAX (503) 229-6</w:t>
    </w:r>
    <w:r>
      <w:rPr>
        <w:rFonts w:ascii="Palatino Linotype" w:hAnsi="Palatino Linotype"/>
        <w:color w:val="4B5B9F"/>
        <w:sz w:val="18"/>
        <w:szCs w:val="18"/>
      </w:rPr>
      <w:t>945</w:t>
    </w:r>
  </w:p>
  <w:p w14:paraId="15A32B7C" w14:textId="77777777" w:rsidR="005218CD" w:rsidRPr="00442032" w:rsidRDefault="005218CD">
    <w:pPr>
      <w:pStyle w:val="Header"/>
      <w:tabs>
        <w:tab w:val="left" w:pos="5760"/>
      </w:tabs>
      <w:ind w:right="-630"/>
      <w:jc w:val="right"/>
      <w:rPr>
        <w:rFonts w:ascii="Palatino Linotype" w:hAnsi="Palatino Linotype"/>
        <w:color w:val="4B5B9F"/>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TTY 711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00E9"/>
    <w:multiLevelType w:val="hybridMultilevel"/>
    <w:tmpl w:val="2AE2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61299"/>
    <w:multiLevelType w:val="hybridMultilevel"/>
    <w:tmpl w:val="672C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A0749D"/>
    <w:multiLevelType w:val="hybridMultilevel"/>
    <w:tmpl w:val="1AFA5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6982507">
    <w:abstractNumId w:val="2"/>
  </w:num>
  <w:num w:numId="2" w16cid:durableId="1022512480">
    <w:abstractNumId w:val="0"/>
  </w:num>
  <w:num w:numId="3" w16cid:durableId="74248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360E"/>
    <w:rsid w:val="00002F2E"/>
    <w:rsid w:val="000201A9"/>
    <w:rsid w:val="00032D9B"/>
    <w:rsid w:val="000369DF"/>
    <w:rsid w:val="00050EA7"/>
    <w:rsid w:val="0007130C"/>
    <w:rsid w:val="000819A5"/>
    <w:rsid w:val="00081E46"/>
    <w:rsid w:val="000C6492"/>
    <w:rsid w:val="000F47CD"/>
    <w:rsid w:val="0011249A"/>
    <w:rsid w:val="00125BE1"/>
    <w:rsid w:val="00132622"/>
    <w:rsid w:val="001402CF"/>
    <w:rsid w:val="00144302"/>
    <w:rsid w:val="001630E9"/>
    <w:rsid w:val="00174CB5"/>
    <w:rsid w:val="00175FC5"/>
    <w:rsid w:val="0018360E"/>
    <w:rsid w:val="001A2041"/>
    <w:rsid w:val="001A61CB"/>
    <w:rsid w:val="001D0EA0"/>
    <w:rsid w:val="00215294"/>
    <w:rsid w:val="00216B3F"/>
    <w:rsid w:val="00227F8C"/>
    <w:rsid w:val="00231D0E"/>
    <w:rsid w:val="002326CD"/>
    <w:rsid w:val="00295CD0"/>
    <w:rsid w:val="002C3BF1"/>
    <w:rsid w:val="002C5310"/>
    <w:rsid w:val="002E4615"/>
    <w:rsid w:val="002E4670"/>
    <w:rsid w:val="00302763"/>
    <w:rsid w:val="003129EB"/>
    <w:rsid w:val="00320219"/>
    <w:rsid w:val="003622B6"/>
    <w:rsid w:val="00387E59"/>
    <w:rsid w:val="00394F4E"/>
    <w:rsid w:val="004053C6"/>
    <w:rsid w:val="00442032"/>
    <w:rsid w:val="004479A9"/>
    <w:rsid w:val="00452E8E"/>
    <w:rsid w:val="00453011"/>
    <w:rsid w:val="004531C5"/>
    <w:rsid w:val="00501543"/>
    <w:rsid w:val="005029D0"/>
    <w:rsid w:val="005218CD"/>
    <w:rsid w:val="00535646"/>
    <w:rsid w:val="0054266A"/>
    <w:rsid w:val="005734CB"/>
    <w:rsid w:val="00573579"/>
    <w:rsid w:val="00573747"/>
    <w:rsid w:val="0058508E"/>
    <w:rsid w:val="00585E80"/>
    <w:rsid w:val="005A2B89"/>
    <w:rsid w:val="005A5A35"/>
    <w:rsid w:val="005B018F"/>
    <w:rsid w:val="005B02CC"/>
    <w:rsid w:val="005B5163"/>
    <w:rsid w:val="005C3EB5"/>
    <w:rsid w:val="00604C06"/>
    <w:rsid w:val="00634046"/>
    <w:rsid w:val="00636083"/>
    <w:rsid w:val="00636899"/>
    <w:rsid w:val="00662B0F"/>
    <w:rsid w:val="006A61B1"/>
    <w:rsid w:val="006D5598"/>
    <w:rsid w:val="006E2794"/>
    <w:rsid w:val="00712124"/>
    <w:rsid w:val="00726DB8"/>
    <w:rsid w:val="0073287F"/>
    <w:rsid w:val="007A1C3E"/>
    <w:rsid w:val="0082599D"/>
    <w:rsid w:val="00831E5C"/>
    <w:rsid w:val="008354C1"/>
    <w:rsid w:val="0084684F"/>
    <w:rsid w:val="008673F3"/>
    <w:rsid w:val="008734B6"/>
    <w:rsid w:val="00895D21"/>
    <w:rsid w:val="008D37D2"/>
    <w:rsid w:val="00934745"/>
    <w:rsid w:val="00957402"/>
    <w:rsid w:val="00965FC3"/>
    <w:rsid w:val="009861F8"/>
    <w:rsid w:val="009C09A8"/>
    <w:rsid w:val="009C7555"/>
    <w:rsid w:val="009C7FB4"/>
    <w:rsid w:val="00A357E1"/>
    <w:rsid w:val="00A4482B"/>
    <w:rsid w:val="00A52D24"/>
    <w:rsid w:val="00A741B6"/>
    <w:rsid w:val="00A741F1"/>
    <w:rsid w:val="00A84460"/>
    <w:rsid w:val="00AB15A3"/>
    <w:rsid w:val="00AC6801"/>
    <w:rsid w:val="00AD284E"/>
    <w:rsid w:val="00AE6A44"/>
    <w:rsid w:val="00AF2D53"/>
    <w:rsid w:val="00B07DC3"/>
    <w:rsid w:val="00B20C10"/>
    <w:rsid w:val="00B515FE"/>
    <w:rsid w:val="00B53634"/>
    <w:rsid w:val="00B6058C"/>
    <w:rsid w:val="00B7605E"/>
    <w:rsid w:val="00BA2157"/>
    <w:rsid w:val="00BB6223"/>
    <w:rsid w:val="00BD08DC"/>
    <w:rsid w:val="00BD539A"/>
    <w:rsid w:val="00BF4F5B"/>
    <w:rsid w:val="00C22FC7"/>
    <w:rsid w:val="00C576A5"/>
    <w:rsid w:val="00C625D6"/>
    <w:rsid w:val="00C642EE"/>
    <w:rsid w:val="00C66C4C"/>
    <w:rsid w:val="00C70995"/>
    <w:rsid w:val="00C81DB0"/>
    <w:rsid w:val="00C81DED"/>
    <w:rsid w:val="00C90B27"/>
    <w:rsid w:val="00CC05D2"/>
    <w:rsid w:val="00CC3B05"/>
    <w:rsid w:val="00D0679E"/>
    <w:rsid w:val="00D07596"/>
    <w:rsid w:val="00D20FDE"/>
    <w:rsid w:val="00D30932"/>
    <w:rsid w:val="00D463D5"/>
    <w:rsid w:val="00D56489"/>
    <w:rsid w:val="00D62C0F"/>
    <w:rsid w:val="00D646FA"/>
    <w:rsid w:val="00D80FBC"/>
    <w:rsid w:val="00DA5A46"/>
    <w:rsid w:val="00DB039F"/>
    <w:rsid w:val="00DB5D3C"/>
    <w:rsid w:val="00DD5FCC"/>
    <w:rsid w:val="00E04940"/>
    <w:rsid w:val="00E06079"/>
    <w:rsid w:val="00E06EFC"/>
    <w:rsid w:val="00E36F90"/>
    <w:rsid w:val="00E645A3"/>
    <w:rsid w:val="00EB76DF"/>
    <w:rsid w:val="00ED47EE"/>
    <w:rsid w:val="00ED61B6"/>
    <w:rsid w:val="00EE6826"/>
    <w:rsid w:val="00EF13F1"/>
    <w:rsid w:val="00F014C6"/>
    <w:rsid w:val="00F038A5"/>
    <w:rsid w:val="00F04519"/>
    <w:rsid w:val="00F97DA4"/>
    <w:rsid w:val="00FD2118"/>
    <w:rsid w:val="00FE7C3B"/>
    <w:rsid w:val="00FF2812"/>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B3ED6D"/>
  <w15:docId w15:val="{44606133-DB2B-406F-B071-653DAF32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B3F"/>
    <w:pPr>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pPr>
      <w:ind w:left="2160" w:hanging="2160"/>
    </w:pPr>
    <w:rPr>
      <w:rFonts w:ascii="Arial Black" w:eastAsiaTheme="minorHAnsi" w:hAnsi="Arial Black" w:cstheme="minorBidi"/>
      <w:spacing w:val="-6"/>
      <w:w w:val="90"/>
      <w:kern w:val="40"/>
      <w:sz w:val="40"/>
      <w:szCs w:val="22"/>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pPr>
      <w:spacing w:after="120"/>
    </w:pPr>
    <w:rPr>
      <w:rFonts w:eastAsiaTheme="minorHAnsi" w:cstheme="minorBidi"/>
      <w:sz w:val="22"/>
      <w:szCs w:val="22"/>
    </w:rPr>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pPr>
      <w:spacing w:after="120"/>
      <w:ind w:left="2160"/>
    </w:pPr>
    <w:rPr>
      <w:rFonts w:eastAsiaTheme="minorHAnsi" w:cstheme="minorBidi"/>
      <w:b/>
      <w:sz w:val="24"/>
      <w:szCs w:val="22"/>
      <w:u w:val="single"/>
    </w:rPr>
  </w:style>
  <w:style w:type="paragraph" w:styleId="Header">
    <w:name w:val="header"/>
    <w:basedOn w:val="Normal"/>
    <w:link w:val="HeaderChar"/>
    <w:unhideWhenUsed/>
    <w:rsid w:val="005029D0"/>
    <w:pPr>
      <w:tabs>
        <w:tab w:val="center" w:pos="4680"/>
        <w:tab w:val="right" w:pos="9360"/>
      </w:tabs>
      <w:ind w:left="2160" w:hanging="2160"/>
    </w:pPr>
    <w:rPr>
      <w:rFonts w:eastAsiaTheme="minorHAnsi" w:cstheme="minorBidi"/>
      <w:sz w:val="22"/>
      <w:szCs w:val="22"/>
    </w:r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ind w:left="2160" w:hanging="2160"/>
    </w:pPr>
    <w:rPr>
      <w:rFonts w:eastAsiaTheme="minorHAnsi" w:cstheme="minorBidi"/>
      <w:sz w:val="22"/>
      <w:szCs w:val="22"/>
    </w:r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pPr>
      <w:ind w:left="2160" w:hanging="216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character" w:styleId="CommentReference">
    <w:name w:val="annotation reference"/>
    <w:basedOn w:val="DefaultParagraphFont"/>
    <w:uiPriority w:val="99"/>
    <w:semiHidden/>
    <w:unhideWhenUsed/>
    <w:rsid w:val="00216B3F"/>
    <w:rPr>
      <w:sz w:val="16"/>
      <w:szCs w:val="16"/>
    </w:rPr>
  </w:style>
  <w:style w:type="paragraph" w:styleId="CommentText">
    <w:name w:val="annotation text"/>
    <w:basedOn w:val="Normal"/>
    <w:link w:val="CommentTextChar"/>
    <w:uiPriority w:val="99"/>
    <w:unhideWhenUsed/>
    <w:rsid w:val="00216B3F"/>
  </w:style>
  <w:style w:type="character" w:customStyle="1" w:styleId="CommentTextChar">
    <w:name w:val="Comment Text Char"/>
    <w:basedOn w:val="DefaultParagraphFont"/>
    <w:link w:val="CommentText"/>
    <w:uiPriority w:val="99"/>
    <w:rsid w:val="00216B3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6B3F"/>
    <w:rPr>
      <w:rFonts w:ascii="Times New Roman" w:hAnsi="Times New Roman" w:cs="Times New Roman" w:hint="default"/>
      <w:color w:val="0000FF"/>
      <w:u w:val="single"/>
    </w:rPr>
  </w:style>
  <w:style w:type="paragraph" w:styleId="ListParagraph">
    <w:name w:val="List Paragraph"/>
    <w:basedOn w:val="Normal"/>
    <w:uiPriority w:val="34"/>
    <w:qFormat/>
    <w:rsid w:val="0007130C"/>
    <w:pPr>
      <w:ind w:left="720"/>
    </w:pPr>
    <w:rPr>
      <w:rFonts w:ascii="Calibri" w:eastAsiaTheme="minorHAnsi" w:hAnsi="Calibri"/>
      <w:sz w:val="22"/>
      <w:szCs w:val="22"/>
    </w:rPr>
  </w:style>
  <w:style w:type="paragraph" w:styleId="CommentSubject">
    <w:name w:val="annotation subject"/>
    <w:basedOn w:val="CommentText"/>
    <w:next w:val="CommentText"/>
    <w:link w:val="CommentSubjectChar"/>
    <w:uiPriority w:val="99"/>
    <w:semiHidden/>
    <w:unhideWhenUsed/>
    <w:rsid w:val="002C5310"/>
    <w:rPr>
      <w:b/>
      <w:bCs/>
    </w:rPr>
  </w:style>
  <w:style w:type="character" w:customStyle="1" w:styleId="CommentSubjectChar">
    <w:name w:val="Comment Subject Char"/>
    <w:basedOn w:val="CommentTextChar"/>
    <w:link w:val="CommentSubject"/>
    <w:uiPriority w:val="99"/>
    <w:semiHidden/>
    <w:rsid w:val="002C5310"/>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585E80"/>
    <w:pPr>
      <w:spacing w:after="120"/>
    </w:pPr>
  </w:style>
  <w:style w:type="character" w:customStyle="1" w:styleId="BodyTextChar">
    <w:name w:val="Body Text Char"/>
    <w:basedOn w:val="DefaultParagraphFont"/>
    <w:link w:val="BodyText"/>
    <w:uiPriority w:val="99"/>
    <w:rsid w:val="00585E8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7772">
      <w:bodyDiv w:val="1"/>
      <w:marLeft w:val="0"/>
      <w:marRight w:val="0"/>
      <w:marTop w:val="0"/>
      <w:marBottom w:val="0"/>
      <w:divBdr>
        <w:top w:val="none" w:sz="0" w:space="0" w:color="auto"/>
        <w:left w:val="none" w:sz="0" w:space="0" w:color="auto"/>
        <w:bottom w:val="none" w:sz="0" w:space="0" w:color="auto"/>
        <w:right w:val="none" w:sz="0" w:space="0" w:color="auto"/>
      </w:divBdr>
    </w:div>
    <w:div w:id="338696713">
      <w:bodyDiv w:val="1"/>
      <w:marLeft w:val="0"/>
      <w:marRight w:val="0"/>
      <w:marTop w:val="0"/>
      <w:marBottom w:val="0"/>
      <w:divBdr>
        <w:top w:val="none" w:sz="0" w:space="0" w:color="auto"/>
        <w:left w:val="none" w:sz="0" w:space="0" w:color="auto"/>
        <w:bottom w:val="none" w:sz="0" w:space="0" w:color="auto"/>
        <w:right w:val="none" w:sz="0" w:space="0" w:color="auto"/>
      </w:divBdr>
    </w:div>
    <w:div w:id="692653478">
      <w:bodyDiv w:val="1"/>
      <w:marLeft w:val="0"/>
      <w:marRight w:val="0"/>
      <w:marTop w:val="0"/>
      <w:marBottom w:val="0"/>
      <w:divBdr>
        <w:top w:val="none" w:sz="0" w:space="0" w:color="auto"/>
        <w:left w:val="none" w:sz="0" w:space="0" w:color="auto"/>
        <w:bottom w:val="none" w:sz="0" w:space="0" w:color="auto"/>
        <w:right w:val="none" w:sz="0" w:space="0" w:color="auto"/>
      </w:divBdr>
    </w:div>
    <w:div w:id="91844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8C085-EAE8-42F2-AA79-D04EE0B6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Thiessen</dc:creator>
  <cp:lastModifiedBy>THIESSEN Kenneth * DEQ</cp:lastModifiedBy>
  <cp:revision>64</cp:revision>
  <cp:lastPrinted>2016-03-08T00:36:00Z</cp:lastPrinted>
  <dcterms:created xsi:type="dcterms:W3CDTF">2016-03-08T19:12:00Z</dcterms:created>
  <dcterms:modified xsi:type="dcterms:W3CDTF">2023-10-17T16:07:00Z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2023-10-16T18:39:30Z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39948dcd-f012-49d8-a400-890795cfc4f3</vt:lpwstr>
  </property>
  <property fmtid="{D5CDD505-2E9C-101B-9397-08002B2CF9AE}" pid="8" name="MSIP_Label_09b73270-2993-4076-be47-9c78f42a1e84_ContentBits">
    <vt:lpwstr>0</vt:lpwstr>
  </property>
</Properties>
</file>