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0C" w:rsidRDefault="00A10FEF" w:rsidP="0007130C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March 16, 2021</w:t>
      </w:r>
    </w:p>
    <w:p w:rsidR="0007130C" w:rsidRDefault="0007130C" w:rsidP="00E645A3">
      <w:pPr>
        <w:spacing w:line="264" w:lineRule="auto"/>
        <w:rPr>
          <w:sz w:val="22"/>
          <w:szCs w:val="22"/>
        </w:rPr>
      </w:pPr>
    </w:p>
    <w:p w:rsidR="00031DCA" w:rsidRPr="00B41539" w:rsidRDefault="00031DCA" w:rsidP="00E645A3">
      <w:pPr>
        <w:spacing w:line="264" w:lineRule="auto"/>
        <w:rPr>
          <w:sz w:val="22"/>
          <w:szCs w:val="22"/>
        </w:rPr>
      </w:pPr>
    </w:p>
    <w:p w:rsidR="00A24B41" w:rsidRPr="00A24B41" w:rsidRDefault="00A24B41" w:rsidP="00A24B41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Deborah Taege</w:t>
      </w:r>
      <w:r w:rsidR="008A48E4">
        <w:rPr>
          <w:sz w:val="22"/>
          <w:szCs w:val="22"/>
        </w:rPr>
        <w:t>, Remediation Program Manager</w:t>
      </w:r>
      <w:r>
        <w:rPr>
          <w:sz w:val="22"/>
          <w:szCs w:val="22"/>
        </w:rPr>
        <w:t xml:space="preserve"> </w:t>
      </w:r>
      <w:r w:rsidRPr="00A24B41">
        <w:rPr>
          <w:sz w:val="22"/>
          <w:szCs w:val="22"/>
        </w:rPr>
        <w:t></w:t>
      </w:r>
    </w:p>
    <w:p w:rsidR="00A24B41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The Boeing Company</w:t>
      </w:r>
    </w:p>
    <w:p w:rsidR="00A24B41" w:rsidRPr="00A24B41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Bldg. 10-20, MC 9U4-26</w:t>
      </w:r>
    </w:p>
    <w:p w:rsidR="00A24B41" w:rsidRPr="00A24B41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800 N 6th Street</w:t>
      </w:r>
    </w:p>
    <w:p w:rsidR="00FD4AD9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Renton, WA   98055-1409</w:t>
      </w:r>
    </w:p>
    <w:p w:rsidR="00A24B41" w:rsidRPr="00B41539" w:rsidRDefault="00A24B41" w:rsidP="00A24B41">
      <w:pPr>
        <w:spacing w:line="264" w:lineRule="auto"/>
        <w:rPr>
          <w:sz w:val="22"/>
          <w:szCs w:val="22"/>
        </w:rPr>
      </w:pPr>
    </w:p>
    <w:p w:rsidR="00FD4AD9" w:rsidRPr="00B41539" w:rsidRDefault="00FD4AD9" w:rsidP="00A24B41">
      <w:pPr>
        <w:autoSpaceDE w:val="0"/>
        <w:autoSpaceDN w:val="0"/>
        <w:adjustRightInd w:val="0"/>
        <w:ind w:left="720" w:hanging="720"/>
        <w:rPr>
          <w:b/>
          <w:sz w:val="22"/>
          <w:szCs w:val="22"/>
        </w:rPr>
      </w:pPr>
      <w:r w:rsidRPr="00B41539">
        <w:rPr>
          <w:b/>
          <w:sz w:val="22"/>
          <w:szCs w:val="22"/>
        </w:rPr>
        <w:t xml:space="preserve">RE: </w:t>
      </w:r>
      <w:r w:rsidRPr="00B41539">
        <w:rPr>
          <w:b/>
          <w:sz w:val="22"/>
          <w:szCs w:val="22"/>
        </w:rPr>
        <w:tab/>
      </w:r>
      <w:r w:rsidR="00A24B41">
        <w:rPr>
          <w:rFonts w:ascii="Cambria" w:eastAsiaTheme="minorHAnsi" w:hAnsi="Cambria" w:cs="Cambria"/>
          <w:b/>
          <w:sz w:val="22"/>
          <w:szCs w:val="22"/>
          <w:lang w:val="en-ZW"/>
        </w:rPr>
        <w:t>Request for Reconnaissance-level groundwater sampling for 1, 4-Dioxane at Boeing Portland facility. ECSI #13</w:t>
      </w:r>
    </w:p>
    <w:p w:rsidR="00FD4AD9" w:rsidRPr="00B41539" w:rsidRDefault="00FD4AD9" w:rsidP="00FD4AD9">
      <w:pPr>
        <w:spacing w:line="264" w:lineRule="auto"/>
        <w:rPr>
          <w:sz w:val="22"/>
          <w:szCs w:val="22"/>
        </w:rPr>
      </w:pPr>
    </w:p>
    <w:p w:rsidR="00FD4AD9" w:rsidRPr="00B41539" w:rsidRDefault="00FD4AD9" w:rsidP="00FD4AD9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 xml:space="preserve">Dear Ms. </w:t>
      </w:r>
      <w:r w:rsidR="00A24B41">
        <w:rPr>
          <w:sz w:val="22"/>
          <w:szCs w:val="22"/>
        </w:rPr>
        <w:t>Taege</w:t>
      </w:r>
      <w:r w:rsidRPr="00B41539">
        <w:rPr>
          <w:sz w:val="22"/>
          <w:szCs w:val="22"/>
        </w:rPr>
        <w:t>,</w:t>
      </w:r>
    </w:p>
    <w:p w:rsidR="00FD4AD9" w:rsidRPr="00B41539" w:rsidRDefault="00FD4AD9" w:rsidP="00FD4AD9">
      <w:pPr>
        <w:spacing w:line="264" w:lineRule="auto"/>
        <w:rPr>
          <w:sz w:val="22"/>
          <w:szCs w:val="22"/>
        </w:rPr>
      </w:pPr>
    </w:p>
    <w:p w:rsidR="008A48E4" w:rsidRDefault="008A48E4" w:rsidP="00B53634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Thank you for our recent conversation on the sampling of 1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>-Dioxane in groundwater at the Boeing of Portland facility. As we discussed, t</w:t>
      </w:r>
      <w:r w:rsidR="00FD4AD9" w:rsidRPr="00B41539">
        <w:rPr>
          <w:sz w:val="22"/>
          <w:szCs w:val="22"/>
        </w:rPr>
        <w:t xml:space="preserve">he Oregon Department of Environmental Quality (DEQ) </w:t>
      </w:r>
      <w:r>
        <w:rPr>
          <w:sz w:val="22"/>
          <w:szCs w:val="22"/>
        </w:rPr>
        <w:t>in interested in understanding if this chemical</w:t>
      </w:r>
      <w:r w:rsidR="007D678A">
        <w:rPr>
          <w:sz w:val="22"/>
          <w:szCs w:val="22"/>
        </w:rPr>
        <w:t>, a solvent stabilizer known to be present in both 1</w:t>
      </w:r>
      <w:proofErr w:type="gramStart"/>
      <w:r w:rsidR="007D678A">
        <w:rPr>
          <w:sz w:val="22"/>
          <w:szCs w:val="22"/>
        </w:rPr>
        <w:t>,1,1</w:t>
      </w:r>
      <w:proofErr w:type="gramEnd"/>
      <w:r w:rsidR="007D678A">
        <w:rPr>
          <w:sz w:val="22"/>
          <w:szCs w:val="22"/>
        </w:rPr>
        <w:t>-TCA and TCE formulations,</w:t>
      </w:r>
      <w:r>
        <w:rPr>
          <w:sz w:val="22"/>
          <w:szCs w:val="22"/>
        </w:rPr>
        <w:t xml:space="preserve"> is present in groundwater at </w:t>
      </w:r>
      <w:r w:rsidR="00B64980">
        <w:rPr>
          <w:sz w:val="22"/>
          <w:szCs w:val="22"/>
        </w:rPr>
        <w:t>the</w:t>
      </w:r>
      <w:r>
        <w:rPr>
          <w:sz w:val="22"/>
          <w:szCs w:val="22"/>
        </w:rPr>
        <w:t xml:space="preserve"> site. Please provide DEQ with a brief workplan describing the choice of wells to be sampled as well as groundwater sampling and analytical methods. </w:t>
      </w:r>
      <w:r w:rsidR="00FD4AD9" w:rsidRPr="00B415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From our meeting, please plan to sample an upgradient well, relative to the known </w:t>
      </w:r>
      <w:r w:rsidR="00383380">
        <w:rPr>
          <w:sz w:val="22"/>
          <w:szCs w:val="22"/>
        </w:rPr>
        <w:t>VOC-</w:t>
      </w:r>
      <w:r>
        <w:rPr>
          <w:sz w:val="22"/>
          <w:szCs w:val="22"/>
        </w:rPr>
        <w:t>contaminated wells slated for sampling, to represent a background condition. 1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-Dioxane is a regulated chemical with a risk-based </w:t>
      </w:r>
      <w:r w:rsidR="00383380">
        <w:rPr>
          <w:sz w:val="22"/>
          <w:szCs w:val="22"/>
        </w:rPr>
        <w:t>cleanup standard in the S</w:t>
      </w:r>
      <w:r>
        <w:rPr>
          <w:sz w:val="22"/>
          <w:szCs w:val="22"/>
        </w:rPr>
        <w:t xml:space="preserve">tate of Oregon. </w:t>
      </w:r>
      <w:r w:rsidR="007D678A">
        <w:rPr>
          <w:sz w:val="22"/>
          <w:szCs w:val="22"/>
        </w:rPr>
        <w:t xml:space="preserve">Our expectation is that a subset of groundwater monitoring wells with historical TCE impacts will be included in the investigation effort, including both the TGA and TSA </w:t>
      </w:r>
      <w:r w:rsidR="00031DCA">
        <w:rPr>
          <w:sz w:val="22"/>
          <w:szCs w:val="22"/>
        </w:rPr>
        <w:t>aquifers.</w:t>
      </w:r>
      <w:bookmarkStart w:id="0" w:name="_GoBack"/>
      <w:bookmarkEnd w:id="0"/>
    </w:p>
    <w:p w:rsidR="007C05C5" w:rsidRPr="00B41539" w:rsidRDefault="007C05C5" w:rsidP="00B5363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:rsidR="00CB7E30" w:rsidRDefault="007D678A" w:rsidP="00B5363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  <w:r>
        <w:rPr>
          <w:rFonts w:eastAsiaTheme="minorHAnsi"/>
          <w:bCs/>
          <w:sz w:val="22"/>
          <w:szCs w:val="22"/>
          <w:lang w:val="en-ZW"/>
        </w:rPr>
        <w:t xml:space="preserve">We will complete expedited review of the workplan to facilitate completion of sampling as soon as is possible.  </w:t>
      </w:r>
      <w:r w:rsidR="00B64980">
        <w:rPr>
          <w:rFonts w:eastAsiaTheme="minorHAnsi"/>
          <w:bCs/>
          <w:sz w:val="22"/>
          <w:szCs w:val="22"/>
          <w:lang w:val="en-ZW"/>
        </w:rPr>
        <w:t xml:space="preserve">Following </w:t>
      </w:r>
      <w:r>
        <w:rPr>
          <w:rFonts w:eastAsiaTheme="minorHAnsi"/>
          <w:bCs/>
          <w:sz w:val="22"/>
          <w:szCs w:val="22"/>
          <w:lang w:val="en-ZW"/>
        </w:rPr>
        <w:t xml:space="preserve">sampling and </w:t>
      </w:r>
      <w:r w:rsidR="00B64980">
        <w:rPr>
          <w:rFonts w:eastAsiaTheme="minorHAnsi"/>
          <w:bCs/>
          <w:sz w:val="22"/>
          <w:szCs w:val="22"/>
          <w:lang w:val="en-ZW"/>
        </w:rPr>
        <w:t xml:space="preserve">receipt of lab reports, DEQ requests a </w:t>
      </w:r>
      <w:r w:rsidR="00CB7E30">
        <w:rPr>
          <w:rFonts w:eastAsiaTheme="minorHAnsi"/>
          <w:bCs/>
          <w:sz w:val="22"/>
          <w:szCs w:val="22"/>
          <w:lang w:val="en-ZW"/>
        </w:rPr>
        <w:t xml:space="preserve">brief letter report </w:t>
      </w:r>
      <w:r w:rsidR="00B64980">
        <w:rPr>
          <w:rFonts w:eastAsiaTheme="minorHAnsi"/>
          <w:bCs/>
          <w:sz w:val="22"/>
          <w:szCs w:val="22"/>
          <w:lang w:val="en-ZW"/>
        </w:rPr>
        <w:t>summarizing sampling</w:t>
      </w:r>
      <w:r w:rsidR="00CB7E30">
        <w:rPr>
          <w:rFonts w:eastAsiaTheme="minorHAnsi"/>
          <w:bCs/>
          <w:sz w:val="22"/>
          <w:szCs w:val="22"/>
          <w:lang w:val="en-ZW"/>
        </w:rPr>
        <w:t xml:space="preserve"> </w:t>
      </w:r>
      <w:r w:rsidR="00B64980">
        <w:rPr>
          <w:rFonts w:eastAsiaTheme="minorHAnsi"/>
          <w:bCs/>
          <w:sz w:val="22"/>
          <w:szCs w:val="22"/>
          <w:lang w:val="en-ZW"/>
        </w:rPr>
        <w:t>activities and analytical results.</w:t>
      </w:r>
      <w:r>
        <w:rPr>
          <w:rFonts w:eastAsiaTheme="minorHAnsi"/>
          <w:bCs/>
          <w:sz w:val="22"/>
          <w:szCs w:val="22"/>
          <w:lang w:val="en-ZW"/>
        </w:rPr>
        <w:t xml:space="preserve">  After review of the results, a determination </w:t>
      </w:r>
      <w:proofErr w:type="gramStart"/>
      <w:r>
        <w:rPr>
          <w:rFonts w:eastAsiaTheme="minorHAnsi"/>
          <w:bCs/>
          <w:sz w:val="22"/>
          <w:szCs w:val="22"/>
          <w:lang w:val="en-ZW"/>
        </w:rPr>
        <w:t>will be made</w:t>
      </w:r>
      <w:proofErr w:type="gramEnd"/>
      <w:r>
        <w:rPr>
          <w:rFonts w:eastAsiaTheme="minorHAnsi"/>
          <w:bCs/>
          <w:sz w:val="22"/>
          <w:szCs w:val="22"/>
          <w:lang w:val="en-ZW"/>
        </w:rPr>
        <w:t xml:space="preserve"> as to whether any additional sampling is necessary.</w:t>
      </w:r>
    </w:p>
    <w:p w:rsidR="00CB7E30" w:rsidRDefault="00CB7E30" w:rsidP="00B5363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:rsidR="00B53634" w:rsidRPr="00B41539" w:rsidRDefault="006A7F27" w:rsidP="00B53634">
      <w:pPr>
        <w:spacing w:line="264" w:lineRule="auto"/>
        <w:rPr>
          <w:sz w:val="22"/>
          <w:szCs w:val="22"/>
        </w:rPr>
      </w:pPr>
      <w:r>
        <w:rPr>
          <w:rFonts w:eastAsiaTheme="minorHAnsi"/>
          <w:bCs/>
          <w:sz w:val="22"/>
          <w:szCs w:val="22"/>
          <w:lang w:val="en-ZW"/>
        </w:rPr>
        <w:t>If you have any questions, please contact me.</w:t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Sincerely,</w:t>
      </w:r>
    </w:p>
    <w:p w:rsidR="003771A4" w:rsidRPr="00B41539" w:rsidRDefault="003771A4" w:rsidP="0007130C">
      <w:pPr>
        <w:spacing w:line="264" w:lineRule="auto"/>
        <w:rPr>
          <w:sz w:val="22"/>
          <w:szCs w:val="22"/>
        </w:rPr>
      </w:pPr>
      <w:r w:rsidRPr="003771A4">
        <w:rPr>
          <w:noProof/>
          <w:lang w:val="en-ZW" w:eastAsia="en-ZW"/>
        </w:rPr>
        <w:drawing>
          <wp:inline distT="0" distB="0" distL="0" distR="0" wp14:anchorId="20191A32" wp14:editId="7E0EA655">
            <wp:extent cx="2125244" cy="7553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43" cy="7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Kenneth Thiessen</w:t>
      </w:r>
      <w:r w:rsidR="00B53634" w:rsidRPr="00B41539">
        <w:rPr>
          <w:sz w:val="22"/>
          <w:szCs w:val="22"/>
        </w:rPr>
        <w:t>,</w:t>
      </w:r>
      <w:r w:rsidRPr="00B41539">
        <w:rPr>
          <w:sz w:val="22"/>
          <w:szCs w:val="22"/>
        </w:rPr>
        <w:t xml:space="preserve"> CEG</w:t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Northwest Region Cleanup Section</w:t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</w:p>
    <w:p w:rsidR="008A48E4" w:rsidRDefault="00F04519" w:rsidP="008A48E4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cc:</w:t>
      </w:r>
      <w:r w:rsidRPr="00B41539">
        <w:rPr>
          <w:sz w:val="22"/>
          <w:szCs w:val="22"/>
        </w:rPr>
        <w:tab/>
      </w:r>
      <w:r w:rsidR="008A48E4">
        <w:rPr>
          <w:sz w:val="22"/>
          <w:szCs w:val="22"/>
        </w:rPr>
        <w:t>Evelyn Ives, Landau Associates</w:t>
      </w:r>
    </w:p>
    <w:p w:rsidR="000817A7" w:rsidRPr="008A48E4" w:rsidRDefault="008A48E4" w:rsidP="008A48E4">
      <w:pPr>
        <w:spacing w:line="264" w:lineRule="auto"/>
        <w:ind w:firstLine="720"/>
        <w:rPr>
          <w:rFonts w:eastAsiaTheme="minorHAnsi"/>
          <w:bCs/>
          <w:sz w:val="22"/>
          <w:szCs w:val="22"/>
          <w:lang w:val="en-ZW"/>
        </w:rPr>
      </w:pPr>
      <w:r>
        <w:rPr>
          <w:sz w:val="22"/>
          <w:szCs w:val="22"/>
        </w:rPr>
        <w:t>Dan Hafley, DEQ NWR</w:t>
      </w:r>
    </w:p>
    <w:p w:rsidR="0007130C" w:rsidRPr="00B41539" w:rsidRDefault="008A48E4" w:rsidP="000817A7">
      <w:pPr>
        <w:spacing w:line="264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ECSI #13</w:t>
      </w:r>
    </w:p>
    <w:p w:rsidR="005029D0" w:rsidRPr="00B53634" w:rsidRDefault="005029D0" w:rsidP="006A7F27">
      <w:pPr>
        <w:widowControl w:val="0"/>
        <w:spacing w:before="120" w:after="80"/>
        <w:rPr>
          <w:sz w:val="24"/>
          <w:szCs w:val="24"/>
        </w:rPr>
      </w:pPr>
    </w:p>
    <w:sectPr w:rsidR="005029D0" w:rsidRPr="00B53634" w:rsidSect="00A35362">
      <w:headerReference w:type="first" r:id="rId8"/>
      <w:pgSz w:w="12240" w:h="15840" w:code="1"/>
      <w:pgMar w:top="1310" w:right="1440" w:bottom="81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2F" w:rsidRDefault="00B33D2F">
      <w:r>
        <w:separator/>
      </w:r>
    </w:p>
  </w:endnote>
  <w:endnote w:type="continuationSeparator" w:id="0">
    <w:p w:rsidR="00B33D2F" w:rsidRDefault="00B3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2F" w:rsidRDefault="00B33D2F">
      <w:r>
        <w:separator/>
      </w:r>
    </w:p>
  </w:footnote>
  <w:footnote w:type="continuationSeparator" w:id="0">
    <w:p w:rsidR="00B33D2F" w:rsidRDefault="00B3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 wp14:anchorId="708F17AD" wp14:editId="3C8C4C06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17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 wp14:anchorId="6D4D458A" wp14:editId="4871A449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4534E5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  <w:lang w:val="en-ZW" w:eastAsia="en-Z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AB866C0" wp14:editId="1F4AB29D">
              <wp:simplePos x="0" y="0"/>
              <wp:positionH relativeFrom="column">
                <wp:posOffset>3689350</wp:posOffset>
              </wp:positionH>
              <wp:positionV relativeFrom="paragraph">
                <wp:posOffset>78105</wp:posOffset>
              </wp:positionV>
              <wp:extent cx="2774950" cy="231140"/>
              <wp:effectExtent l="3175" t="1905" r="317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80F6B" id="Rectangle 1" o:spid="_x0000_s1026" style="position:absolute;margin-left:290.5pt;margin-top:6.15pt;width:218.5pt;height:1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9GfAIAAPs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" stroked="f"/>
          </w:pict>
        </mc:Fallback>
      </mc:AlternateConten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0E"/>
    <w:rsid w:val="00031DCA"/>
    <w:rsid w:val="000369DF"/>
    <w:rsid w:val="0007130C"/>
    <w:rsid w:val="000817A7"/>
    <w:rsid w:val="000819A5"/>
    <w:rsid w:val="0008525C"/>
    <w:rsid w:val="000C6492"/>
    <w:rsid w:val="00144302"/>
    <w:rsid w:val="001630E9"/>
    <w:rsid w:val="0018360E"/>
    <w:rsid w:val="001A2041"/>
    <w:rsid w:val="001A61CB"/>
    <w:rsid w:val="001C3AB3"/>
    <w:rsid w:val="001D0EA0"/>
    <w:rsid w:val="00215294"/>
    <w:rsid w:val="00216B3F"/>
    <w:rsid w:val="00227F8C"/>
    <w:rsid w:val="00231D0E"/>
    <w:rsid w:val="002C5310"/>
    <w:rsid w:val="003129EB"/>
    <w:rsid w:val="00320A63"/>
    <w:rsid w:val="003771A4"/>
    <w:rsid w:val="00383380"/>
    <w:rsid w:val="00394F4E"/>
    <w:rsid w:val="004053C6"/>
    <w:rsid w:val="00432AE0"/>
    <w:rsid w:val="00442032"/>
    <w:rsid w:val="00452E8E"/>
    <w:rsid w:val="00453011"/>
    <w:rsid w:val="004534E5"/>
    <w:rsid w:val="00492DAA"/>
    <w:rsid w:val="005029D0"/>
    <w:rsid w:val="005218CD"/>
    <w:rsid w:val="00535646"/>
    <w:rsid w:val="005524E0"/>
    <w:rsid w:val="005734CB"/>
    <w:rsid w:val="00573579"/>
    <w:rsid w:val="005A5A35"/>
    <w:rsid w:val="005B02CC"/>
    <w:rsid w:val="005C3EB5"/>
    <w:rsid w:val="005F1D9E"/>
    <w:rsid w:val="00636083"/>
    <w:rsid w:val="00662B0F"/>
    <w:rsid w:val="00663FEB"/>
    <w:rsid w:val="006A7F27"/>
    <w:rsid w:val="006C1178"/>
    <w:rsid w:val="006C7430"/>
    <w:rsid w:val="006E2794"/>
    <w:rsid w:val="00712124"/>
    <w:rsid w:val="00742032"/>
    <w:rsid w:val="007A1C3E"/>
    <w:rsid w:val="007C05C5"/>
    <w:rsid w:val="007D678A"/>
    <w:rsid w:val="0082599D"/>
    <w:rsid w:val="008673F3"/>
    <w:rsid w:val="008734B6"/>
    <w:rsid w:val="00887BE0"/>
    <w:rsid w:val="00894850"/>
    <w:rsid w:val="008A48E4"/>
    <w:rsid w:val="008C41C6"/>
    <w:rsid w:val="00934745"/>
    <w:rsid w:val="00957402"/>
    <w:rsid w:val="009861F8"/>
    <w:rsid w:val="009C7FB4"/>
    <w:rsid w:val="00A10FEF"/>
    <w:rsid w:val="00A24B41"/>
    <w:rsid w:val="00A35362"/>
    <w:rsid w:val="00A52D24"/>
    <w:rsid w:val="00A741B6"/>
    <w:rsid w:val="00A741F1"/>
    <w:rsid w:val="00AD284E"/>
    <w:rsid w:val="00AE6A44"/>
    <w:rsid w:val="00AF1AC4"/>
    <w:rsid w:val="00AF2D53"/>
    <w:rsid w:val="00B07DC3"/>
    <w:rsid w:val="00B20C10"/>
    <w:rsid w:val="00B33D2F"/>
    <w:rsid w:val="00B41539"/>
    <w:rsid w:val="00B53634"/>
    <w:rsid w:val="00B6058C"/>
    <w:rsid w:val="00B64980"/>
    <w:rsid w:val="00BA2157"/>
    <w:rsid w:val="00BF4F5B"/>
    <w:rsid w:val="00C31315"/>
    <w:rsid w:val="00C436F0"/>
    <w:rsid w:val="00C625D6"/>
    <w:rsid w:val="00C66C4C"/>
    <w:rsid w:val="00C70995"/>
    <w:rsid w:val="00C90B27"/>
    <w:rsid w:val="00CB7E30"/>
    <w:rsid w:val="00D20FDE"/>
    <w:rsid w:val="00D30932"/>
    <w:rsid w:val="00D463D5"/>
    <w:rsid w:val="00D62C0F"/>
    <w:rsid w:val="00D646FA"/>
    <w:rsid w:val="00D80FBC"/>
    <w:rsid w:val="00DA5A46"/>
    <w:rsid w:val="00DE3937"/>
    <w:rsid w:val="00E04940"/>
    <w:rsid w:val="00E06EFC"/>
    <w:rsid w:val="00E645A3"/>
    <w:rsid w:val="00E95C00"/>
    <w:rsid w:val="00EB76DF"/>
    <w:rsid w:val="00ED61B6"/>
    <w:rsid w:val="00F04519"/>
    <w:rsid w:val="00F11AD7"/>
    <w:rsid w:val="00F97DA4"/>
    <w:rsid w:val="00FD4AD9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E7DF15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5</cp:revision>
  <cp:lastPrinted>2016-03-08T00:36:00Z</cp:lastPrinted>
  <dcterms:created xsi:type="dcterms:W3CDTF">2021-03-16T21:57:00Z</dcterms:created>
  <dcterms:modified xsi:type="dcterms:W3CDTF">2021-03-18T00:28:00Z</dcterms:modified>
</cp:coreProperties>
</file>