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D5E80" w14:textId="77777777" w:rsidR="005029D0" w:rsidRDefault="005029D0" w:rsidP="00963F00"/>
    <w:p w14:paraId="0C334D51" w14:textId="77777777" w:rsidR="00963F00" w:rsidRDefault="00963F00" w:rsidP="00963F00">
      <w:pPr>
        <w:rPr>
          <w:sz w:val="24"/>
          <w:szCs w:val="24"/>
        </w:rPr>
      </w:pPr>
      <w:r w:rsidRPr="001F7EF8">
        <w:rPr>
          <w:sz w:val="24"/>
          <w:szCs w:val="24"/>
        </w:rPr>
        <w:t>January 17, 2025</w:t>
      </w:r>
    </w:p>
    <w:p w14:paraId="2729D599" w14:textId="77777777" w:rsidR="00963F00" w:rsidRDefault="00963F00" w:rsidP="00963F00">
      <w:pPr>
        <w:rPr>
          <w:sz w:val="24"/>
          <w:szCs w:val="24"/>
        </w:rPr>
      </w:pPr>
      <w:r>
        <w:rPr>
          <w:sz w:val="24"/>
          <w:szCs w:val="24"/>
        </w:rPr>
        <w:t xml:space="preserve">Summary of January 15, 2025, Video Meeting with Gerber Team and DEQ, Jim Orr DEQ </w:t>
      </w:r>
      <w:r>
        <w:rPr>
          <w:sz w:val="24"/>
          <w:szCs w:val="24"/>
        </w:rPr>
        <w:br/>
        <w:t>3:00 to 4:00 Pm</w:t>
      </w:r>
      <w:r>
        <w:rPr>
          <w:sz w:val="24"/>
          <w:szCs w:val="24"/>
        </w:rPr>
        <w:br/>
        <w:t>Attending the Meeting:</w:t>
      </w:r>
      <w:r>
        <w:rPr>
          <w:sz w:val="24"/>
          <w:szCs w:val="24"/>
        </w:rPr>
        <w:br/>
        <w:t xml:space="preserve">Jeannette Schuster (JS)-Gerber Attorney, Joe Gerber (JG)-Site Owner, Kurt Harrington, </w:t>
      </w:r>
      <w:r>
        <w:rPr>
          <w:sz w:val="24"/>
          <w:szCs w:val="24"/>
        </w:rPr>
        <w:br/>
        <w:t>Kurt Harrington (KH)-Gerber Consultant, Aaron Fredericy (AF)-Gerber Consultant,</w:t>
      </w:r>
      <w:r>
        <w:rPr>
          <w:sz w:val="24"/>
          <w:szCs w:val="24"/>
        </w:rPr>
        <w:br/>
        <w:t>Amanda Wozab (AW)-DEQ, Gary Vrooman (GV)-DEQ Attorney, Jim Orr (JO)-DEQ</w:t>
      </w:r>
    </w:p>
    <w:p w14:paraId="0AF418C4" w14:textId="77777777" w:rsidR="00963F00" w:rsidRDefault="00963F00" w:rsidP="00963F00">
      <w:pPr>
        <w:rPr>
          <w:sz w:val="24"/>
          <w:szCs w:val="24"/>
        </w:rPr>
      </w:pPr>
      <w:r>
        <w:rPr>
          <w:sz w:val="24"/>
          <w:szCs w:val="24"/>
        </w:rPr>
        <w:t xml:space="preserve">JS reviewed Gerber’s understanding of the 2023 strategy recommendation. </w:t>
      </w:r>
    </w:p>
    <w:p w14:paraId="5166C3EF" w14:textId="77777777" w:rsidR="00963F00" w:rsidRDefault="00963F00" w:rsidP="00963F00">
      <w:pPr>
        <w:rPr>
          <w:sz w:val="24"/>
          <w:szCs w:val="24"/>
        </w:rPr>
      </w:pPr>
      <w:r>
        <w:rPr>
          <w:sz w:val="24"/>
          <w:szCs w:val="24"/>
        </w:rPr>
        <w:t>JO stated that the groundwater plume was the responsibility of both Gerber and Williams Controls because both sites contributed to groundwater contamination that moved to the creek. GV stated that liability for a shared groundwater plume is joint and several (i.e., shared by both sites contributing to the plume).</w:t>
      </w:r>
    </w:p>
    <w:p w14:paraId="6E779285" w14:textId="77777777" w:rsidR="00963F00" w:rsidRDefault="00963F00" w:rsidP="00963F00">
      <w:pPr>
        <w:rPr>
          <w:sz w:val="24"/>
          <w:szCs w:val="24"/>
        </w:rPr>
      </w:pPr>
      <w:r>
        <w:rPr>
          <w:sz w:val="24"/>
          <w:szCs w:val="24"/>
        </w:rPr>
        <w:t>JS stated that Gerber's contribution to the groundwater plume was insignificant and that DEQ has asked Gerber to evaluate the ecologic risks screening without directing Williams Control to evaluate its contribution.</w:t>
      </w:r>
    </w:p>
    <w:p w14:paraId="7C3CEB54" w14:textId="77777777" w:rsidR="00963F00" w:rsidRDefault="00963F00" w:rsidP="00963F00">
      <w:pPr>
        <w:rPr>
          <w:sz w:val="24"/>
          <w:szCs w:val="24"/>
        </w:rPr>
      </w:pPr>
      <w:r>
        <w:rPr>
          <w:sz w:val="24"/>
          <w:szCs w:val="24"/>
        </w:rPr>
        <w:t>JO clarified that DEQ had asked Gerber and Williams Control to consider the groundwater pathway evaluation for the creek's ecological impact. DEQ is evaluating Gerber's ecological impact on the creek and will make a recommendation if further evaluation is needed. DEQ will postpone requests for ecological assessments from Gerber and Williams Controls until site conditions are determined.</w:t>
      </w:r>
    </w:p>
    <w:p w14:paraId="481CEED3" w14:textId="77777777" w:rsidR="00963F00" w:rsidRDefault="00963F00" w:rsidP="00963F00">
      <w:pPr>
        <w:rPr>
          <w:sz w:val="24"/>
          <w:szCs w:val="24"/>
        </w:rPr>
      </w:pPr>
      <w:r>
        <w:rPr>
          <w:sz w:val="24"/>
          <w:szCs w:val="24"/>
        </w:rPr>
        <w:t>KH stated that Gerber was not responsible for the additional groundwater evaluation requested in DEQ’s comments on the Focused Feasibility study. DEQ will address these concerns in the Focused Feasibility study the week of January 20, 2025.</w:t>
      </w:r>
    </w:p>
    <w:p w14:paraId="1902F17E" w14:textId="77777777" w:rsidR="00963F00" w:rsidRDefault="00963F00" w:rsidP="00963F00">
      <w:pPr>
        <w:rPr>
          <w:sz w:val="24"/>
          <w:szCs w:val="24"/>
        </w:rPr>
      </w:pPr>
    </w:p>
    <w:p w14:paraId="75F30F58" w14:textId="77777777" w:rsidR="00740495" w:rsidRPr="00B27BAE" w:rsidRDefault="00740495" w:rsidP="00740495">
      <w:pPr>
        <w:rPr>
          <w:rFonts w:ascii="Blackadder ITC" w:hAnsi="Blackadder ITC"/>
          <w:sz w:val="28"/>
          <w:szCs w:val="28"/>
        </w:rPr>
      </w:pPr>
      <w:r w:rsidRPr="00B27BAE">
        <w:rPr>
          <w:rFonts w:ascii="Blackadder ITC" w:hAnsi="Blackadder ITC"/>
          <w:sz w:val="28"/>
          <w:szCs w:val="28"/>
        </w:rPr>
        <w:t>Jim Orr</w:t>
      </w:r>
    </w:p>
    <w:p w14:paraId="19A1BD45" w14:textId="77777777" w:rsidR="00740495" w:rsidRDefault="00740495" w:rsidP="00963F00">
      <w:pPr>
        <w:rPr>
          <w:sz w:val="24"/>
          <w:szCs w:val="24"/>
        </w:rPr>
      </w:pPr>
    </w:p>
    <w:p w14:paraId="7B25E73E" w14:textId="527C7313" w:rsidR="00F4495E" w:rsidRDefault="00F4495E" w:rsidP="00963F00">
      <w:pPr>
        <w:rPr>
          <w:sz w:val="24"/>
          <w:szCs w:val="24"/>
        </w:rPr>
      </w:pPr>
      <w:r>
        <w:rPr>
          <w:sz w:val="24"/>
          <w:szCs w:val="24"/>
        </w:rPr>
        <w:t xml:space="preserve">Jim Orr, R.G. DEQ Project </w:t>
      </w:r>
      <w:r w:rsidR="00740495">
        <w:rPr>
          <w:sz w:val="24"/>
          <w:szCs w:val="24"/>
        </w:rPr>
        <w:t>Manager</w:t>
      </w:r>
    </w:p>
    <w:p w14:paraId="374AD398" w14:textId="77777777" w:rsidR="00F4495E" w:rsidRDefault="00F4495E" w:rsidP="00963F00">
      <w:pPr>
        <w:rPr>
          <w:sz w:val="24"/>
          <w:szCs w:val="24"/>
        </w:rPr>
      </w:pPr>
    </w:p>
    <w:p w14:paraId="0F5260A3" w14:textId="77777777" w:rsidR="00963F00" w:rsidRPr="00963F00" w:rsidRDefault="00963F00" w:rsidP="00963F00"/>
    <w:sectPr w:rsidR="00963F00" w:rsidRPr="00963F00" w:rsidSect="00670AC7">
      <w:headerReference w:type="default" r:id="rId7"/>
      <w:headerReference w:type="first" r:id="rId8"/>
      <w:pgSz w:w="12240" w:h="15840" w:code="1"/>
      <w:pgMar w:top="1310" w:right="1440" w:bottom="810" w:left="1440"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1A8A7" w14:textId="77777777" w:rsidR="002B67DC" w:rsidRDefault="002B67DC">
      <w:r>
        <w:separator/>
      </w:r>
    </w:p>
  </w:endnote>
  <w:endnote w:type="continuationSeparator" w:id="0">
    <w:p w14:paraId="1B208B88" w14:textId="77777777" w:rsidR="002B67DC" w:rsidRDefault="002B6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lackadder ITC">
    <w:panose1 w:val="04020505051007020D02"/>
    <w:charset w:val="00"/>
    <w:family w:val="decorativ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257C49" w14:textId="77777777" w:rsidR="002B67DC" w:rsidRDefault="002B67DC">
      <w:r>
        <w:separator/>
      </w:r>
    </w:p>
  </w:footnote>
  <w:footnote w:type="continuationSeparator" w:id="0">
    <w:p w14:paraId="61FC87D2" w14:textId="77777777" w:rsidR="002B67DC" w:rsidRDefault="002B6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D82A7" w14:textId="58055B34" w:rsidR="003369B5" w:rsidRPr="00BB6390" w:rsidRDefault="00BB6390" w:rsidP="003369B5">
    <w:pPr>
      <w:jc w:val="right"/>
    </w:pPr>
    <w:r w:rsidRPr="00BB6390">
      <w:t>Box Property</w:t>
    </w:r>
  </w:p>
  <w:p w14:paraId="6088B706" w14:textId="1FD48912" w:rsidR="00BB6390" w:rsidRPr="00BB6390" w:rsidRDefault="00BB6390" w:rsidP="003369B5">
    <w:pPr>
      <w:jc w:val="right"/>
    </w:pPr>
    <w:r w:rsidRPr="00BB6390">
      <w:t>34-05-1694</w:t>
    </w:r>
  </w:p>
  <w:p w14:paraId="1656D159" w14:textId="16553305" w:rsidR="00ED7BC3" w:rsidRDefault="00ED7BC3" w:rsidP="003369B5">
    <w:pPr>
      <w:tabs>
        <w:tab w:val="right" w:pos="9360"/>
      </w:tabs>
      <w:jc w:val="right"/>
    </w:pPr>
    <w:r w:rsidRPr="00ED7BC3">
      <w:t>April 23, 2021</w:t>
    </w:r>
  </w:p>
  <w:p w14:paraId="5309F0BA" w14:textId="3C18B070" w:rsidR="003369B5" w:rsidRPr="00AD374E" w:rsidRDefault="003369B5" w:rsidP="003369B5">
    <w:pPr>
      <w:tabs>
        <w:tab w:val="right" w:pos="9360"/>
      </w:tabs>
      <w:jc w:val="right"/>
      <w:rPr>
        <w:highlight w:val="yellow"/>
      </w:rPr>
    </w:pPr>
    <w:r w:rsidRPr="00AD374E">
      <w:t xml:space="preserve">Page </w:t>
    </w:r>
    <w:r w:rsidRPr="00AD374E">
      <w:rPr>
        <w:rStyle w:val="PageNumber"/>
      </w:rPr>
      <w:fldChar w:fldCharType="begin"/>
    </w:r>
    <w:r w:rsidRPr="00AD374E">
      <w:rPr>
        <w:rStyle w:val="PageNumber"/>
      </w:rPr>
      <w:instrText xml:space="preserve"> PAGE </w:instrText>
    </w:r>
    <w:r w:rsidRPr="00AD374E">
      <w:rPr>
        <w:rStyle w:val="PageNumber"/>
      </w:rPr>
      <w:fldChar w:fldCharType="separate"/>
    </w:r>
    <w:r w:rsidR="005D5883">
      <w:rPr>
        <w:rStyle w:val="PageNumber"/>
        <w:noProof/>
      </w:rPr>
      <w:t>2</w:t>
    </w:r>
    <w:r w:rsidRPr="00AD374E">
      <w:rPr>
        <w:rStyle w:val="PageNumber"/>
      </w:rPr>
      <w:fldChar w:fldCharType="end"/>
    </w:r>
    <w:r w:rsidR="00BB6390">
      <w:rPr>
        <w:rStyle w:val="PageNumber"/>
      </w:rPr>
      <w:t xml:space="preserve"> of 2</w:t>
    </w:r>
  </w:p>
  <w:p w14:paraId="3F6501E9" w14:textId="77777777" w:rsidR="00B45A68" w:rsidRDefault="00B45A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A9790" w14:textId="77777777" w:rsidR="005029D0" w:rsidRPr="00442032" w:rsidRDefault="001630E9">
    <w:pPr>
      <w:pStyle w:val="Header"/>
      <w:tabs>
        <w:tab w:val="clear" w:pos="4680"/>
        <w:tab w:val="clear" w:pos="9360"/>
        <w:tab w:val="right" w:pos="11016"/>
      </w:tabs>
      <w:ind w:right="90" w:hanging="990"/>
      <w:rPr>
        <w:color w:val="4B5B9F"/>
      </w:rPr>
    </w:pPr>
    <w:r w:rsidRPr="001630E9">
      <w:rPr>
        <w:noProof/>
        <w:color w:val="4B5B9F"/>
      </w:rPr>
      <w:drawing>
        <wp:anchor distT="0" distB="0" distL="114300" distR="114300" simplePos="0" relativeHeight="251657728" behindDoc="1" locked="0" layoutInCell="1" allowOverlap="1" wp14:anchorId="719D2B5A" wp14:editId="35950306">
          <wp:simplePos x="0" y="0"/>
          <wp:positionH relativeFrom="column">
            <wp:posOffset>-553444</wp:posOffset>
          </wp:positionH>
          <wp:positionV relativeFrom="paragraph">
            <wp:posOffset>32302</wp:posOffset>
          </wp:positionV>
          <wp:extent cx="890270" cy="882595"/>
          <wp:effectExtent l="19050" t="0" r="5439" b="0"/>
          <wp:wrapNone/>
          <wp:docPr id="19" name="Picture 0" descr="LETTERHEA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2.jpg"/>
                  <pic:cNvPicPr/>
                </pic:nvPicPr>
                <pic:blipFill>
                  <a:blip r:embed="rId1"/>
                  <a:stretch>
                    <a:fillRect/>
                  </a:stretch>
                </pic:blipFill>
                <pic:spPr>
                  <a:xfrm>
                    <a:off x="0" y="0"/>
                    <a:ext cx="889911" cy="885941"/>
                  </a:xfrm>
                  <a:prstGeom prst="rect">
                    <a:avLst/>
                  </a:prstGeom>
                </pic:spPr>
              </pic:pic>
            </a:graphicData>
          </a:graphic>
        </wp:anchor>
      </w:drawing>
    </w:r>
    <w:r w:rsidR="000C6492" w:rsidRPr="00442032">
      <w:rPr>
        <w:noProof/>
        <w:color w:val="4B5B9F"/>
      </w:rPr>
      <w:drawing>
        <wp:anchor distT="0" distB="0" distL="114300" distR="114300" simplePos="0" relativeHeight="251656704" behindDoc="1" locked="0" layoutInCell="1" allowOverlap="1" wp14:anchorId="30A1C33D" wp14:editId="48CBCEA1">
          <wp:simplePos x="0" y="0"/>
          <wp:positionH relativeFrom="column">
            <wp:posOffset>429370</wp:posOffset>
          </wp:positionH>
          <wp:positionV relativeFrom="paragraph">
            <wp:posOffset>-15406</wp:posOffset>
          </wp:positionV>
          <wp:extent cx="6105967" cy="930303"/>
          <wp:effectExtent l="19050" t="0" r="9083" b="0"/>
          <wp:wrapNone/>
          <wp:docPr id="20" name="Picture 0" descr="LETTERHEA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2.jpg"/>
                  <pic:cNvPicPr/>
                </pic:nvPicPr>
                <pic:blipFill>
                  <a:blip r:embed="rId2"/>
                  <a:srcRect l="13379"/>
                  <a:stretch>
                    <a:fillRect/>
                  </a:stretch>
                </pic:blipFill>
                <pic:spPr>
                  <a:xfrm>
                    <a:off x="0" y="0"/>
                    <a:ext cx="6105967" cy="930303"/>
                  </a:xfrm>
                  <a:prstGeom prst="rect">
                    <a:avLst/>
                  </a:prstGeom>
                </pic:spPr>
              </pic:pic>
            </a:graphicData>
          </a:graphic>
        </wp:anchor>
      </w:drawing>
    </w:r>
  </w:p>
  <w:p w14:paraId="6D8544F4" w14:textId="3A176D81" w:rsidR="005029D0" w:rsidRPr="00442032" w:rsidRDefault="000C2594">
    <w:pPr>
      <w:pStyle w:val="Header"/>
      <w:tabs>
        <w:tab w:val="left" w:pos="5760"/>
      </w:tabs>
      <w:spacing w:before="120"/>
      <w:ind w:right="-634"/>
      <w:jc w:val="right"/>
      <w:rPr>
        <w:b/>
        <w:color w:val="4B5B9F"/>
        <w:szCs w:val="18"/>
      </w:rPr>
    </w:pPr>
    <w:r>
      <w:rPr>
        <w:rFonts w:ascii="Palatino Linotype" w:hAnsi="Palatino Linotype"/>
        <w:b/>
        <w:noProof/>
        <w:color w:val="4B5B9F"/>
        <w:sz w:val="22"/>
      </w:rPr>
      <mc:AlternateContent>
        <mc:Choice Requires="wps">
          <w:drawing>
            <wp:anchor distT="0" distB="0" distL="114300" distR="114300" simplePos="0" relativeHeight="251658752" behindDoc="1" locked="0" layoutInCell="1" allowOverlap="1" wp14:anchorId="4DC2DDAA" wp14:editId="6BA87EDA">
              <wp:simplePos x="0" y="0"/>
              <wp:positionH relativeFrom="column">
                <wp:posOffset>3689350</wp:posOffset>
              </wp:positionH>
              <wp:positionV relativeFrom="paragraph">
                <wp:posOffset>78105</wp:posOffset>
              </wp:positionV>
              <wp:extent cx="2774950" cy="231140"/>
              <wp:effectExtent l="3175" t="1905" r="3175"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4950"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FAB43" id="Rectangle 1" o:spid="_x0000_s1026" style="position:absolute;margin-left:290.5pt;margin-top:6.15pt;width:218.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" stroked="f"/>
          </w:pict>
        </mc:Fallback>
      </mc:AlternateContent>
    </w:r>
    <w:r w:rsidR="00ED61B6" w:rsidRPr="00442032">
      <w:rPr>
        <w:rFonts w:ascii="Palatino Linotype" w:hAnsi="Palatino Linotype"/>
        <w:b/>
        <w:color w:val="4B5B9F"/>
      </w:rPr>
      <w:t>Department of Environmental Quality</w:t>
    </w:r>
  </w:p>
  <w:p w14:paraId="2CB33615" w14:textId="3F263D54" w:rsidR="005029D0" w:rsidRPr="00E2797D" w:rsidRDefault="00ED61B6">
    <w:pPr>
      <w:pStyle w:val="Header"/>
      <w:tabs>
        <w:tab w:val="clear" w:pos="4680"/>
        <w:tab w:val="clear" w:pos="9360"/>
        <w:tab w:val="left" w:pos="630"/>
        <w:tab w:val="right" w:pos="9990"/>
      </w:tabs>
      <w:ind w:right="-634"/>
      <w:rPr>
        <w:rFonts w:ascii="Palatino Linotype" w:hAnsi="Palatino Linotype"/>
        <w:b/>
        <w:color w:val="4B5B9F"/>
        <w:sz w:val="18"/>
        <w:szCs w:val="18"/>
      </w:rPr>
    </w:pPr>
    <w:r w:rsidRPr="00442032">
      <w:rPr>
        <w:rFonts w:ascii="Palatino Linotype" w:hAnsi="Palatino Linotype"/>
        <w:b/>
        <w:color w:val="4B5B9F"/>
        <w:sz w:val="18"/>
        <w:szCs w:val="18"/>
      </w:rPr>
      <w:tab/>
    </w:r>
    <w:r w:rsidRPr="00442032">
      <w:rPr>
        <w:rFonts w:ascii="Palatino Linotype" w:hAnsi="Palatino Linotype"/>
        <w:b/>
        <w:color w:val="4B5B9F"/>
        <w:sz w:val="18"/>
        <w:szCs w:val="18"/>
      </w:rPr>
      <w:tab/>
    </w:r>
    <w:r w:rsidR="00B45A68" w:rsidRPr="00E2797D">
      <w:rPr>
        <w:rFonts w:ascii="Palatino Linotype" w:hAnsi="Palatino Linotype"/>
        <w:b/>
        <w:color w:val="4B5B9F"/>
        <w:sz w:val="18"/>
        <w:szCs w:val="18"/>
      </w:rPr>
      <w:t>Northwest</w:t>
    </w:r>
    <w:r w:rsidR="00FF7ADF" w:rsidRPr="00E2797D">
      <w:rPr>
        <w:rFonts w:ascii="Palatino Linotype" w:hAnsi="Palatino Linotype"/>
        <w:b/>
        <w:color w:val="4B5B9F"/>
        <w:sz w:val="18"/>
        <w:szCs w:val="18"/>
      </w:rPr>
      <w:t xml:space="preserve"> Region</w:t>
    </w:r>
  </w:p>
  <w:p w14:paraId="722E9DC4" w14:textId="36A2C364" w:rsidR="005029D0" w:rsidRPr="00E2797D" w:rsidRDefault="00ED61B6">
    <w:pPr>
      <w:pStyle w:val="Header"/>
      <w:tabs>
        <w:tab w:val="clear" w:pos="4680"/>
        <w:tab w:val="clear" w:pos="9360"/>
        <w:tab w:val="left" w:pos="630"/>
        <w:tab w:val="right" w:pos="9990"/>
      </w:tabs>
      <w:ind w:right="-634"/>
      <w:rPr>
        <w:rFonts w:ascii="Palatino Linotype" w:hAnsi="Palatino Linotype"/>
        <w:color w:val="4B5B9F"/>
        <w:sz w:val="18"/>
        <w:szCs w:val="18"/>
      </w:rPr>
    </w:pPr>
    <w:r w:rsidRPr="00E2797D">
      <w:rPr>
        <w:rFonts w:ascii="Palatino Linotype" w:hAnsi="Palatino Linotype"/>
        <w:color w:val="4B5B9F"/>
        <w:sz w:val="18"/>
        <w:szCs w:val="18"/>
      </w:rPr>
      <w:tab/>
    </w:r>
    <w:r w:rsidRPr="00E2797D">
      <w:rPr>
        <w:rFonts w:ascii="Palatino Linotype" w:hAnsi="Palatino Linotype"/>
        <w:color w:val="4B5B9F"/>
        <w:sz w:val="18"/>
        <w:szCs w:val="18"/>
      </w:rPr>
      <w:tab/>
    </w:r>
    <w:r w:rsidR="00E65968">
      <w:rPr>
        <w:rFonts w:ascii="Palatino Linotype" w:hAnsi="Palatino Linotype"/>
        <w:color w:val="4B5B9F"/>
        <w:sz w:val="18"/>
        <w:szCs w:val="18"/>
      </w:rPr>
      <w:t>700 NE Multnomah Street, Suite 600</w:t>
    </w:r>
  </w:p>
  <w:p w14:paraId="016755C1" w14:textId="0D53711C" w:rsidR="005029D0" w:rsidRPr="00E2797D" w:rsidRDefault="00ED61B6">
    <w:pPr>
      <w:pStyle w:val="Header"/>
      <w:tabs>
        <w:tab w:val="clear" w:pos="4680"/>
        <w:tab w:val="clear" w:pos="9360"/>
        <w:tab w:val="left" w:pos="720"/>
        <w:tab w:val="right" w:pos="9990"/>
      </w:tabs>
      <w:ind w:right="-634"/>
      <w:rPr>
        <w:rFonts w:ascii="Palatino Linotype" w:hAnsi="Palatino Linotype"/>
        <w:color w:val="4B5B9F"/>
        <w:sz w:val="18"/>
        <w:szCs w:val="18"/>
      </w:rPr>
    </w:pPr>
    <w:r w:rsidRPr="00E2797D">
      <w:rPr>
        <w:rFonts w:ascii="Palatino Linotype" w:hAnsi="Palatino Linotype"/>
        <w:color w:val="4B5B9F"/>
        <w:sz w:val="18"/>
        <w:szCs w:val="18"/>
      </w:rPr>
      <w:tab/>
    </w:r>
    <w:r w:rsidR="007A1C3E" w:rsidRPr="00E2797D">
      <w:rPr>
        <w:rFonts w:ascii="Palatino Linotype" w:hAnsi="Palatino Linotype"/>
        <w:color w:val="4B5B9F"/>
        <w:sz w:val="18"/>
        <w:szCs w:val="18"/>
      </w:rPr>
      <w:t xml:space="preserve"> </w:t>
    </w:r>
    <w:r w:rsidR="001A2041" w:rsidRPr="00E2797D">
      <w:rPr>
        <w:rFonts w:ascii="Palatino Linotype" w:hAnsi="Palatino Linotype"/>
        <w:color w:val="4B5B9F"/>
        <w:sz w:val="16"/>
        <w:szCs w:val="18"/>
      </w:rPr>
      <w:t>Kate Brown</w:t>
    </w:r>
    <w:r w:rsidR="00934745" w:rsidRPr="00E2797D">
      <w:rPr>
        <w:rFonts w:ascii="Palatino Linotype" w:hAnsi="Palatino Linotype"/>
        <w:color w:val="4B5B9F"/>
        <w:sz w:val="16"/>
        <w:szCs w:val="16"/>
      </w:rPr>
      <w:t xml:space="preserve">, </w:t>
    </w:r>
    <w:r w:rsidRPr="00E2797D">
      <w:rPr>
        <w:rFonts w:ascii="Palatino Linotype" w:hAnsi="Palatino Linotype"/>
        <w:color w:val="4B5B9F"/>
        <w:sz w:val="16"/>
        <w:szCs w:val="18"/>
      </w:rPr>
      <w:t>Governor</w:t>
    </w:r>
    <w:r w:rsidRPr="00E2797D">
      <w:rPr>
        <w:rFonts w:ascii="Palatino Linotype" w:hAnsi="Palatino Linotype"/>
        <w:color w:val="4B5B9F"/>
        <w:sz w:val="18"/>
        <w:szCs w:val="18"/>
      </w:rPr>
      <w:tab/>
    </w:r>
    <w:r w:rsidR="00E65968">
      <w:rPr>
        <w:rFonts w:ascii="Palatino Linotype" w:hAnsi="Palatino Linotype"/>
        <w:color w:val="4B5B9F"/>
        <w:sz w:val="18"/>
        <w:szCs w:val="18"/>
      </w:rPr>
      <w:t>Portland</w:t>
    </w:r>
    <w:r w:rsidRPr="00E2797D">
      <w:rPr>
        <w:rFonts w:ascii="Palatino Linotype" w:hAnsi="Palatino Linotype"/>
        <w:color w:val="4B5B9F"/>
        <w:sz w:val="18"/>
        <w:szCs w:val="18"/>
      </w:rPr>
      <w:t xml:space="preserve">, OR  </w:t>
    </w:r>
    <w:r w:rsidR="00E65968">
      <w:rPr>
        <w:rFonts w:ascii="Palatino Linotype" w:hAnsi="Palatino Linotype"/>
        <w:color w:val="4B5B9F"/>
        <w:sz w:val="18"/>
        <w:szCs w:val="18"/>
      </w:rPr>
      <w:t>97232</w:t>
    </w:r>
  </w:p>
  <w:p w14:paraId="74516FCD" w14:textId="7592F577" w:rsidR="005029D0" w:rsidRPr="00442032" w:rsidRDefault="00ED61B6">
    <w:pPr>
      <w:pStyle w:val="Header"/>
      <w:tabs>
        <w:tab w:val="clear" w:pos="4680"/>
        <w:tab w:val="clear" w:pos="9360"/>
        <w:tab w:val="left" w:pos="630"/>
        <w:tab w:val="right" w:pos="9990"/>
      </w:tabs>
      <w:ind w:right="-634"/>
      <w:rPr>
        <w:rFonts w:ascii="Palatino Linotype" w:hAnsi="Palatino Linotype"/>
        <w:color w:val="4B5B9F"/>
        <w:sz w:val="18"/>
        <w:szCs w:val="18"/>
      </w:rPr>
    </w:pPr>
    <w:r w:rsidRPr="00E2797D">
      <w:rPr>
        <w:rFonts w:ascii="Palatino Linotype" w:hAnsi="Palatino Linotype"/>
        <w:color w:val="4B5B9F"/>
        <w:sz w:val="18"/>
        <w:szCs w:val="18"/>
      </w:rPr>
      <w:tab/>
    </w:r>
    <w:r w:rsidRPr="00E2797D">
      <w:rPr>
        <w:rFonts w:ascii="Palatino Linotype" w:hAnsi="Palatino Linotype"/>
        <w:color w:val="4B5B9F"/>
        <w:sz w:val="18"/>
        <w:szCs w:val="18"/>
      </w:rPr>
      <w:tab/>
      <w:t>(</w:t>
    </w:r>
    <w:r w:rsidR="00E65968">
      <w:rPr>
        <w:rFonts w:ascii="Palatino Linotype" w:hAnsi="Palatino Linotype"/>
        <w:color w:val="4B5B9F"/>
        <w:sz w:val="18"/>
        <w:szCs w:val="18"/>
      </w:rPr>
      <w:t>503</w:t>
    </w:r>
    <w:r w:rsidRPr="00E2797D">
      <w:rPr>
        <w:rFonts w:ascii="Palatino Linotype" w:hAnsi="Palatino Linotype"/>
        <w:color w:val="4B5B9F"/>
        <w:sz w:val="18"/>
        <w:szCs w:val="18"/>
      </w:rPr>
      <w:t xml:space="preserve">) </w:t>
    </w:r>
    <w:r w:rsidR="00E65968">
      <w:rPr>
        <w:rFonts w:ascii="Palatino Linotype" w:hAnsi="Palatino Linotype"/>
        <w:color w:val="4B5B9F"/>
        <w:sz w:val="18"/>
        <w:szCs w:val="18"/>
      </w:rPr>
      <w:t>229</w:t>
    </w:r>
    <w:r w:rsidRPr="00E2797D">
      <w:rPr>
        <w:rFonts w:ascii="Palatino Linotype" w:hAnsi="Palatino Linotype"/>
        <w:color w:val="4B5B9F"/>
        <w:sz w:val="18"/>
        <w:szCs w:val="18"/>
      </w:rPr>
      <w:t>-</w:t>
    </w:r>
    <w:r w:rsidR="00E65968">
      <w:rPr>
        <w:rFonts w:ascii="Palatino Linotype" w:hAnsi="Palatino Linotype"/>
        <w:color w:val="4B5B9F"/>
        <w:sz w:val="18"/>
        <w:szCs w:val="18"/>
      </w:rPr>
      <w:t>5263</w:t>
    </w:r>
  </w:p>
  <w:p w14:paraId="733B0F7F" w14:textId="77777777" w:rsidR="00B45A68" w:rsidRDefault="00ED61B6" w:rsidP="00B45A68">
    <w:pPr>
      <w:pStyle w:val="Header"/>
      <w:tabs>
        <w:tab w:val="clear" w:pos="4680"/>
        <w:tab w:val="clear" w:pos="9360"/>
        <w:tab w:val="left" w:pos="630"/>
        <w:tab w:val="right" w:pos="9990"/>
      </w:tabs>
      <w:ind w:right="-634"/>
    </w:pPr>
    <w:r w:rsidRPr="00442032">
      <w:rPr>
        <w:rFonts w:ascii="Palatino Linotype" w:hAnsi="Palatino Linotype"/>
        <w:color w:val="4B5B9F"/>
        <w:sz w:val="18"/>
        <w:szCs w:val="18"/>
      </w:rPr>
      <w:tab/>
    </w:r>
    <w:r w:rsidRPr="00442032">
      <w:rPr>
        <w:rFonts w:ascii="Palatino Linotype" w:hAnsi="Palatino Linotype"/>
        <w:color w:val="4B5B9F"/>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AD3C37"/>
    <w:multiLevelType w:val="hybridMultilevel"/>
    <w:tmpl w:val="76D09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2824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52225">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yMTA2NTC0MLAwNTVX0lEKTi0uzszPAykwrAUAvajK3iwAAAA="/>
  </w:docVars>
  <w:rsids>
    <w:rsidRoot w:val="003E683A"/>
    <w:rsid w:val="000C2594"/>
    <w:rsid w:val="000C6492"/>
    <w:rsid w:val="001630E9"/>
    <w:rsid w:val="001A2041"/>
    <w:rsid w:val="002573BC"/>
    <w:rsid w:val="00272EE1"/>
    <w:rsid w:val="002B67DC"/>
    <w:rsid w:val="003369B5"/>
    <w:rsid w:val="003E683A"/>
    <w:rsid w:val="0040329A"/>
    <w:rsid w:val="0042476E"/>
    <w:rsid w:val="00440082"/>
    <w:rsid w:val="00442032"/>
    <w:rsid w:val="00452342"/>
    <w:rsid w:val="005029D0"/>
    <w:rsid w:val="00596EBA"/>
    <w:rsid w:val="005A5A35"/>
    <w:rsid w:val="005C3EB5"/>
    <w:rsid w:val="005D5883"/>
    <w:rsid w:val="00670AC7"/>
    <w:rsid w:val="006E2794"/>
    <w:rsid w:val="007079F7"/>
    <w:rsid w:val="007101E1"/>
    <w:rsid w:val="00740495"/>
    <w:rsid w:val="00745888"/>
    <w:rsid w:val="007A1C3E"/>
    <w:rsid w:val="008121A7"/>
    <w:rsid w:val="00834F72"/>
    <w:rsid w:val="00934745"/>
    <w:rsid w:val="00957402"/>
    <w:rsid w:val="00963F00"/>
    <w:rsid w:val="00AB1EE9"/>
    <w:rsid w:val="00B27BAE"/>
    <w:rsid w:val="00B31887"/>
    <w:rsid w:val="00B4214A"/>
    <w:rsid w:val="00B45A68"/>
    <w:rsid w:val="00BA2157"/>
    <w:rsid w:val="00BB6390"/>
    <w:rsid w:val="00C61DA9"/>
    <w:rsid w:val="00C66C4C"/>
    <w:rsid w:val="00C90B27"/>
    <w:rsid w:val="00CA00FF"/>
    <w:rsid w:val="00CA6734"/>
    <w:rsid w:val="00CE494F"/>
    <w:rsid w:val="00DA176F"/>
    <w:rsid w:val="00E2797D"/>
    <w:rsid w:val="00E65968"/>
    <w:rsid w:val="00ED61B6"/>
    <w:rsid w:val="00ED7BC3"/>
    <w:rsid w:val="00F4495E"/>
    <w:rsid w:val="00F83136"/>
    <w:rsid w:val="00FA7DF0"/>
    <w:rsid w:val="00FF2812"/>
    <w:rsid w:val="00FF6744"/>
    <w:rsid w:val="00FF7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colormenu v:ext="edit" strokecolor="none"/>
    </o:shapedefaults>
    <o:shapelayout v:ext="edit">
      <o:idmap v:ext="edit" data="1"/>
    </o:shapelayout>
  </w:shapeDefaults>
  <w:decimalSymbol w:val="."/>
  <w:listSeparator w:val=","/>
  <w14:docId w14:val="7739C35D"/>
  <w15:docId w15:val="{52D482A4-C983-4F87-AE8E-A89DCD1D2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ebuchet MS" w:eastAsiaTheme="minorHAnsi" w:hAnsi="Trebuchet MS"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A68"/>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45A68"/>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qFormat/>
    <w:rsid w:val="005029D0"/>
    <w:rPr>
      <w:rFonts w:ascii="Arial Black" w:hAnsi="Arial Black"/>
      <w:spacing w:val="-6"/>
      <w:w w:val="90"/>
      <w:kern w:val="40"/>
      <w:sz w:val="40"/>
    </w:rPr>
  </w:style>
  <w:style w:type="character" w:customStyle="1" w:styleId="Item">
    <w:name w:val="Item"/>
    <w:uiPriority w:val="1"/>
    <w:qFormat/>
    <w:rsid w:val="005029D0"/>
    <w:rPr>
      <w:rFonts w:ascii="Trebuchet MS" w:hAnsi="Trebuchet MS"/>
      <w:b/>
      <w:sz w:val="22"/>
    </w:rPr>
  </w:style>
  <w:style w:type="paragraph" w:customStyle="1" w:styleId="NormalTable">
    <w:name w:val="NormalTable"/>
    <w:basedOn w:val="Normal"/>
    <w:qFormat/>
    <w:rsid w:val="005029D0"/>
  </w:style>
  <w:style w:type="character" w:customStyle="1" w:styleId="Label">
    <w:name w:val="Label"/>
    <w:basedOn w:val="DefaultParagraphFont"/>
    <w:uiPriority w:val="1"/>
    <w:qFormat/>
    <w:rsid w:val="005029D0"/>
    <w:rPr>
      <w:rFonts w:ascii="Trebuchet MS" w:hAnsi="Trebuchet MS"/>
      <w:sz w:val="16"/>
    </w:rPr>
  </w:style>
  <w:style w:type="paragraph" w:customStyle="1" w:styleId="Head">
    <w:name w:val="Head"/>
    <w:basedOn w:val="Normal"/>
    <w:qFormat/>
    <w:rsid w:val="005029D0"/>
    <w:rPr>
      <w:b/>
      <w:sz w:val="24"/>
      <w:u w:val="single"/>
    </w:rPr>
  </w:style>
  <w:style w:type="paragraph" w:styleId="Header">
    <w:name w:val="header"/>
    <w:basedOn w:val="Normal"/>
    <w:link w:val="HeaderChar"/>
    <w:unhideWhenUsed/>
    <w:rsid w:val="005029D0"/>
    <w:pPr>
      <w:tabs>
        <w:tab w:val="center" w:pos="4680"/>
        <w:tab w:val="right" w:pos="9360"/>
      </w:tabs>
    </w:pPr>
  </w:style>
  <w:style w:type="character" w:customStyle="1" w:styleId="HeaderChar">
    <w:name w:val="Header Char"/>
    <w:basedOn w:val="DefaultParagraphFont"/>
    <w:link w:val="Header"/>
    <w:rsid w:val="005029D0"/>
    <w:rPr>
      <w:rFonts w:ascii="Times New Roman" w:hAnsi="Times New Roman"/>
    </w:rPr>
  </w:style>
  <w:style w:type="paragraph" w:styleId="Footer">
    <w:name w:val="footer"/>
    <w:basedOn w:val="Normal"/>
    <w:link w:val="FooterChar"/>
    <w:uiPriority w:val="99"/>
    <w:unhideWhenUsed/>
    <w:rsid w:val="005029D0"/>
    <w:pPr>
      <w:tabs>
        <w:tab w:val="center" w:pos="4680"/>
        <w:tab w:val="right" w:pos="9360"/>
      </w:tabs>
    </w:pPr>
  </w:style>
  <w:style w:type="character" w:customStyle="1" w:styleId="FooterChar">
    <w:name w:val="Footer Char"/>
    <w:basedOn w:val="DefaultParagraphFont"/>
    <w:link w:val="Footer"/>
    <w:uiPriority w:val="99"/>
    <w:rsid w:val="005029D0"/>
    <w:rPr>
      <w:rFonts w:ascii="Times New Roman" w:hAnsi="Times New Roman"/>
    </w:rPr>
  </w:style>
  <w:style w:type="paragraph" w:styleId="BalloonText">
    <w:name w:val="Balloon Text"/>
    <w:basedOn w:val="Normal"/>
    <w:link w:val="BalloonTextChar"/>
    <w:uiPriority w:val="99"/>
    <w:semiHidden/>
    <w:unhideWhenUsed/>
    <w:rsid w:val="005029D0"/>
    <w:rPr>
      <w:rFonts w:ascii="Tahoma" w:hAnsi="Tahoma" w:cs="Tahoma"/>
      <w:sz w:val="16"/>
      <w:szCs w:val="16"/>
    </w:rPr>
  </w:style>
  <w:style w:type="character" w:customStyle="1" w:styleId="BalloonTextChar">
    <w:name w:val="Balloon Text Char"/>
    <w:basedOn w:val="DefaultParagraphFont"/>
    <w:link w:val="BalloonText"/>
    <w:uiPriority w:val="99"/>
    <w:semiHidden/>
    <w:rsid w:val="005029D0"/>
    <w:rPr>
      <w:rFonts w:ascii="Tahoma" w:hAnsi="Tahoma" w:cs="Tahoma"/>
      <w:sz w:val="16"/>
      <w:szCs w:val="16"/>
    </w:rPr>
  </w:style>
  <w:style w:type="character" w:customStyle="1" w:styleId="Heading1Char">
    <w:name w:val="Heading 1 Char"/>
    <w:basedOn w:val="DefaultParagraphFont"/>
    <w:link w:val="Heading1"/>
    <w:rsid w:val="00B45A68"/>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B45A68"/>
    <w:rPr>
      <w:sz w:val="16"/>
      <w:szCs w:val="16"/>
    </w:rPr>
  </w:style>
  <w:style w:type="paragraph" w:styleId="CommentText">
    <w:name w:val="annotation text"/>
    <w:basedOn w:val="Normal"/>
    <w:link w:val="CommentTextChar"/>
    <w:uiPriority w:val="99"/>
    <w:unhideWhenUsed/>
    <w:rsid w:val="00B45A68"/>
  </w:style>
  <w:style w:type="character" w:customStyle="1" w:styleId="CommentTextChar">
    <w:name w:val="Comment Text Char"/>
    <w:basedOn w:val="DefaultParagraphFont"/>
    <w:link w:val="CommentText"/>
    <w:uiPriority w:val="99"/>
    <w:rsid w:val="00B45A68"/>
    <w:rPr>
      <w:rFonts w:ascii="Times New Roman" w:eastAsia="Times New Roman" w:hAnsi="Times New Roman" w:cs="Times New Roman"/>
      <w:sz w:val="20"/>
      <w:szCs w:val="20"/>
    </w:rPr>
  </w:style>
  <w:style w:type="paragraph" w:styleId="Date">
    <w:name w:val="Date"/>
    <w:basedOn w:val="BodyText"/>
    <w:next w:val="Normal"/>
    <w:link w:val="DateChar"/>
    <w:rsid w:val="00B45A68"/>
    <w:pPr>
      <w:spacing w:before="480" w:after="0"/>
      <w:ind w:left="3600"/>
    </w:pPr>
    <w:rPr>
      <w:sz w:val="24"/>
    </w:rPr>
  </w:style>
  <w:style w:type="character" w:customStyle="1" w:styleId="DateChar">
    <w:name w:val="Date Char"/>
    <w:basedOn w:val="DefaultParagraphFont"/>
    <w:link w:val="Date"/>
    <w:rsid w:val="00B45A68"/>
    <w:rPr>
      <w:rFonts w:ascii="Times New Roman" w:eastAsia="Times New Roman" w:hAnsi="Times New Roman" w:cs="Times New Roman"/>
      <w:sz w:val="24"/>
      <w:szCs w:val="20"/>
    </w:rPr>
  </w:style>
  <w:style w:type="paragraph" w:styleId="Closing">
    <w:name w:val="Closing"/>
    <w:basedOn w:val="BodyText"/>
    <w:link w:val="ClosingChar"/>
    <w:rsid w:val="00B45A68"/>
    <w:pPr>
      <w:keepNext/>
      <w:spacing w:after="0"/>
      <w:ind w:left="3600"/>
    </w:pPr>
    <w:rPr>
      <w:sz w:val="24"/>
    </w:rPr>
  </w:style>
  <w:style w:type="character" w:customStyle="1" w:styleId="ClosingChar">
    <w:name w:val="Closing Char"/>
    <w:basedOn w:val="DefaultParagraphFont"/>
    <w:link w:val="Closing"/>
    <w:rsid w:val="00B45A68"/>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B45A68"/>
    <w:pPr>
      <w:spacing w:after="120"/>
    </w:pPr>
  </w:style>
  <w:style w:type="character" w:customStyle="1" w:styleId="BodyTextChar">
    <w:name w:val="Body Text Char"/>
    <w:basedOn w:val="DefaultParagraphFont"/>
    <w:link w:val="BodyText"/>
    <w:uiPriority w:val="99"/>
    <w:semiHidden/>
    <w:rsid w:val="00B45A68"/>
    <w:rPr>
      <w:rFonts w:ascii="Times New Roman" w:eastAsia="Times New Roman" w:hAnsi="Times New Roman" w:cs="Times New Roman"/>
      <w:sz w:val="20"/>
      <w:szCs w:val="20"/>
    </w:rPr>
  </w:style>
  <w:style w:type="character" w:styleId="PageNumber">
    <w:name w:val="page number"/>
    <w:basedOn w:val="DefaultParagraphFont"/>
    <w:rsid w:val="00B45A68"/>
  </w:style>
  <w:style w:type="character" w:styleId="Hyperlink">
    <w:name w:val="Hyperlink"/>
    <w:basedOn w:val="DefaultParagraphFont"/>
    <w:uiPriority w:val="99"/>
    <w:unhideWhenUsed/>
    <w:rsid w:val="003369B5"/>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244</Words>
  <Characters>1415</Characters>
  <Application>Microsoft Office Word</Application>
  <DocSecurity>0</DocSecurity>
  <Lines>26</Lines>
  <Paragraphs>9</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Annette Dietz</dc:creator>
  <cp:lastModifiedBy>ORR Jim * DEQ</cp:lastModifiedBy>
  <cp:revision>6</cp:revision>
  <dcterms:created xsi:type="dcterms:W3CDTF">2025-01-17T22:44:00Z</dcterms:created>
  <dcterms:modified xsi:type="dcterms:W3CDTF">2025-01-17T22:48:00Z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2025-01-17T22:44:57Z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f9f2a12c-921e-47ef-b357-66c3e05da4d1</vt:lpwstr>
  </property>
  <property fmtid="{D5CDD505-2E9C-101B-9397-08002B2CF9AE}" pid="8" name="MSIP_Label_09b73270-2993-4076-be47-9c78f42a1e84_ContentBits">
    <vt:lpwstr>0</vt:lpwstr>
  </property>
</Properties>
</file>