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A614C" w14:textId="77777777" w:rsidR="00FD38EE" w:rsidRPr="00BB4247" w:rsidRDefault="00FD38EE" w:rsidP="00BB4247">
      <w:pPr>
        <w:pStyle w:val="NoSpacing"/>
        <w:rPr>
          <w:sz w:val="28"/>
          <w:szCs w:val="28"/>
        </w:rPr>
      </w:pPr>
      <w:r w:rsidRPr="00BB4247">
        <w:rPr>
          <w:sz w:val="28"/>
          <w:szCs w:val="28"/>
        </w:rPr>
        <w:t>State of Oregon</w:t>
      </w:r>
    </w:p>
    <w:p w14:paraId="34735B94" w14:textId="77777777" w:rsidR="00FD38EE" w:rsidRPr="00BB4247" w:rsidRDefault="00FD38EE" w:rsidP="00BB4247">
      <w:pPr>
        <w:pStyle w:val="NoSpacing"/>
        <w:rPr>
          <w:sz w:val="36"/>
        </w:rPr>
      </w:pPr>
      <w:r w:rsidRPr="00BB4247">
        <w:rPr>
          <w:sz w:val="36"/>
        </w:rPr>
        <w:t>Department of Environmental Quality</w:t>
      </w:r>
      <w:r w:rsidRPr="00BB4247">
        <w:rPr>
          <w:sz w:val="36"/>
        </w:rPr>
        <w:tab/>
      </w:r>
      <w:r w:rsidR="00BB4247">
        <w:rPr>
          <w:sz w:val="36"/>
        </w:rPr>
        <w:t xml:space="preserve">      </w:t>
      </w:r>
      <w:r w:rsidRPr="00BB4247">
        <w:rPr>
          <w:sz w:val="36"/>
        </w:rPr>
        <w:t>Memorandum</w:t>
      </w:r>
    </w:p>
    <w:p w14:paraId="488D14BB" w14:textId="0A60F6F3" w:rsidR="00FD38EE" w:rsidRPr="00BB4247" w:rsidRDefault="00BB6C72" w:rsidP="00BB4247">
      <w:pPr>
        <w:pStyle w:val="NoSpacing"/>
      </w:pPr>
      <w:r>
        <w:rPr>
          <w:noProof/>
        </w:rPr>
        <mc:AlternateContent>
          <mc:Choice Requires="wps">
            <w:drawing>
              <wp:anchor distT="0" distB="0" distL="114300" distR="114300" simplePos="0" relativeHeight="251657728" behindDoc="0" locked="0" layoutInCell="0" allowOverlap="1" wp14:anchorId="6FFB0041" wp14:editId="1D16AFBF">
                <wp:simplePos x="0" y="0"/>
                <wp:positionH relativeFrom="margin">
                  <wp:posOffset>0</wp:posOffset>
                </wp:positionH>
                <wp:positionV relativeFrom="margin">
                  <wp:posOffset>548640</wp:posOffset>
                </wp:positionV>
                <wp:extent cx="5943600" cy="635"/>
                <wp:effectExtent l="19050" t="15240" r="19050" b="12700"/>
                <wp:wrapNone/>
                <wp:docPr id="2124674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7F1D49C9"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43.2pt" to="468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" o:allowincell="f" strokeweight="2pt">
                <v:stroke startarrowwidth="narrow" startarrowlength="short" endarrowwidth="narrow" endarrowlength="short"/>
                <w10:wrap anchorx="margin" anchory="margin"/>
              </v:line>
            </w:pict>
          </mc:Fallback>
        </mc:AlternateContent>
      </w:r>
    </w:p>
    <w:p w14:paraId="67612D36" w14:textId="77214E41" w:rsidR="00017E66" w:rsidRPr="00017E66" w:rsidRDefault="00FD38EE" w:rsidP="005963AF">
      <w:pPr>
        <w:pStyle w:val="NoSpacing"/>
      </w:pPr>
      <w:r w:rsidRPr="00BB4247">
        <w:rPr>
          <w:b/>
        </w:rPr>
        <w:t>To:</w:t>
      </w:r>
      <w:bookmarkStart w:id="0" w:name="MEMO"/>
      <w:bookmarkEnd w:id="0"/>
      <w:r w:rsidR="00A94442">
        <w:rPr>
          <w:b/>
        </w:rPr>
        <w:t xml:space="preserve">  Jim Orr, Project Manager, NWR</w:t>
      </w:r>
      <w:r w:rsidR="00BB4247" w:rsidRPr="00BB4247">
        <w:rPr>
          <w:b/>
        </w:rPr>
        <w:tab/>
      </w:r>
    </w:p>
    <w:p w14:paraId="1610644F" w14:textId="77777777" w:rsidR="002D2FBA" w:rsidRPr="00BB4247" w:rsidRDefault="002D2FBA" w:rsidP="00BB4247">
      <w:pPr>
        <w:pStyle w:val="NoSpacing"/>
      </w:pPr>
    </w:p>
    <w:p w14:paraId="0DE4EF90" w14:textId="398F91B9" w:rsidR="005963AF" w:rsidRDefault="00FD38EE" w:rsidP="005963AF">
      <w:pPr>
        <w:pStyle w:val="NoSpacing"/>
        <w:rPr>
          <w:b/>
        </w:rPr>
      </w:pPr>
      <w:r w:rsidRPr="00BB4247">
        <w:rPr>
          <w:b/>
        </w:rPr>
        <w:t>From:</w:t>
      </w:r>
      <w:r w:rsidRPr="00BB4247">
        <w:rPr>
          <w:b/>
        </w:rPr>
        <w:tab/>
      </w:r>
      <w:r w:rsidR="00A94442">
        <w:rPr>
          <w:b/>
        </w:rPr>
        <w:t>Jennifer Peterson, Toxicologist, NWR</w:t>
      </w:r>
    </w:p>
    <w:p w14:paraId="22C71805" w14:textId="26085C1A" w:rsidR="002D2FBA" w:rsidRPr="00BB4247" w:rsidRDefault="00017E66" w:rsidP="00BB4247">
      <w:pPr>
        <w:pStyle w:val="NoSpacing"/>
        <w:rPr>
          <w:b/>
        </w:rPr>
      </w:pPr>
      <w:r>
        <w:rPr>
          <w:b/>
        </w:rPr>
        <w:tab/>
      </w:r>
      <w:r>
        <w:rPr>
          <w:b/>
        </w:rPr>
        <w:tab/>
      </w:r>
      <w:r w:rsidR="002D2FBA" w:rsidRPr="00BB4247">
        <w:rPr>
          <w:b/>
        </w:rPr>
        <w:tab/>
      </w:r>
      <w:r w:rsidR="002D2FBA" w:rsidRPr="00BB4247">
        <w:rPr>
          <w:b/>
        </w:rPr>
        <w:tab/>
      </w:r>
      <w:r w:rsidR="005963AF">
        <w:rPr>
          <w:b/>
        </w:rPr>
        <w:tab/>
      </w:r>
      <w:r w:rsidR="005963AF">
        <w:rPr>
          <w:b/>
        </w:rPr>
        <w:tab/>
      </w:r>
      <w:r w:rsidR="005963AF">
        <w:rPr>
          <w:b/>
        </w:rPr>
        <w:tab/>
      </w:r>
      <w:r w:rsidR="002D2FBA" w:rsidRPr="00BB4247">
        <w:rPr>
          <w:b/>
        </w:rPr>
        <w:t>DRAFT</w:t>
      </w:r>
      <w:r w:rsidR="00A94442">
        <w:rPr>
          <w:b/>
        </w:rPr>
        <w:t xml:space="preserve"> 2/1</w:t>
      </w:r>
      <w:r w:rsidR="004B68B0">
        <w:rPr>
          <w:b/>
        </w:rPr>
        <w:t>7</w:t>
      </w:r>
      <w:r w:rsidR="00A94442">
        <w:rPr>
          <w:b/>
        </w:rPr>
        <w:t>/2025</w:t>
      </w:r>
    </w:p>
    <w:p w14:paraId="4AF12DD7" w14:textId="77777777" w:rsidR="00FD38EE" w:rsidRPr="00BB4247" w:rsidRDefault="003E2F1D" w:rsidP="00BB4247">
      <w:pPr>
        <w:pStyle w:val="NoSpacing"/>
      </w:pPr>
      <w:r w:rsidRPr="00BB4247">
        <w:tab/>
      </w:r>
      <w:r w:rsidR="00FD38EE" w:rsidRPr="00BB4247">
        <w:tab/>
      </w:r>
    </w:p>
    <w:p w14:paraId="21786986" w14:textId="20BD2961" w:rsidR="002B04C4" w:rsidRPr="002B04C4" w:rsidRDefault="00FD38EE" w:rsidP="002B04C4">
      <w:pPr>
        <w:pStyle w:val="NoSpacing"/>
        <w:rPr>
          <w:b/>
        </w:rPr>
      </w:pPr>
      <w:r w:rsidRPr="002B04C4">
        <w:rPr>
          <w:b/>
        </w:rPr>
        <w:t>Subject:</w:t>
      </w:r>
      <w:r w:rsidR="00A94442">
        <w:rPr>
          <w:b/>
        </w:rPr>
        <w:t xml:space="preserve"> </w:t>
      </w:r>
      <w:r w:rsidR="0098799D">
        <w:rPr>
          <w:b/>
        </w:rPr>
        <w:t>Gerber Legendary Blades (GLB)</w:t>
      </w:r>
      <w:r w:rsidR="00A94442">
        <w:rPr>
          <w:b/>
        </w:rPr>
        <w:t>, Ecological Risk Assessment</w:t>
      </w:r>
    </w:p>
    <w:p w14:paraId="2374FA0C" w14:textId="77777777" w:rsidR="002B04C4" w:rsidRDefault="002B04C4" w:rsidP="002B04C4">
      <w:pPr>
        <w:pStyle w:val="NoSpacing"/>
      </w:pPr>
    </w:p>
    <w:p w14:paraId="35C4BDAD" w14:textId="4A1201D3" w:rsidR="00AC643A" w:rsidRDefault="00A94442" w:rsidP="00AC643A">
      <w:r w:rsidRPr="00AC643A">
        <w:rPr>
          <w:b/>
          <w:bCs/>
        </w:rPr>
        <w:t>Site</w:t>
      </w:r>
      <w:r w:rsidR="00415B99" w:rsidRPr="00AC643A">
        <w:rPr>
          <w:b/>
          <w:bCs/>
        </w:rPr>
        <w:t xml:space="preserve"> Description</w:t>
      </w:r>
      <w:r w:rsidRPr="00AC643A">
        <w:rPr>
          <w:b/>
          <w:bCs/>
        </w:rPr>
        <w:t>:</w:t>
      </w:r>
      <w:r>
        <w:t xml:space="preserve">  The </w:t>
      </w:r>
      <w:r w:rsidR="0098799D">
        <w:t xml:space="preserve">Gerber Legendary Blades (GLB) </w:t>
      </w:r>
      <w:r>
        <w:t xml:space="preserve">site </w:t>
      </w:r>
      <w:r w:rsidR="00507E24">
        <w:t>is in Tigard, Oregon</w:t>
      </w:r>
      <w:r w:rsidR="00770C91">
        <w:t xml:space="preserve"> at 14200 SW 72</w:t>
      </w:r>
      <w:r w:rsidR="00770C91" w:rsidRPr="00770C91">
        <w:rPr>
          <w:vertAlign w:val="superscript"/>
        </w:rPr>
        <w:t>nd</w:t>
      </w:r>
      <w:r w:rsidR="00770C91">
        <w:t xml:space="preserve"> Ave, Portland, Oregon</w:t>
      </w:r>
      <w:r w:rsidR="00507E24">
        <w:t xml:space="preserve">. It is </w:t>
      </w:r>
      <w:r w:rsidR="00E70D1B">
        <w:t xml:space="preserve">zoned </w:t>
      </w:r>
      <w:r w:rsidR="00421049">
        <w:t xml:space="preserve">as heavy </w:t>
      </w:r>
      <w:r>
        <w:t xml:space="preserve">industrial with </w:t>
      </w:r>
      <w:r w:rsidR="00E70D1B">
        <w:t>a building (77,882 sq feet) containing a warehouse and office used in the manufacturing of knives and other tools.</w:t>
      </w:r>
      <w:r w:rsidR="0098799D">
        <w:t xml:space="preserve"> </w:t>
      </w:r>
      <w:r w:rsidR="00421049" w:rsidRPr="00421049">
        <w:t>Vapor degreaser and plating area present in the western portion of the GLB building.</w:t>
      </w:r>
      <w:r w:rsidR="00421049">
        <w:t xml:space="preserve"> </w:t>
      </w:r>
    </w:p>
    <w:p w14:paraId="5E587BE5" w14:textId="6CEB7E9E" w:rsidR="00AB059C" w:rsidRDefault="0098799D" w:rsidP="00AC643A">
      <w:r>
        <w:t xml:space="preserve">The total lot size is 5-acres, which contains a paved parking lot, operational buildings, and landscaping. The property is bordered to the south by Ball Creek and to the east by an unnamed creek. </w:t>
      </w:r>
      <w:r w:rsidR="00770C91">
        <w:t xml:space="preserve">Carter Creek an associated wetlands east of I-5 becomes Ball Creek as it discharges to the west to Fanno Creek. </w:t>
      </w:r>
      <w:r>
        <w:t>At some point, Ball Creek</w:t>
      </w:r>
      <w:r w:rsidR="00507E24">
        <w:t xml:space="preserve">’s path to the south-west </w:t>
      </w:r>
      <w:r w:rsidR="00770C91">
        <w:t xml:space="preserve">located to the south of the GLB property </w:t>
      </w:r>
      <w:r>
        <w:t xml:space="preserve">was re-routed to the north of </w:t>
      </w:r>
      <w:r w:rsidR="00106513">
        <w:t>its</w:t>
      </w:r>
      <w:r>
        <w:t xml:space="preserve"> </w:t>
      </w:r>
      <w:r w:rsidR="00507E24">
        <w:t>original</w:t>
      </w:r>
      <w:r>
        <w:t xml:space="preserve"> location</w:t>
      </w:r>
      <w:r w:rsidR="00770C91">
        <w:t xml:space="preserve"> to immediately adjacent to the GLB property. After entering a culvert at the south-west part of the property, the creek is </w:t>
      </w:r>
      <w:r w:rsidR="00106513">
        <w:t xml:space="preserve">piped underground </w:t>
      </w:r>
      <w:r w:rsidR="00507E24">
        <w:t>(</w:t>
      </w:r>
      <w:r w:rsidR="00106513">
        <w:t>96” pipe</w:t>
      </w:r>
      <w:r w:rsidR="00507E24">
        <w:t>)</w:t>
      </w:r>
      <w:r w:rsidR="00106513">
        <w:t xml:space="preserve"> until just south-west of the intersection of SW Bonita Rd and SW 72</w:t>
      </w:r>
      <w:r w:rsidR="00106513" w:rsidRPr="00AC643A">
        <w:rPr>
          <w:vertAlign w:val="superscript"/>
        </w:rPr>
        <w:t>nd</w:t>
      </w:r>
      <w:r w:rsidR="00106513">
        <w:t xml:space="preserve"> Avenue (Tigard Maps, </w:t>
      </w:r>
      <w:r w:rsidR="00106513" w:rsidRPr="009774DB">
        <w:rPr>
          <w:b/>
          <w:bCs/>
        </w:rPr>
        <w:t xml:space="preserve">Figure </w:t>
      </w:r>
      <w:r w:rsidR="00507E24" w:rsidRPr="009774DB">
        <w:rPr>
          <w:b/>
          <w:bCs/>
        </w:rPr>
        <w:t>2</w:t>
      </w:r>
      <w:r w:rsidR="00106513">
        <w:t xml:space="preserve">). The historic creek bed with hydric soils is shown in </w:t>
      </w:r>
      <w:r w:rsidR="00106513" w:rsidRPr="009774DB">
        <w:rPr>
          <w:b/>
          <w:bCs/>
        </w:rPr>
        <w:t xml:space="preserve">Figure </w:t>
      </w:r>
      <w:r w:rsidR="00770C91" w:rsidRPr="009774DB">
        <w:rPr>
          <w:b/>
          <w:bCs/>
        </w:rPr>
        <w:t>1</w:t>
      </w:r>
      <w:r w:rsidR="00770C91">
        <w:t xml:space="preserve"> and</w:t>
      </w:r>
      <w:r w:rsidR="00421049">
        <w:t xml:space="preserve"> </w:t>
      </w:r>
      <w:r w:rsidR="00997BA2">
        <w:t>r</w:t>
      </w:r>
      <w:r w:rsidR="00421049">
        <w:t xml:space="preserve">uns under </w:t>
      </w:r>
      <w:r w:rsidR="00770C91">
        <w:t>the adjacent</w:t>
      </w:r>
      <w:r w:rsidR="00997BA2">
        <w:t xml:space="preserve"> commercial property to the south, which currently houses Portland Community College Central Distribution Services, PARR Windows, Take Care Move Assistance, and Thermal Supply.</w:t>
      </w:r>
      <w:r w:rsidR="00421049">
        <w:t xml:space="preserve"> </w:t>
      </w:r>
      <w:r w:rsidR="00507E24">
        <w:t>One m</w:t>
      </w:r>
      <w:r w:rsidR="00421049">
        <w:t xml:space="preserve">onitoring well </w:t>
      </w:r>
      <w:r w:rsidR="00507E24">
        <w:t>(MW-</w:t>
      </w:r>
      <w:r w:rsidR="00421049">
        <w:t>18</w:t>
      </w:r>
      <w:r w:rsidR="00507E24">
        <w:t>)</w:t>
      </w:r>
      <w:r w:rsidR="00421049">
        <w:t xml:space="preserve"> generally falls within the </w:t>
      </w:r>
      <w:r w:rsidR="00997BA2">
        <w:t xml:space="preserve">buried hydric soils </w:t>
      </w:r>
      <w:r w:rsidR="00507E24">
        <w:t xml:space="preserve">from the original </w:t>
      </w:r>
      <w:r w:rsidR="00421049">
        <w:t>creek</w:t>
      </w:r>
      <w:r w:rsidR="00997BA2">
        <w:t xml:space="preserve"> </w:t>
      </w:r>
      <w:r w:rsidR="00507E24">
        <w:t xml:space="preserve">bed </w:t>
      </w:r>
      <w:r w:rsidR="00997BA2">
        <w:t xml:space="preserve">after </w:t>
      </w:r>
      <w:r w:rsidR="00507E24">
        <w:t>exiting</w:t>
      </w:r>
      <w:r w:rsidR="00997BA2">
        <w:t xml:space="preserve"> from under </w:t>
      </w:r>
      <w:r w:rsidR="00507E24">
        <w:t>this</w:t>
      </w:r>
      <w:r w:rsidR="00997BA2">
        <w:t xml:space="preserve"> building</w:t>
      </w:r>
      <w:r w:rsidR="00421049">
        <w:t xml:space="preserve">. </w:t>
      </w:r>
      <w:r w:rsidR="00507E24">
        <w:t>The piped section of</w:t>
      </w:r>
      <w:r w:rsidR="00997BA2">
        <w:t xml:space="preserve"> </w:t>
      </w:r>
      <w:r w:rsidR="00106513">
        <w:t xml:space="preserve">Ball Creek then discharges </w:t>
      </w:r>
      <w:r w:rsidR="00997BA2">
        <w:t>aboveground at Bonita and 72</w:t>
      </w:r>
      <w:r w:rsidR="00997BA2" w:rsidRPr="00AC643A">
        <w:rPr>
          <w:vertAlign w:val="superscript"/>
        </w:rPr>
        <w:t>nd</w:t>
      </w:r>
      <w:r w:rsidR="00997BA2">
        <w:t xml:space="preserve"> as a</w:t>
      </w:r>
      <w:r w:rsidR="00106513">
        <w:t xml:space="preserve"> natural creek with adjacent wetlands</w:t>
      </w:r>
      <w:r w:rsidR="00997BA2">
        <w:t xml:space="preserve">, </w:t>
      </w:r>
      <w:r w:rsidR="00106513">
        <w:t xml:space="preserve">and </w:t>
      </w:r>
      <w:r w:rsidR="00997BA2">
        <w:t xml:space="preserve">subsequently </w:t>
      </w:r>
      <w:r w:rsidR="00106513">
        <w:t xml:space="preserve">to Fanno Creek. </w:t>
      </w:r>
    </w:p>
    <w:p w14:paraId="2075ADDB" w14:textId="77777777" w:rsidR="00115208" w:rsidRDefault="00115208" w:rsidP="00415B99">
      <w:pPr>
        <w:rPr>
          <w:b/>
          <w:bCs/>
        </w:rPr>
      </w:pPr>
    </w:p>
    <w:p w14:paraId="2EA99777" w14:textId="77777777" w:rsidR="00115208" w:rsidRDefault="00115208" w:rsidP="00415B99">
      <w:pPr>
        <w:rPr>
          <w:b/>
          <w:bCs/>
        </w:rPr>
      </w:pPr>
    </w:p>
    <w:p w14:paraId="02D1D1BA" w14:textId="77777777" w:rsidR="00115208" w:rsidRDefault="00115208" w:rsidP="00415B99">
      <w:pPr>
        <w:rPr>
          <w:b/>
          <w:bCs/>
        </w:rPr>
      </w:pPr>
    </w:p>
    <w:p w14:paraId="09101BE9" w14:textId="77777777" w:rsidR="00115208" w:rsidRDefault="00115208" w:rsidP="00415B99">
      <w:pPr>
        <w:rPr>
          <w:b/>
          <w:bCs/>
        </w:rPr>
      </w:pPr>
    </w:p>
    <w:p w14:paraId="35B6354B" w14:textId="77777777" w:rsidR="00115208" w:rsidRDefault="00115208" w:rsidP="00415B99">
      <w:pPr>
        <w:rPr>
          <w:b/>
          <w:bCs/>
        </w:rPr>
      </w:pPr>
    </w:p>
    <w:p w14:paraId="419C1EFA" w14:textId="77777777" w:rsidR="00115208" w:rsidRDefault="00115208" w:rsidP="00415B99">
      <w:pPr>
        <w:rPr>
          <w:b/>
          <w:bCs/>
        </w:rPr>
      </w:pPr>
    </w:p>
    <w:p w14:paraId="1A6E956F" w14:textId="77777777" w:rsidR="00115208" w:rsidRDefault="00115208" w:rsidP="00415B99">
      <w:pPr>
        <w:rPr>
          <w:b/>
          <w:bCs/>
        </w:rPr>
      </w:pPr>
    </w:p>
    <w:p w14:paraId="60A9D81B" w14:textId="77777777" w:rsidR="00115208" w:rsidRDefault="00115208" w:rsidP="00415B99">
      <w:pPr>
        <w:rPr>
          <w:b/>
          <w:bCs/>
        </w:rPr>
      </w:pPr>
    </w:p>
    <w:p w14:paraId="433C3D21" w14:textId="59010679" w:rsidR="00415B99" w:rsidRPr="002140C2" w:rsidRDefault="00415B99" w:rsidP="00415B99">
      <w:pPr>
        <w:rPr>
          <w:b/>
          <w:bCs/>
        </w:rPr>
      </w:pPr>
      <w:r w:rsidRPr="002140C2">
        <w:rPr>
          <w:b/>
          <w:bCs/>
        </w:rPr>
        <w:lastRenderedPageBreak/>
        <w:t>Figure</w:t>
      </w:r>
      <w:r w:rsidR="00AC643A">
        <w:rPr>
          <w:b/>
          <w:bCs/>
        </w:rPr>
        <w:t xml:space="preserve"> </w:t>
      </w:r>
      <w:r w:rsidRPr="002140C2">
        <w:rPr>
          <w:b/>
          <w:bCs/>
        </w:rPr>
        <w:t xml:space="preserve">1: </w:t>
      </w:r>
      <w:r w:rsidR="00507E24">
        <w:rPr>
          <w:b/>
          <w:bCs/>
        </w:rPr>
        <w:t xml:space="preserve">GLB Site (yellow circle) with Adjacent </w:t>
      </w:r>
      <w:r w:rsidRPr="002140C2">
        <w:rPr>
          <w:b/>
          <w:bCs/>
        </w:rPr>
        <w:t>Oregon Wetland Inventory Hydric Soils, Statewide Streams, and Wetland Delineation</w:t>
      </w:r>
    </w:p>
    <w:p w14:paraId="30954545" w14:textId="537140E8" w:rsidR="00415B99" w:rsidRDefault="00997BA2" w:rsidP="00415B99">
      <w:r w:rsidRPr="00997BA2">
        <w:rPr>
          <w:noProof/>
        </w:rPr>
        <w:drawing>
          <wp:inline distT="0" distB="0" distL="0" distR="0" wp14:anchorId="3AD3E311" wp14:editId="08D590BE">
            <wp:extent cx="6206490" cy="3448050"/>
            <wp:effectExtent l="19050" t="19050" r="22860" b="19050"/>
            <wp:docPr id="205256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68796" name=""/>
                    <pic:cNvPicPr/>
                  </pic:nvPicPr>
                  <pic:blipFill>
                    <a:blip r:embed="rId7"/>
                    <a:stretch>
                      <a:fillRect/>
                    </a:stretch>
                  </pic:blipFill>
                  <pic:spPr>
                    <a:xfrm>
                      <a:off x="0" y="0"/>
                      <a:ext cx="6208403" cy="3449113"/>
                    </a:xfrm>
                    <a:prstGeom prst="rect">
                      <a:avLst/>
                    </a:prstGeom>
                    <a:ln>
                      <a:solidFill>
                        <a:schemeClr val="accent1"/>
                      </a:solidFill>
                    </a:ln>
                  </pic:spPr>
                </pic:pic>
              </a:graphicData>
            </a:graphic>
          </wp:inline>
        </w:drawing>
      </w:r>
    </w:p>
    <w:p w14:paraId="2DB5AFE0" w14:textId="35E965D1" w:rsidR="00415B99" w:rsidRPr="002140C2" w:rsidRDefault="00415B99" w:rsidP="002B04C4">
      <w:pPr>
        <w:rPr>
          <w:b/>
          <w:bCs/>
        </w:rPr>
      </w:pPr>
      <w:r w:rsidRPr="002140C2">
        <w:rPr>
          <w:b/>
          <w:bCs/>
        </w:rPr>
        <w:t xml:space="preserve">Figure </w:t>
      </w:r>
      <w:r w:rsidR="00AC643A">
        <w:rPr>
          <w:b/>
          <w:bCs/>
        </w:rPr>
        <w:t>2</w:t>
      </w:r>
      <w:r w:rsidRPr="002140C2">
        <w:rPr>
          <w:b/>
          <w:bCs/>
        </w:rPr>
        <w:t xml:space="preserve">: </w:t>
      </w:r>
      <w:r w:rsidR="002140C2" w:rsidRPr="002140C2">
        <w:rPr>
          <w:b/>
          <w:bCs/>
        </w:rPr>
        <w:t>Stormwater System for Ball Creek off GLB from Tigard Maps</w:t>
      </w:r>
    </w:p>
    <w:p w14:paraId="0DB2477D" w14:textId="77777777" w:rsidR="00541FE7" w:rsidRDefault="00421049" w:rsidP="00AC643A">
      <w:r w:rsidRPr="00421049">
        <w:rPr>
          <w:noProof/>
        </w:rPr>
        <w:drawing>
          <wp:inline distT="0" distB="0" distL="0" distR="0" wp14:anchorId="7761BCE7" wp14:editId="5AC2A8F7">
            <wp:extent cx="3356237" cy="2990850"/>
            <wp:effectExtent l="19050" t="19050" r="15875" b="19050"/>
            <wp:docPr id="176936515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65157" name="Picture 1" descr="Map&#10;&#10;Description automatically generated"/>
                    <pic:cNvPicPr/>
                  </pic:nvPicPr>
                  <pic:blipFill>
                    <a:blip r:embed="rId8"/>
                    <a:stretch>
                      <a:fillRect/>
                    </a:stretch>
                  </pic:blipFill>
                  <pic:spPr>
                    <a:xfrm>
                      <a:off x="0" y="0"/>
                      <a:ext cx="3364186" cy="2997933"/>
                    </a:xfrm>
                    <a:prstGeom prst="rect">
                      <a:avLst/>
                    </a:prstGeom>
                    <a:ln>
                      <a:solidFill>
                        <a:schemeClr val="accent1"/>
                      </a:solidFill>
                    </a:ln>
                  </pic:spPr>
                </pic:pic>
              </a:graphicData>
            </a:graphic>
          </wp:inline>
        </w:drawing>
      </w:r>
    </w:p>
    <w:p w14:paraId="38B22ECD" w14:textId="4A2522BB" w:rsidR="00AC643A" w:rsidRDefault="00AB059C" w:rsidP="00AC643A">
      <w:r w:rsidRPr="00AC643A">
        <w:rPr>
          <w:b/>
          <w:bCs/>
        </w:rPr>
        <w:lastRenderedPageBreak/>
        <w:t>Habitat:</w:t>
      </w:r>
      <w:r w:rsidR="00676019" w:rsidRPr="00AC643A">
        <w:rPr>
          <w:b/>
          <w:bCs/>
        </w:rPr>
        <w:t xml:space="preserve"> </w:t>
      </w:r>
    </w:p>
    <w:p w14:paraId="51812870" w14:textId="79C0FD40" w:rsidR="00656829" w:rsidRPr="00AC643A" w:rsidRDefault="00656829" w:rsidP="00AC643A">
      <w:pPr>
        <w:pStyle w:val="ListParagraph"/>
        <w:numPr>
          <w:ilvl w:val="0"/>
          <w:numId w:val="10"/>
        </w:numPr>
        <w:rPr>
          <w:b/>
          <w:bCs/>
        </w:rPr>
      </w:pPr>
      <w:r w:rsidRPr="00AC643A">
        <w:rPr>
          <w:u w:val="single"/>
        </w:rPr>
        <w:t>Aquatic</w:t>
      </w:r>
      <w:r w:rsidR="00366B7C" w:rsidRPr="00AC643A">
        <w:rPr>
          <w:u w:val="single"/>
        </w:rPr>
        <w:t xml:space="preserve"> Habitat </w:t>
      </w:r>
      <w:r w:rsidR="00366B7C">
        <w:t>– Stream and Wetlands (</w:t>
      </w:r>
      <w:r w:rsidR="00366B7C" w:rsidRPr="009774DB">
        <w:rPr>
          <w:b/>
          <w:bCs/>
        </w:rPr>
        <w:t>Figure</w:t>
      </w:r>
      <w:r w:rsidR="009774DB" w:rsidRPr="009774DB">
        <w:rPr>
          <w:b/>
          <w:bCs/>
        </w:rPr>
        <w:t>s</w:t>
      </w:r>
      <w:r w:rsidR="00366B7C" w:rsidRPr="009774DB">
        <w:rPr>
          <w:b/>
          <w:bCs/>
        </w:rPr>
        <w:t xml:space="preserve"> 2</w:t>
      </w:r>
      <w:r w:rsidR="009774DB" w:rsidRPr="009774DB">
        <w:rPr>
          <w:b/>
          <w:bCs/>
        </w:rPr>
        <w:t xml:space="preserve"> and 3</w:t>
      </w:r>
      <w:r w:rsidR="00366B7C">
        <w:t>)</w:t>
      </w:r>
      <w:r>
        <w:t xml:space="preserve">: </w:t>
      </w:r>
    </w:p>
    <w:p w14:paraId="2101EA20" w14:textId="62E3FA3B" w:rsidR="00AB059C" w:rsidRDefault="00676019" w:rsidP="00656829">
      <w:pPr>
        <w:pStyle w:val="ListParagraph"/>
        <w:numPr>
          <w:ilvl w:val="1"/>
          <w:numId w:val="9"/>
        </w:numPr>
      </w:pPr>
      <w:r>
        <w:t xml:space="preserve">Ball Creek is a </w:t>
      </w:r>
      <w:r w:rsidR="001E07E9">
        <w:t xml:space="preserve">medium sized perennial stream flow coming from drainage from Carter Creek on the east side of I-5. </w:t>
      </w:r>
      <w:r w:rsidR="0033312E">
        <w:t>This portion of Ball Creek is delineated as seasonal nontidal wetlands by the National Wetland’s Inventory (NWI).</w:t>
      </w:r>
    </w:p>
    <w:p w14:paraId="518C56F1" w14:textId="2F3F9C88" w:rsidR="00656829" w:rsidRDefault="00656829" w:rsidP="00656829">
      <w:pPr>
        <w:pStyle w:val="ListParagraph"/>
        <w:numPr>
          <w:ilvl w:val="1"/>
          <w:numId w:val="9"/>
        </w:numPr>
      </w:pPr>
      <w:r>
        <w:t xml:space="preserve">Wetlands </w:t>
      </w:r>
      <w:r w:rsidR="00507E24">
        <w:t xml:space="preserve">are delineated as a </w:t>
      </w:r>
      <w:r>
        <w:t>part of Tigard’s Local Wetland Inventory</w:t>
      </w:r>
      <w:r w:rsidR="00507E24">
        <w:t xml:space="preserve"> </w:t>
      </w:r>
      <w:r w:rsidR="0033312E">
        <w:t xml:space="preserve">(LWI) and the NWI </w:t>
      </w:r>
      <w:r w:rsidR="00507E24">
        <w:t>are present i</w:t>
      </w:r>
      <w:r w:rsidR="00366B7C">
        <w:t>n</w:t>
      </w:r>
      <w:r>
        <w:t xml:space="preserve"> Ball Creek southwest of the intersection of SW Bonita Rd and SW 72</w:t>
      </w:r>
      <w:r w:rsidRPr="00415B99">
        <w:rPr>
          <w:vertAlign w:val="superscript"/>
        </w:rPr>
        <w:t>nd</w:t>
      </w:r>
      <w:r>
        <w:t xml:space="preserve"> Avenue.</w:t>
      </w:r>
    </w:p>
    <w:p w14:paraId="0BC6EAD4" w14:textId="4F3F03C6" w:rsidR="00656829" w:rsidRDefault="00366B7C" w:rsidP="00656829">
      <w:pPr>
        <w:pStyle w:val="ListParagraph"/>
        <w:numPr>
          <w:ilvl w:val="1"/>
          <w:numId w:val="9"/>
        </w:numPr>
      </w:pPr>
      <w:r>
        <w:t xml:space="preserve">Ball Creek discharges to </w:t>
      </w:r>
      <w:r w:rsidR="00656829">
        <w:t>Fanno Creek</w:t>
      </w:r>
      <w:r>
        <w:t>, which</w:t>
      </w:r>
      <w:r w:rsidR="00656829">
        <w:t xml:space="preserve"> is a large statewide stream with adjacent wetlands also delineated by the City of Tigard</w:t>
      </w:r>
      <w:r w:rsidR="0033312E">
        <w:t xml:space="preserve"> and the NWI</w:t>
      </w:r>
      <w:r w:rsidR="00656829">
        <w:t>. Fanno creek is listed as essential salmonid habitat</w:t>
      </w:r>
      <w:r w:rsidR="0033312E">
        <w:t xml:space="preserve"> (fish spawning areas) that are designated as essential for salmonid species to thrive. Fanno Creek is also listed </w:t>
      </w:r>
      <w:r>
        <w:t xml:space="preserve">for the Western Pond Turtle </w:t>
      </w:r>
      <w:r w:rsidR="0033312E">
        <w:t>as a</w:t>
      </w:r>
      <w:r>
        <w:t xml:space="preserve"> sensitive species</w:t>
      </w:r>
      <w:r w:rsidR="00656829">
        <w:t>.</w:t>
      </w:r>
    </w:p>
    <w:p w14:paraId="2B45AF07" w14:textId="439BD8DB" w:rsidR="00AB059C" w:rsidRDefault="00AB059C" w:rsidP="00AB059C">
      <w:pPr>
        <w:rPr>
          <w:b/>
          <w:bCs/>
        </w:rPr>
      </w:pPr>
      <w:r w:rsidRPr="002140C2">
        <w:rPr>
          <w:b/>
          <w:bCs/>
        </w:rPr>
        <w:t xml:space="preserve">Figure </w:t>
      </w:r>
      <w:r w:rsidR="00AC643A">
        <w:rPr>
          <w:b/>
          <w:bCs/>
        </w:rPr>
        <w:t>3</w:t>
      </w:r>
      <w:r w:rsidR="0033312E">
        <w:rPr>
          <w:b/>
          <w:bCs/>
        </w:rPr>
        <w:t xml:space="preserve">: </w:t>
      </w:r>
      <w:r w:rsidR="00CD7820">
        <w:rPr>
          <w:b/>
          <w:bCs/>
        </w:rPr>
        <w:t xml:space="preserve">GLB Surrounding </w:t>
      </w:r>
      <w:r w:rsidR="0033312E">
        <w:rPr>
          <w:b/>
          <w:bCs/>
        </w:rPr>
        <w:t>Wetlands and Hydro</w:t>
      </w:r>
      <w:r w:rsidR="00CD7820">
        <w:rPr>
          <w:b/>
          <w:bCs/>
        </w:rPr>
        <w:t>logy, Essential Salmonid Habitat</w:t>
      </w:r>
    </w:p>
    <w:p w14:paraId="40E04CAE" w14:textId="58D2C477" w:rsidR="001E07E9" w:rsidRPr="00AB059C" w:rsidRDefault="001E07E9" w:rsidP="00AB059C">
      <w:pPr>
        <w:rPr>
          <w:b/>
          <w:bCs/>
        </w:rPr>
      </w:pPr>
      <w:r w:rsidRPr="001E07E9">
        <w:rPr>
          <w:b/>
          <w:bCs/>
          <w:noProof/>
        </w:rPr>
        <w:drawing>
          <wp:inline distT="0" distB="0" distL="0" distR="0" wp14:anchorId="28C7F3C8" wp14:editId="1BC4508C">
            <wp:extent cx="5727700" cy="3112295"/>
            <wp:effectExtent l="19050" t="19050" r="25400" b="12065"/>
            <wp:docPr id="44078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5064" name=""/>
                    <pic:cNvPicPr/>
                  </pic:nvPicPr>
                  <pic:blipFill>
                    <a:blip r:embed="rId9"/>
                    <a:stretch>
                      <a:fillRect/>
                    </a:stretch>
                  </pic:blipFill>
                  <pic:spPr>
                    <a:xfrm>
                      <a:off x="0" y="0"/>
                      <a:ext cx="5729846" cy="3113461"/>
                    </a:xfrm>
                    <a:prstGeom prst="rect">
                      <a:avLst/>
                    </a:prstGeom>
                    <a:ln>
                      <a:solidFill>
                        <a:schemeClr val="accent1"/>
                      </a:solidFill>
                    </a:ln>
                  </pic:spPr>
                </pic:pic>
              </a:graphicData>
            </a:graphic>
          </wp:inline>
        </w:drawing>
      </w:r>
    </w:p>
    <w:p w14:paraId="35964D8F" w14:textId="3E733627" w:rsidR="002557CF" w:rsidRPr="00CD7820" w:rsidRDefault="00656829" w:rsidP="00AB059C">
      <w:pPr>
        <w:pStyle w:val="ListParagraph"/>
        <w:numPr>
          <w:ilvl w:val="0"/>
          <w:numId w:val="9"/>
        </w:numPr>
      </w:pPr>
      <w:r w:rsidRPr="00AC643A">
        <w:rPr>
          <w:u w:val="single"/>
        </w:rPr>
        <w:t>Riparian</w:t>
      </w:r>
      <w:r w:rsidR="00366B7C" w:rsidRPr="00AC643A">
        <w:rPr>
          <w:u w:val="single"/>
        </w:rPr>
        <w:t xml:space="preserve"> Habitat</w:t>
      </w:r>
      <w:r w:rsidRPr="00656829">
        <w:t>:</w:t>
      </w:r>
      <w:r>
        <w:t xml:space="preserve"> The section of Ball Creek to the south of GLB is delineated by the City of Tigard as Goal 5 </w:t>
      </w:r>
      <w:r w:rsidR="00CD7820">
        <w:t xml:space="preserve">safe harbor </w:t>
      </w:r>
      <w:r>
        <w:t xml:space="preserve">riparian </w:t>
      </w:r>
      <w:r w:rsidR="00CD7820">
        <w:t xml:space="preserve">corridor </w:t>
      </w:r>
      <w:r>
        <w:t xml:space="preserve">habitat </w:t>
      </w:r>
      <w:r w:rsidR="00CD7820">
        <w:t xml:space="preserve">which defines a setback distance to protect fish bearing streams (OAR 660-23-0030) </w:t>
      </w:r>
      <w:r>
        <w:t>(</w:t>
      </w:r>
      <w:r w:rsidRPr="009774DB">
        <w:rPr>
          <w:b/>
          <w:bCs/>
        </w:rPr>
        <w:t xml:space="preserve">Figure </w:t>
      </w:r>
      <w:r w:rsidR="009774DB" w:rsidRPr="009774DB">
        <w:rPr>
          <w:b/>
          <w:bCs/>
        </w:rPr>
        <w:t>4</w:t>
      </w:r>
      <w:r>
        <w:t>).</w:t>
      </w:r>
    </w:p>
    <w:p w14:paraId="787AC953" w14:textId="77777777" w:rsidR="00541FE7" w:rsidRDefault="00541FE7" w:rsidP="00AB059C">
      <w:pPr>
        <w:rPr>
          <w:b/>
          <w:bCs/>
        </w:rPr>
      </w:pPr>
    </w:p>
    <w:p w14:paraId="7C83E0E6" w14:textId="0B6D3AF0" w:rsidR="00676019" w:rsidRDefault="00676019" w:rsidP="00AB059C">
      <w:pPr>
        <w:rPr>
          <w:b/>
          <w:bCs/>
        </w:rPr>
      </w:pPr>
      <w:r w:rsidRPr="00676019">
        <w:rPr>
          <w:b/>
          <w:bCs/>
        </w:rPr>
        <w:lastRenderedPageBreak/>
        <w:t xml:space="preserve">Figure </w:t>
      </w:r>
      <w:r w:rsidR="00AC643A">
        <w:rPr>
          <w:b/>
          <w:bCs/>
        </w:rPr>
        <w:t>4</w:t>
      </w:r>
      <w:r w:rsidR="00CD7820">
        <w:rPr>
          <w:b/>
          <w:bCs/>
        </w:rPr>
        <w:t>: Tigard Environmental Regulation for Sensitive Lands</w:t>
      </w:r>
    </w:p>
    <w:p w14:paraId="2BABB21D" w14:textId="3CB51B56" w:rsidR="00676019" w:rsidRPr="00676019" w:rsidRDefault="00656829" w:rsidP="00AB059C">
      <w:pPr>
        <w:rPr>
          <w:b/>
          <w:bCs/>
        </w:rPr>
      </w:pPr>
      <w:r w:rsidRPr="00656829">
        <w:rPr>
          <w:b/>
          <w:bCs/>
          <w:noProof/>
        </w:rPr>
        <w:drawing>
          <wp:inline distT="0" distB="0" distL="0" distR="0" wp14:anchorId="0AE688F0" wp14:editId="46CF30C5">
            <wp:extent cx="4578350" cy="2928481"/>
            <wp:effectExtent l="19050" t="19050" r="12700" b="24765"/>
            <wp:docPr id="93938488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84883" name="Picture 1" descr="Diagram&#10;&#10;Description automatically generated"/>
                    <pic:cNvPicPr/>
                  </pic:nvPicPr>
                  <pic:blipFill>
                    <a:blip r:embed="rId10"/>
                    <a:stretch>
                      <a:fillRect/>
                    </a:stretch>
                  </pic:blipFill>
                  <pic:spPr>
                    <a:xfrm>
                      <a:off x="0" y="0"/>
                      <a:ext cx="4587732" cy="2934482"/>
                    </a:xfrm>
                    <a:prstGeom prst="rect">
                      <a:avLst/>
                    </a:prstGeom>
                    <a:ln>
                      <a:solidFill>
                        <a:schemeClr val="accent1"/>
                      </a:solidFill>
                    </a:ln>
                  </pic:spPr>
                </pic:pic>
              </a:graphicData>
            </a:graphic>
          </wp:inline>
        </w:drawing>
      </w:r>
    </w:p>
    <w:p w14:paraId="0F793396" w14:textId="29B914CA" w:rsidR="00AB059C" w:rsidRDefault="00A94442" w:rsidP="00AB059C">
      <w:r w:rsidRPr="00AC643A">
        <w:rPr>
          <w:b/>
          <w:bCs/>
        </w:rPr>
        <w:t>Contaminants of Interest</w:t>
      </w:r>
      <w:r w:rsidR="00421049" w:rsidRPr="00AC643A">
        <w:rPr>
          <w:b/>
          <w:bCs/>
        </w:rPr>
        <w:t>:</w:t>
      </w:r>
      <w:r w:rsidR="00421049">
        <w:t xml:space="preserve"> The primary contaminants </w:t>
      </w:r>
      <w:r w:rsidR="00AB059C">
        <w:t xml:space="preserve">evaluated are </w:t>
      </w:r>
      <w:r w:rsidR="008E3F66">
        <w:t xml:space="preserve">HVOCs or </w:t>
      </w:r>
      <w:r w:rsidR="00AB059C">
        <w:t>chlorinated solvents including PCE, TCE and their degradation productions cis-1,2-dichloroethene, trans-1,2-dichloroethene, and vinyl chloride as characterized outlined in GLB’s Dec. 18</w:t>
      </w:r>
      <w:r w:rsidR="00AB059C" w:rsidRPr="00AB059C">
        <w:rPr>
          <w:vertAlign w:val="superscript"/>
        </w:rPr>
        <w:t>t</w:t>
      </w:r>
      <w:r w:rsidR="00AB059C">
        <w:rPr>
          <w:vertAlign w:val="superscript"/>
        </w:rPr>
        <w:t>h</w:t>
      </w:r>
      <w:r w:rsidR="00AB059C">
        <w:t>, 2013, Strategy Recommendation.</w:t>
      </w:r>
      <w:r w:rsidR="005C403D">
        <w:t xml:space="preserve"> </w:t>
      </w:r>
      <w:r w:rsidR="000666C1">
        <w:t>If other data area available for screening, this memo should be updated.</w:t>
      </w:r>
    </w:p>
    <w:p w14:paraId="400B6B78" w14:textId="77777777" w:rsidR="00676019" w:rsidRDefault="00AB059C" w:rsidP="00676019">
      <w:r>
        <w:t>Other COIs that are described as present or suspected to be present include</w:t>
      </w:r>
      <w:r w:rsidR="00676019">
        <w:t xml:space="preserve">: </w:t>
      </w:r>
    </w:p>
    <w:p w14:paraId="536F71AF" w14:textId="33FE2399" w:rsidR="00421049" w:rsidRDefault="008E3F66" w:rsidP="00676019">
      <w:pPr>
        <w:pStyle w:val="ListParagraph"/>
        <w:numPr>
          <w:ilvl w:val="0"/>
          <w:numId w:val="5"/>
        </w:numPr>
      </w:pPr>
      <w:r>
        <w:t>Hexavalent chrome (</w:t>
      </w:r>
      <w:r w:rsidR="00421049">
        <w:t xml:space="preserve">Chromium </w:t>
      </w:r>
      <w:r w:rsidR="002557CF">
        <w:t>VI</w:t>
      </w:r>
      <w:r>
        <w:t>) from chromic acid (oxidizing agent) used in the plating process. There are no hexavalent chromium data presented in the strategy report.</w:t>
      </w:r>
    </w:p>
    <w:p w14:paraId="7C67BBA7" w14:textId="4641D730" w:rsidR="00421049" w:rsidRDefault="00421049" w:rsidP="00AB059C">
      <w:pPr>
        <w:pStyle w:val="ListParagraph"/>
        <w:numPr>
          <w:ilvl w:val="0"/>
          <w:numId w:val="5"/>
        </w:numPr>
      </w:pPr>
      <w:r>
        <w:t>Chloroform</w:t>
      </w:r>
      <w:r w:rsidR="008E3F66">
        <w:t xml:space="preserve">: This COI is mentioned in the report as present in vapor samples, but there are no chloroform data present in the strategy report. </w:t>
      </w:r>
    </w:p>
    <w:p w14:paraId="3894D3C1" w14:textId="0430E5C0" w:rsidR="002557CF" w:rsidRPr="00460DC7" w:rsidRDefault="008E3F66" w:rsidP="005C403D">
      <w:pPr>
        <w:pStyle w:val="ListParagraph"/>
        <w:numPr>
          <w:ilvl w:val="0"/>
          <w:numId w:val="5"/>
        </w:numPr>
      </w:pPr>
      <w:r>
        <w:t>Per-and poly-Fluoroalkyl substances (</w:t>
      </w:r>
      <w:r w:rsidR="00421049">
        <w:t>PFAS</w:t>
      </w:r>
      <w:r>
        <w:t>): PFAS are commonly used as a suppressant for harmful fumes emitted during hexavalent chromium plating. It is highly likely that due to the history of chromium plating at the site, PFAS may be present at significant concentrations.</w:t>
      </w:r>
    </w:p>
    <w:p w14:paraId="69E03251" w14:textId="77777777" w:rsidR="00F80EEF" w:rsidRDefault="00F80EEF" w:rsidP="00AC643A">
      <w:pPr>
        <w:rPr>
          <w:b/>
          <w:bCs/>
        </w:rPr>
      </w:pPr>
    </w:p>
    <w:p w14:paraId="2022656A" w14:textId="77777777" w:rsidR="00F80EEF" w:rsidRDefault="00F80EEF" w:rsidP="00AC643A">
      <w:pPr>
        <w:rPr>
          <w:b/>
          <w:bCs/>
        </w:rPr>
      </w:pPr>
    </w:p>
    <w:p w14:paraId="6CCE17F2" w14:textId="77777777" w:rsidR="00541FE7" w:rsidRDefault="00541FE7" w:rsidP="00AC643A">
      <w:pPr>
        <w:rPr>
          <w:b/>
          <w:bCs/>
        </w:rPr>
      </w:pPr>
    </w:p>
    <w:p w14:paraId="508A2A3E" w14:textId="198A6194" w:rsidR="00676019" w:rsidRPr="00AC643A" w:rsidRDefault="00A94442" w:rsidP="00AC643A">
      <w:pPr>
        <w:rPr>
          <w:b/>
          <w:bCs/>
        </w:rPr>
      </w:pPr>
      <w:r w:rsidRPr="00AC643A">
        <w:rPr>
          <w:b/>
          <w:bCs/>
        </w:rPr>
        <w:lastRenderedPageBreak/>
        <w:t>Complete Pathways</w:t>
      </w:r>
      <w:r w:rsidR="00AB059C" w:rsidRPr="00AC643A">
        <w:rPr>
          <w:b/>
          <w:bCs/>
        </w:rPr>
        <w:t>:</w:t>
      </w:r>
      <w:r w:rsidR="00676019" w:rsidRPr="00AC643A">
        <w:rPr>
          <w:b/>
          <w:bCs/>
        </w:rPr>
        <w:t xml:space="preserve"> </w:t>
      </w:r>
    </w:p>
    <w:p w14:paraId="24371822" w14:textId="06F6B462" w:rsidR="00AB059C" w:rsidRDefault="00115208" w:rsidP="00676019">
      <w:pPr>
        <w:pStyle w:val="ListParagraph"/>
        <w:numPr>
          <w:ilvl w:val="0"/>
          <w:numId w:val="8"/>
        </w:numPr>
      </w:pPr>
      <w:r w:rsidRPr="00115208">
        <w:rPr>
          <w:u w:val="single"/>
        </w:rPr>
        <w:t>Aquatic Life (Porewater, Surface Water, Sediment):</w:t>
      </w:r>
      <w:r>
        <w:t xml:space="preserve"> </w:t>
      </w:r>
      <w:r w:rsidR="00AB059C">
        <w:t xml:space="preserve">Groundwater </w:t>
      </w:r>
      <w:r w:rsidR="00676019">
        <w:t xml:space="preserve">and </w:t>
      </w:r>
      <w:r w:rsidR="00366B7C">
        <w:t xml:space="preserve">potential </w:t>
      </w:r>
      <w:r w:rsidR="00676019">
        <w:t xml:space="preserve">stormwater </w:t>
      </w:r>
      <w:r w:rsidR="00AB059C">
        <w:t xml:space="preserve">discharge to </w:t>
      </w:r>
      <w:r w:rsidR="00676019">
        <w:t xml:space="preserve">the sediments and surface water of </w:t>
      </w:r>
      <w:r w:rsidR="00AB059C">
        <w:t>Ball Creek south of the GLB facility</w:t>
      </w:r>
      <w:r w:rsidR="00676019">
        <w:t xml:space="preserve">. </w:t>
      </w:r>
      <w:r>
        <w:t>W</w:t>
      </w:r>
      <w:r w:rsidR="00676019">
        <w:t xml:space="preserve">ater </w:t>
      </w:r>
      <w:r w:rsidR="00AB059C">
        <w:t xml:space="preserve">piped </w:t>
      </w:r>
      <w:r>
        <w:t xml:space="preserve">from Ball Creek adjacent to GLB </w:t>
      </w:r>
      <w:r w:rsidR="005C403D">
        <w:t>may potentially</w:t>
      </w:r>
      <w:r w:rsidR="00676019">
        <w:t xml:space="preserve"> impact </w:t>
      </w:r>
      <w:r w:rsidR="00AB059C">
        <w:t>Ball and Fanno Creeks and associated wetlands</w:t>
      </w:r>
      <w:r w:rsidR="00676019">
        <w:t xml:space="preserve"> to the southwest</w:t>
      </w:r>
      <w:r w:rsidR="00AB059C">
        <w:t>.</w:t>
      </w:r>
      <w:r w:rsidR="00460DC7">
        <w:t xml:space="preserve"> Characterization data in Ball Creek are not presented in the strategy report, but upland groundwater data are available to evaluate this pathway. </w:t>
      </w:r>
    </w:p>
    <w:p w14:paraId="7A63FE92" w14:textId="77777777" w:rsidR="00460DC7" w:rsidRDefault="00115208" w:rsidP="00D06F7D">
      <w:pPr>
        <w:pStyle w:val="ListParagraph"/>
        <w:numPr>
          <w:ilvl w:val="0"/>
          <w:numId w:val="8"/>
        </w:numPr>
      </w:pPr>
      <w:r w:rsidRPr="00460DC7">
        <w:rPr>
          <w:u w:val="single"/>
        </w:rPr>
        <w:t>Wildlife (Surface Water):</w:t>
      </w:r>
      <w:r>
        <w:t xml:space="preserve"> </w:t>
      </w:r>
      <w:r w:rsidR="00676019">
        <w:t>Wildlife exposure to surface water of Ball Creek</w:t>
      </w:r>
      <w:r>
        <w:t xml:space="preserve"> through direct ingestion</w:t>
      </w:r>
      <w:r w:rsidR="00460DC7">
        <w:t>. Characterization data in Ball Creek are not presented in the strategy report, but upland groundwater data are available to evaluate this pathway.</w:t>
      </w:r>
    </w:p>
    <w:p w14:paraId="4EDC0725" w14:textId="78851207" w:rsidR="00460DC7" w:rsidRDefault="00676019" w:rsidP="00D06F7D">
      <w:pPr>
        <w:pStyle w:val="ListParagraph"/>
        <w:numPr>
          <w:ilvl w:val="0"/>
          <w:numId w:val="8"/>
        </w:numPr>
      </w:pPr>
      <w:r w:rsidRPr="00460DC7">
        <w:rPr>
          <w:u w:val="single"/>
        </w:rPr>
        <w:t xml:space="preserve">Wildlife </w:t>
      </w:r>
      <w:r w:rsidR="00115208" w:rsidRPr="00460DC7">
        <w:rPr>
          <w:u w:val="single"/>
        </w:rPr>
        <w:t>(Soils and sediments):</w:t>
      </w:r>
      <w:r w:rsidR="00115208">
        <w:t xml:space="preserve"> Wildlife e</w:t>
      </w:r>
      <w:r>
        <w:t xml:space="preserve">xposure to </w:t>
      </w:r>
      <w:r w:rsidR="00115208">
        <w:t xml:space="preserve">sediments of Ball Creek and </w:t>
      </w:r>
      <w:r>
        <w:t xml:space="preserve">riparian soils </w:t>
      </w:r>
      <w:r w:rsidR="00115208">
        <w:t>through incidental ingestion and feeding.</w:t>
      </w:r>
      <w:r w:rsidR="00460DC7">
        <w:t xml:space="preserve"> Soil data are not presented in the strategy report. This could represent a data gap.</w:t>
      </w:r>
    </w:p>
    <w:p w14:paraId="02691C1F" w14:textId="6A0AF3BA" w:rsidR="00676019" w:rsidRDefault="00676019" w:rsidP="00460DC7">
      <w:pPr>
        <w:pStyle w:val="ListParagraph"/>
      </w:pPr>
    </w:p>
    <w:p w14:paraId="65176B80" w14:textId="15A9FC3E" w:rsidR="002557CF" w:rsidRDefault="00A94442" w:rsidP="002B04C4">
      <w:r w:rsidRPr="00AC643A">
        <w:rPr>
          <w:b/>
          <w:bCs/>
        </w:rPr>
        <w:t>Screening</w:t>
      </w:r>
      <w:r w:rsidR="00366B7C" w:rsidRPr="00AC643A">
        <w:rPr>
          <w:b/>
          <w:bCs/>
        </w:rPr>
        <w:t>:</w:t>
      </w:r>
      <w:r w:rsidR="00366B7C">
        <w:t xml:space="preserve"> </w:t>
      </w:r>
      <w:r w:rsidR="005C403D">
        <w:t xml:space="preserve">Water concentrations </w:t>
      </w:r>
      <w:r w:rsidR="00C6003C">
        <w:t xml:space="preserve">measured in </w:t>
      </w:r>
      <w:r w:rsidR="005C403D">
        <w:t xml:space="preserve">groundwater in monitoring wells and grab samples </w:t>
      </w:r>
      <w:r w:rsidR="00366B7C">
        <w:t xml:space="preserve">borings </w:t>
      </w:r>
      <w:r w:rsidR="005C403D">
        <w:t xml:space="preserve">were </w:t>
      </w:r>
      <w:r w:rsidR="00366B7C">
        <w:t xml:space="preserve">compared to DEQ’s </w:t>
      </w:r>
      <w:r w:rsidR="005C403D">
        <w:t xml:space="preserve">Table 2, </w:t>
      </w:r>
      <w:r w:rsidR="005C403D" w:rsidRPr="00C6003C">
        <w:rPr>
          <w:i/>
          <w:iCs/>
        </w:rPr>
        <w:t>Risk Based Concentrations for Water</w:t>
      </w:r>
      <w:r w:rsidR="005C403D">
        <w:t xml:space="preserve"> </w:t>
      </w:r>
      <w:r w:rsidR="00C6003C">
        <w:t>in</w:t>
      </w:r>
      <w:r w:rsidR="005C403D">
        <w:t xml:space="preserve"> </w:t>
      </w:r>
      <w:r w:rsidR="00C6003C" w:rsidRPr="00C6003C">
        <w:rPr>
          <w:i/>
          <w:iCs/>
        </w:rPr>
        <w:t>Conducting Ecological Risk Assessments</w:t>
      </w:r>
      <w:r w:rsidR="00C6003C">
        <w:t xml:space="preserve">, Oregon DEQ, 2020. </w:t>
      </w:r>
      <w:r w:rsidR="00C6003C" w:rsidRPr="005C4C27">
        <w:rPr>
          <w:b/>
          <w:bCs/>
        </w:rPr>
        <w:t>Table</w:t>
      </w:r>
      <w:r w:rsidR="005C4C27">
        <w:rPr>
          <w:b/>
          <w:bCs/>
        </w:rPr>
        <w:t>s</w:t>
      </w:r>
      <w:r w:rsidR="00C6003C" w:rsidRPr="005C4C27">
        <w:rPr>
          <w:b/>
          <w:bCs/>
        </w:rPr>
        <w:t xml:space="preserve"> 1</w:t>
      </w:r>
      <w:r w:rsidR="005C4C27">
        <w:rPr>
          <w:b/>
          <w:bCs/>
        </w:rPr>
        <w:t xml:space="preserve"> and 2</w:t>
      </w:r>
      <w:r w:rsidR="00C6003C">
        <w:t xml:space="preserve"> lists the RBCs </w:t>
      </w:r>
      <w:r w:rsidR="005C4C27">
        <w:t xml:space="preserve">(aquatic and wildlife water) </w:t>
      </w:r>
      <w:r w:rsidR="00C6003C">
        <w:t>used in this evaluation.</w:t>
      </w:r>
      <w:r w:rsidR="005C4C27">
        <w:t xml:space="preserve"> </w:t>
      </w:r>
      <w:r w:rsidR="005C4C27" w:rsidRPr="005C4C27">
        <w:rPr>
          <w:b/>
          <w:bCs/>
        </w:rPr>
        <w:t>Figure 5</w:t>
      </w:r>
      <w:r w:rsidR="005C4C27">
        <w:t xml:space="preserve"> shows the upland groundwater locations used in the screening.</w:t>
      </w:r>
    </w:p>
    <w:p w14:paraId="07973F78" w14:textId="5D71F78E" w:rsidR="00C6003C" w:rsidRPr="001F027C" w:rsidRDefault="00C6003C" w:rsidP="002B04C4">
      <w:pPr>
        <w:rPr>
          <w:b/>
          <w:bCs/>
        </w:rPr>
      </w:pPr>
      <w:r w:rsidRPr="001F027C">
        <w:rPr>
          <w:b/>
          <w:bCs/>
        </w:rPr>
        <w:t xml:space="preserve">Table 1: </w:t>
      </w:r>
      <w:r w:rsidR="00460DC7">
        <w:rPr>
          <w:b/>
          <w:bCs/>
        </w:rPr>
        <w:t xml:space="preserve">Oregon DEQ </w:t>
      </w:r>
      <w:r w:rsidRPr="001F027C">
        <w:rPr>
          <w:b/>
          <w:bCs/>
        </w:rPr>
        <w:t>Aquatic Risk Based Concentrations (ug/L)</w:t>
      </w:r>
      <w:r w:rsidR="00460DC7">
        <w:rPr>
          <w:b/>
          <w:bCs/>
        </w:rPr>
        <w:t xml:space="preserve"> (ODEQ, 2020</w:t>
      </w:r>
      <w:r w:rsidR="00182ABB">
        <w:rPr>
          <w:b/>
          <w:bCs/>
        </w:rPr>
        <w:t>, Table 2</w:t>
      </w:r>
      <w:r w:rsidR="00460DC7">
        <w:rPr>
          <w:b/>
          <w:bCs/>
        </w:rPr>
        <w:t>)</w:t>
      </w:r>
    </w:p>
    <w:tbl>
      <w:tblPr>
        <w:tblW w:w="8377" w:type="dxa"/>
        <w:tblLook w:val="04A0" w:firstRow="1" w:lastRow="0" w:firstColumn="1" w:lastColumn="0" w:noHBand="0" w:noVBand="1"/>
      </w:tblPr>
      <w:tblGrid>
        <w:gridCol w:w="4425"/>
        <w:gridCol w:w="1186"/>
        <w:gridCol w:w="809"/>
        <w:gridCol w:w="1054"/>
        <w:gridCol w:w="903"/>
      </w:tblGrid>
      <w:tr w:rsidR="00C6003C" w:rsidRPr="00C6003C" w14:paraId="33E9E4FB" w14:textId="77777777" w:rsidTr="001F027C">
        <w:trPr>
          <w:trHeight w:val="722"/>
        </w:trPr>
        <w:tc>
          <w:tcPr>
            <w:tcW w:w="4425" w:type="dxa"/>
            <w:tcBorders>
              <w:top w:val="single" w:sz="4" w:space="0" w:color="auto"/>
              <w:left w:val="single" w:sz="4" w:space="0" w:color="auto"/>
              <w:bottom w:val="single" w:sz="4" w:space="0" w:color="auto"/>
              <w:right w:val="single" w:sz="4" w:space="0" w:color="auto"/>
            </w:tcBorders>
            <w:shd w:val="clear" w:color="000000" w:fill="CCCCCC"/>
            <w:vAlign w:val="bottom"/>
            <w:hideMark/>
          </w:tcPr>
          <w:p w14:paraId="13AC0989" w14:textId="77777777" w:rsidR="00C6003C" w:rsidRPr="00C6003C" w:rsidRDefault="00C6003C" w:rsidP="00C6003C">
            <w:pPr>
              <w:spacing w:after="0" w:line="240" w:lineRule="auto"/>
              <w:jc w:val="center"/>
              <w:rPr>
                <w:rFonts w:ascii="Arial" w:eastAsia="Times New Roman" w:hAnsi="Arial" w:cs="Arial"/>
                <w:b/>
                <w:bCs/>
                <w:color w:val="000000"/>
                <w:kern w:val="0"/>
                <w:sz w:val="22"/>
                <w:szCs w:val="22"/>
              </w:rPr>
            </w:pPr>
            <w:r w:rsidRPr="00C6003C">
              <w:rPr>
                <w:rFonts w:ascii="Arial" w:eastAsia="Times New Roman" w:hAnsi="Arial" w:cs="Arial"/>
                <w:b/>
                <w:bCs/>
                <w:color w:val="000000"/>
                <w:kern w:val="0"/>
                <w:sz w:val="22"/>
                <w:szCs w:val="22"/>
              </w:rPr>
              <w:t>Chemical Name</w:t>
            </w:r>
          </w:p>
        </w:tc>
        <w:tc>
          <w:tcPr>
            <w:tcW w:w="1186" w:type="dxa"/>
            <w:tcBorders>
              <w:top w:val="single" w:sz="4" w:space="0" w:color="auto"/>
              <w:left w:val="nil"/>
              <w:bottom w:val="single" w:sz="4" w:space="0" w:color="auto"/>
              <w:right w:val="single" w:sz="4" w:space="0" w:color="auto"/>
            </w:tcBorders>
            <w:shd w:val="clear" w:color="000000" w:fill="CCCCCC"/>
            <w:vAlign w:val="bottom"/>
            <w:hideMark/>
          </w:tcPr>
          <w:p w14:paraId="49F67A53" w14:textId="77777777" w:rsidR="00C6003C" w:rsidRPr="00C6003C" w:rsidRDefault="00C6003C" w:rsidP="00C6003C">
            <w:pPr>
              <w:spacing w:after="0" w:line="240" w:lineRule="auto"/>
              <w:jc w:val="center"/>
              <w:rPr>
                <w:rFonts w:ascii="Arial" w:eastAsia="Times New Roman" w:hAnsi="Arial" w:cs="Arial"/>
                <w:b/>
                <w:bCs/>
                <w:color w:val="000000"/>
                <w:kern w:val="0"/>
                <w:sz w:val="22"/>
                <w:szCs w:val="22"/>
              </w:rPr>
            </w:pPr>
            <w:r w:rsidRPr="00C6003C">
              <w:rPr>
                <w:rFonts w:ascii="Arial" w:eastAsia="Times New Roman" w:hAnsi="Arial" w:cs="Arial"/>
                <w:b/>
                <w:bCs/>
                <w:color w:val="000000"/>
                <w:kern w:val="0"/>
                <w:sz w:val="22"/>
                <w:szCs w:val="22"/>
              </w:rPr>
              <w:t>CASRN</w:t>
            </w:r>
          </w:p>
        </w:tc>
        <w:tc>
          <w:tcPr>
            <w:tcW w:w="809" w:type="dxa"/>
            <w:tcBorders>
              <w:top w:val="single" w:sz="4" w:space="0" w:color="auto"/>
              <w:left w:val="nil"/>
              <w:bottom w:val="single" w:sz="4" w:space="0" w:color="auto"/>
              <w:right w:val="single" w:sz="4" w:space="0" w:color="auto"/>
            </w:tcBorders>
            <w:shd w:val="clear" w:color="000000" w:fill="CCCCCC"/>
            <w:vAlign w:val="bottom"/>
            <w:hideMark/>
          </w:tcPr>
          <w:p w14:paraId="0FBFACC7" w14:textId="77777777" w:rsidR="00C6003C" w:rsidRPr="00C6003C" w:rsidRDefault="00C6003C" w:rsidP="00C6003C">
            <w:pPr>
              <w:spacing w:after="0" w:line="240" w:lineRule="auto"/>
              <w:jc w:val="center"/>
              <w:rPr>
                <w:rFonts w:ascii="Arial" w:eastAsia="Times New Roman" w:hAnsi="Arial" w:cs="Arial"/>
                <w:b/>
                <w:bCs/>
                <w:color w:val="000000"/>
                <w:kern w:val="0"/>
                <w:sz w:val="22"/>
                <w:szCs w:val="22"/>
              </w:rPr>
            </w:pPr>
            <w:r w:rsidRPr="00C6003C">
              <w:rPr>
                <w:rFonts w:ascii="Arial" w:eastAsia="Times New Roman" w:hAnsi="Arial" w:cs="Arial"/>
                <w:b/>
                <w:bCs/>
                <w:color w:val="000000"/>
                <w:kern w:val="0"/>
                <w:sz w:val="22"/>
                <w:szCs w:val="22"/>
              </w:rPr>
              <w:t>units</w:t>
            </w:r>
          </w:p>
        </w:tc>
        <w:tc>
          <w:tcPr>
            <w:tcW w:w="1054" w:type="dxa"/>
            <w:tcBorders>
              <w:top w:val="single" w:sz="4" w:space="0" w:color="auto"/>
              <w:left w:val="nil"/>
              <w:bottom w:val="single" w:sz="4" w:space="0" w:color="auto"/>
              <w:right w:val="single" w:sz="4" w:space="0" w:color="auto"/>
            </w:tcBorders>
            <w:shd w:val="clear" w:color="000000" w:fill="CCCCCC"/>
            <w:vAlign w:val="bottom"/>
            <w:hideMark/>
          </w:tcPr>
          <w:p w14:paraId="475413FA" w14:textId="77777777" w:rsidR="00C6003C" w:rsidRPr="00C6003C" w:rsidRDefault="00C6003C" w:rsidP="00C6003C">
            <w:pPr>
              <w:spacing w:after="0" w:line="240" w:lineRule="auto"/>
              <w:jc w:val="center"/>
              <w:rPr>
                <w:rFonts w:ascii="Arial" w:eastAsia="Times New Roman" w:hAnsi="Arial" w:cs="Arial"/>
                <w:b/>
                <w:bCs/>
                <w:color w:val="000000"/>
                <w:kern w:val="0"/>
                <w:sz w:val="22"/>
                <w:szCs w:val="22"/>
              </w:rPr>
            </w:pPr>
            <w:r w:rsidRPr="00C6003C">
              <w:rPr>
                <w:rFonts w:ascii="Arial" w:eastAsia="Times New Roman" w:hAnsi="Arial" w:cs="Arial"/>
                <w:b/>
                <w:bCs/>
                <w:color w:val="000000"/>
                <w:kern w:val="0"/>
                <w:sz w:val="22"/>
                <w:szCs w:val="22"/>
              </w:rPr>
              <w:t>RBC Chronic</w:t>
            </w:r>
          </w:p>
        </w:tc>
        <w:tc>
          <w:tcPr>
            <w:tcW w:w="903" w:type="dxa"/>
            <w:tcBorders>
              <w:top w:val="single" w:sz="4" w:space="0" w:color="auto"/>
              <w:left w:val="nil"/>
              <w:bottom w:val="single" w:sz="4" w:space="0" w:color="auto"/>
              <w:right w:val="single" w:sz="4" w:space="0" w:color="auto"/>
            </w:tcBorders>
            <w:shd w:val="clear" w:color="000000" w:fill="CCCCCC"/>
            <w:vAlign w:val="bottom"/>
            <w:hideMark/>
          </w:tcPr>
          <w:p w14:paraId="7F8F34CF" w14:textId="77777777" w:rsidR="00C6003C" w:rsidRPr="00C6003C" w:rsidRDefault="00C6003C" w:rsidP="00C6003C">
            <w:pPr>
              <w:spacing w:after="0" w:line="240" w:lineRule="auto"/>
              <w:jc w:val="center"/>
              <w:rPr>
                <w:rFonts w:ascii="Arial" w:eastAsia="Times New Roman" w:hAnsi="Arial" w:cs="Arial"/>
                <w:b/>
                <w:bCs/>
                <w:color w:val="000000"/>
                <w:kern w:val="0"/>
                <w:sz w:val="22"/>
                <w:szCs w:val="22"/>
              </w:rPr>
            </w:pPr>
            <w:r w:rsidRPr="00C6003C">
              <w:rPr>
                <w:rFonts w:ascii="Arial" w:eastAsia="Times New Roman" w:hAnsi="Arial" w:cs="Arial"/>
                <w:b/>
                <w:bCs/>
                <w:color w:val="000000"/>
                <w:kern w:val="0"/>
                <w:sz w:val="22"/>
                <w:szCs w:val="22"/>
              </w:rPr>
              <w:t>RBC Acute</w:t>
            </w:r>
          </w:p>
        </w:tc>
      </w:tr>
      <w:tr w:rsidR="00C6003C" w:rsidRPr="00C6003C" w14:paraId="44093A31" w14:textId="77777777" w:rsidTr="001F027C">
        <w:trPr>
          <w:trHeight w:val="248"/>
        </w:trPr>
        <w:tc>
          <w:tcPr>
            <w:tcW w:w="4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24DB9"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1,1-DICHLOROETHENE (1,1-DICHLOROETHYLENE)</w:t>
            </w:r>
          </w:p>
        </w:tc>
        <w:tc>
          <w:tcPr>
            <w:tcW w:w="1186" w:type="dxa"/>
            <w:tcBorders>
              <w:top w:val="single" w:sz="4" w:space="0" w:color="auto"/>
              <w:left w:val="nil"/>
              <w:bottom w:val="single" w:sz="4" w:space="0" w:color="auto"/>
              <w:right w:val="single" w:sz="4" w:space="0" w:color="auto"/>
            </w:tcBorders>
            <w:shd w:val="clear" w:color="auto" w:fill="auto"/>
            <w:vAlign w:val="bottom"/>
            <w:hideMark/>
          </w:tcPr>
          <w:p w14:paraId="066C7233"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75-35-4</w:t>
            </w:r>
          </w:p>
        </w:tc>
        <w:tc>
          <w:tcPr>
            <w:tcW w:w="809" w:type="dxa"/>
            <w:tcBorders>
              <w:top w:val="single" w:sz="4" w:space="0" w:color="auto"/>
              <w:left w:val="nil"/>
              <w:bottom w:val="single" w:sz="4" w:space="0" w:color="auto"/>
              <w:right w:val="single" w:sz="4" w:space="0" w:color="auto"/>
            </w:tcBorders>
            <w:shd w:val="clear" w:color="auto" w:fill="auto"/>
            <w:vAlign w:val="bottom"/>
            <w:hideMark/>
          </w:tcPr>
          <w:p w14:paraId="0965C6A7"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ug/L</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2082AA05"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130</w:t>
            </w:r>
          </w:p>
        </w:tc>
        <w:tc>
          <w:tcPr>
            <w:tcW w:w="903" w:type="dxa"/>
            <w:tcBorders>
              <w:top w:val="single" w:sz="4" w:space="0" w:color="auto"/>
              <w:left w:val="nil"/>
              <w:bottom w:val="single" w:sz="4" w:space="0" w:color="auto"/>
              <w:right w:val="single" w:sz="4" w:space="0" w:color="auto"/>
            </w:tcBorders>
            <w:shd w:val="clear" w:color="auto" w:fill="auto"/>
            <w:vAlign w:val="bottom"/>
            <w:hideMark/>
          </w:tcPr>
          <w:p w14:paraId="4FC141E1"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1,200</w:t>
            </w:r>
          </w:p>
        </w:tc>
      </w:tr>
      <w:tr w:rsidR="00C6003C" w:rsidRPr="00C6003C" w14:paraId="5D4B9687" w14:textId="77777777" w:rsidTr="001F027C">
        <w:trPr>
          <w:trHeight w:val="236"/>
        </w:trPr>
        <w:tc>
          <w:tcPr>
            <w:tcW w:w="4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0A4165"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1,2-TRANS-DICHLOROETHYLENE</w:t>
            </w:r>
          </w:p>
        </w:tc>
        <w:tc>
          <w:tcPr>
            <w:tcW w:w="1186" w:type="dxa"/>
            <w:tcBorders>
              <w:top w:val="single" w:sz="4" w:space="0" w:color="auto"/>
              <w:left w:val="nil"/>
              <w:bottom w:val="single" w:sz="4" w:space="0" w:color="auto"/>
              <w:right w:val="single" w:sz="4" w:space="0" w:color="auto"/>
            </w:tcBorders>
            <w:shd w:val="clear" w:color="auto" w:fill="auto"/>
            <w:vAlign w:val="bottom"/>
            <w:hideMark/>
          </w:tcPr>
          <w:p w14:paraId="717B8021"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156-60-5</w:t>
            </w:r>
          </w:p>
        </w:tc>
        <w:tc>
          <w:tcPr>
            <w:tcW w:w="809" w:type="dxa"/>
            <w:tcBorders>
              <w:top w:val="single" w:sz="4" w:space="0" w:color="auto"/>
              <w:left w:val="nil"/>
              <w:bottom w:val="single" w:sz="4" w:space="0" w:color="auto"/>
              <w:right w:val="single" w:sz="4" w:space="0" w:color="auto"/>
            </w:tcBorders>
            <w:shd w:val="clear" w:color="auto" w:fill="auto"/>
            <w:vAlign w:val="bottom"/>
            <w:hideMark/>
          </w:tcPr>
          <w:p w14:paraId="29EF53EC"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ug/L</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5D7347CB"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560</w:t>
            </w:r>
          </w:p>
        </w:tc>
        <w:tc>
          <w:tcPr>
            <w:tcW w:w="903" w:type="dxa"/>
            <w:tcBorders>
              <w:top w:val="single" w:sz="4" w:space="0" w:color="auto"/>
              <w:left w:val="nil"/>
              <w:bottom w:val="single" w:sz="4" w:space="0" w:color="auto"/>
              <w:right w:val="single" w:sz="4" w:space="0" w:color="auto"/>
            </w:tcBorders>
            <w:shd w:val="clear" w:color="auto" w:fill="auto"/>
            <w:vAlign w:val="bottom"/>
            <w:hideMark/>
          </w:tcPr>
          <w:p w14:paraId="2A962664"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10,000</w:t>
            </w:r>
          </w:p>
        </w:tc>
      </w:tr>
      <w:tr w:rsidR="00C6003C" w:rsidRPr="00C6003C" w14:paraId="4B2F6455" w14:textId="77777777" w:rsidTr="001F027C">
        <w:trPr>
          <w:trHeight w:val="236"/>
        </w:trPr>
        <w:tc>
          <w:tcPr>
            <w:tcW w:w="4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DAAED5"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CHLOROETHENE (VINYL CHLORIDE)</w:t>
            </w:r>
          </w:p>
        </w:tc>
        <w:tc>
          <w:tcPr>
            <w:tcW w:w="1186" w:type="dxa"/>
            <w:tcBorders>
              <w:top w:val="single" w:sz="4" w:space="0" w:color="auto"/>
              <w:left w:val="nil"/>
              <w:bottom w:val="single" w:sz="4" w:space="0" w:color="auto"/>
              <w:right w:val="single" w:sz="4" w:space="0" w:color="auto"/>
            </w:tcBorders>
            <w:shd w:val="clear" w:color="auto" w:fill="auto"/>
            <w:vAlign w:val="bottom"/>
            <w:hideMark/>
          </w:tcPr>
          <w:p w14:paraId="5B71E989"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75-01-4</w:t>
            </w:r>
          </w:p>
        </w:tc>
        <w:tc>
          <w:tcPr>
            <w:tcW w:w="809" w:type="dxa"/>
            <w:tcBorders>
              <w:top w:val="single" w:sz="4" w:space="0" w:color="auto"/>
              <w:left w:val="nil"/>
              <w:bottom w:val="single" w:sz="4" w:space="0" w:color="auto"/>
              <w:right w:val="single" w:sz="4" w:space="0" w:color="auto"/>
            </w:tcBorders>
            <w:shd w:val="clear" w:color="auto" w:fill="auto"/>
            <w:vAlign w:val="bottom"/>
            <w:hideMark/>
          </w:tcPr>
          <w:p w14:paraId="3C190389"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ug/L</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26A985A6"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930</w:t>
            </w:r>
          </w:p>
        </w:tc>
        <w:tc>
          <w:tcPr>
            <w:tcW w:w="903" w:type="dxa"/>
            <w:tcBorders>
              <w:top w:val="single" w:sz="4" w:space="0" w:color="auto"/>
              <w:left w:val="nil"/>
              <w:bottom w:val="single" w:sz="4" w:space="0" w:color="auto"/>
              <w:right w:val="single" w:sz="4" w:space="0" w:color="auto"/>
            </w:tcBorders>
            <w:shd w:val="clear" w:color="auto" w:fill="auto"/>
            <w:vAlign w:val="bottom"/>
            <w:hideMark/>
          </w:tcPr>
          <w:p w14:paraId="5078F3D7"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8,400</w:t>
            </w:r>
          </w:p>
        </w:tc>
      </w:tr>
      <w:tr w:rsidR="00C6003C" w:rsidRPr="00C6003C" w14:paraId="210FBF90" w14:textId="77777777" w:rsidTr="001F027C">
        <w:trPr>
          <w:trHeight w:val="236"/>
        </w:trPr>
        <w:tc>
          <w:tcPr>
            <w:tcW w:w="4425" w:type="dxa"/>
            <w:tcBorders>
              <w:top w:val="nil"/>
              <w:left w:val="single" w:sz="4" w:space="0" w:color="auto"/>
              <w:bottom w:val="single" w:sz="4" w:space="0" w:color="auto"/>
              <w:right w:val="single" w:sz="4" w:space="0" w:color="auto"/>
            </w:tcBorders>
            <w:shd w:val="clear" w:color="auto" w:fill="auto"/>
            <w:vAlign w:val="bottom"/>
            <w:hideMark/>
          </w:tcPr>
          <w:p w14:paraId="7428F9ED"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1,2-CIS-DICHLOROETHYENE</w:t>
            </w:r>
          </w:p>
        </w:tc>
        <w:tc>
          <w:tcPr>
            <w:tcW w:w="1186" w:type="dxa"/>
            <w:tcBorders>
              <w:top w:val="nil"/>
              <w:left w:val="nil"/>
              <w:bottom w:val="single" w:sz="4" w:space="0" w:color="auto"/>
              <w:right w:val="single" w:sz="4" w:space="0" w:color="auto"/>
            </w:tcBorders>
            <w:shd w:val="clear" w:color="auto" w:fill="auto"/>
            <w:vAlign w:val="bottom"/>
            <w:hideMark/>
          </w:tcPr>
          <w:p w14:paraId="6308EC43"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156-59-2</w:t>
            </w:r>
          </w:p>
        </w:tc>
        <w:tc>
          <w:tcPr>
            <w:tcW w:w="809" w:type="dxa"/>
            <w:tcBorders>
              <w:top w:val="nil"/>
              <w:left w:val="nil"/>
              <w:bottom w:val="single" w:sz="4" w:space="0" w:color="auto"/>
              <w:right w:val="single" w:sz="4" w:space="0" w:color="auto"/>
            </w:tcBorders>
            <w:shd w:val="clear" w:color="auto" w:fill="auto"/>
            <w:vAlign w:val="bottom"/>
            <w:hideMark/>
          </w:tcPr>
          <w:p w14:paraId="685CA738"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ug/L</w:t>
            </w:r>
          </w:p>
        </w:tc>
        <w:tc>
          <w:tcPr>
            <w:tcW w:w="1054" w:type="dxa"/>
            <w:tcBorders>
              <w:top w:val="nil"/>
              <w:left w:val="nil"/>
              <w:bottom w:val="single" w:sz="4" w:space="0" w:color="auto"/>
              <w:right w:val="single" w:sz="4" w:space="0" w:color="auto"/>
            </w:tcBorders>
            <w:shd w:val="clear" w:color="auto" w:fill="auto"/>
            <w:vAlign w:val="bottom"/>
            <w:hideMark/>
          </w:tcPr>
          <w:p w14:paraId="45880A3A"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620</w:t>
            </w:r>
          </w:p>
        </w:tc>
        <w:tc>
          <w:tcPr>
            <w:tcW w:w="903" w:type="dxa"/>
            <w:tcBorders>
              <w:top w:val="nil"/>
              <w:left w:val="nil"/>
              <w:bottom w:val="single" w:sz="4" w:space="0" w:color="auto"/>
              <w:right w:val="single" w:sz="4" w:space="0" w:color="auto"/>
            </w:tcBorders>
            <w:shd w:val="clear" w:color="auto" w:fill="auto"/>
            <w:vAlign w:val="bottom"/>
            <w:hideMark/>
          </w:tcPr>
          <w:p w14:paraId="0EFD28B7"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5,500</w:t>
            </w:r>
          </w:p>
        </w:tc>
      </w:tr>
      <w:tr w:rsidR="00C6003C" w:rsidRPr="00C6003C" w14:paraId="0FA2EFD4" w14:textId="77777777" w:rsidTr="001F027C">
        <w:trPr>
          <w:trHeight w:val="236"/>
        </w:trPr>
        <w:tc>
          <w:tcPr>
            <w:tcW w:w="4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4AAEF"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1,1,2,2-TETRACHLOROETHYLENE (PCE)</w:t>
            </w:r>
          </w:p>
        </w:tc>
        <w:tc>
          <w:tcPr>
            <w:tcW w:w="1186" w:type="dxa"/>
            <w:tcBorders>
              <w:top w:val="single" w:sz="4" w:space="0" w:color="auto"/>
              <w:left w:val="nil"/>
              <w:bottom w:val="single" w:sz="4" w:space="0" w:color="auto"/>
              <w:right w:val="single" w:sz="4" w:space="0" w:color="auto"/>
            </w:tcBorders>
            <w:shd w:val="clear" w:color="auto" w:fill="auto"/>
            <w:vAlign w:val="bottom"/>
            <w:hideMark/>
          </w:tcPr>
          <w:p w14:paraId="238E98CC"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127-18-4</w:t>
            </w:r>
          </w:p>
        </w:tc>
        <w:tc>
          <w:tcPr>
            <w:tcW w:w="809" w:type="dxa"/>
            <w:tcBorders>
              <w:top w:val="single" w:sz="4" w:space="0" w:color="auto"/>
              <w:left w:val="nil"/>
              <w:bottom w:val="single" w:sz="4" w:space="0" w:color="auto"/>
              <w:right w:val="single" w:sz="4" w:space="0" w:color="auto"/>
            </w:tcBorders>
            <w:shd w:val="clear" w:color="auto" w:fill="auto"/>
            <w:vAlign w:val="bottom"/>
            <w:hideMark/>
          </w:tcPr>
          <w:p w14:paraId="30889B42"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ug/L</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03B901F4" w14:textId="3796DE86"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53</w:t>
            </w:r>
          </w:p>
        </w:tc>
        <w:tc>
          <w:tcPr>
            <w:tcW w:w="903" w:type="dxa"/>
            <w:tcBorders>
              <w:top w:val="single" w:sz="4" w:space="0" w:color="auto"/>
              <w:left w:val="nil"/>
              <w:bottom w:val="single" w:sz="4" w:space="0" w:color="auto"/>
              <w:right w:val="single" w:sz="4" w:space="0" w:color="auto"/>
            </w:tcBorders>
            <w:shd w:val="clear" w:color="auto" w:fill="auto"/>
            <w:vAlign w:val="bottom"/>
            <w:hideMark/>
          </w:tcPr>
          <w:p w14:paraId="6B8CB259"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430</w:t>
            </w:r>
          </w:p>
        </w:tc>
      </w:tr>
      <w:tr w:rsidR="00C6003C" w:rsidRPr="00C6003C" w14:paraId="5428ED59" w14:textId="77777777" w:rsidTr="001F027C">
        <w:trPr>
          <w:trHeight w:val="236"/>
        </w:trPr>
        <w:tc>
          <w:tcPr>
            <w:tcW w:w="4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75647"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1,1,2-TRICHLOROETHYLENE (TCE)</w:t>
            </w:r>
          </w:p>
        </w:tc>
        <w:tc>
          <w:tcPr>
            <w:tcW w:w="1186" w:type="dxa"/>
            <w:tcBorders>
              <w:top w:val="single" w:sz="4" w:space="0" w:color="auto"/>
              <w:left w:val="nil"/>
              <w:bottom w:val="single" w:sz="4" w:space="0" w:color="auto"/>
              <w:right w:val="single" w:sz="4" w:space="0" w:color="auto"/>
            </w:tcBorders>
            <w:shd w:val="clear" w:color="auto" w:fill="auto"/>
            <w:vAlign w:val="bottom"/>
            <w:hideMark/>
          </w:tcPr>
          <w:p w14:paraId="7815DFD2"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79-01-6</w:t>
            </w:r>
          </w:p>
        </w:tc>
        <w:tc>
          <w:tcPr>
            <w:tcW w:w="809" w:type="dxa"/>
            <w:tcBorders>
              <w:top w:val="single" w:sz="4" w:space="0" w:color="auto"/>
              <w:left w:val="nil"/>
              <w:bottom w:val="single" w:sz="4" w:space="0" w:color="auto"/>
              <w:right w:val="single" w:sz="4" w:space="0" w:color="auto"/>
            </w:tcBorders>
            <w:shd w:val="clear" w:color="auto" w:fill="auto"/>
            <w:vAlign w:val="bottom"/>
            <w:hideMark/>
          </w:tcPr>
          <w:p w14:paraId="7A386935" w14:textId="77777777" w:rsidR="00C6003C" w:rsidRPr="00C6003C" w:rsidRDefault="00C6003C" w:rsidP="00C6003C">
            <w:pPr>
              <w:spacing w:after="0" w:line="240" w:lineRule="auto"/>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ug/L</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14:paraId="61290213"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220</w:t>
            </w:r>
          </w:p>
        </w:tc>
        <w:tc>
          <w:tcPr>
            <w:tcW w:w="903" w:type="dxa"/>
            <w:tcBorders>
              <w:top w:val="single" w:sz="4" w:space="0" w:color="auto"/>
              <w:left w:val="nil"/>
              <w:bottom w:val="single" w:sz="4" w:space="0" w:color="auto"/>
              <w:right w:val="single" w:sz="4" w:space="0" w:color="auto"/>
            </w:tcBorders>
            <w:shd w:val="clear" w:color="auto" w:fill="auto"/>
            <w:vAlign w:val="bottom"/>
            <w:hideMark/>
          </w:tcPr>
          <w:p w14:paraId="7D417B6D" w14:textId="77777777" w:rsidR="00C6003C" w:rsidRPr="00C6003C" w:rsidRDefault="00C6003C" w:rsidP="00AC643A">
            <w:pPr>
              <w:spacing w:after="0" w:line="240" w:lineRule="auto"/>
              <w:jc w:val="center"/>
              <w:rPr>
                <w:rFonts w:ascii="Arial" w:eastAsia="Times New Roman" w:hAnsi="Arial" w:cs="Arial"/>
                <w:color w:val="000000"/>
                <w:kern w:val="0"/>
                <w:sz w:val="18"/>
                <w:szCs w:val="18"/>
              </w:rPr>
            </w:pPr>
            <w:r w:rsidRPr="00C6003C">
              <w:rPr>
                <w:rFonts w:ascii="Arial" w:eastAsia="Times New Roman" w:hAnsi="Arial" w:cs="Arial"/>
                <w:color w:val="000000"/>
                <w:kern w:val="0"/>
                <w:sz w:val="18"/>
                <w:szCs w:val="18"/>
              </w:rPr>
              <w:t>2,000</w:t>
            </w:r>
          </w:p>
        </w:tc>
      </w:tr>
    </w:tbl>
    <w:p w14:paraId="258E5D94" w14:textId="77777777" w:rsidR="001F027C" w:rsidRPr="001F027C" w:rsidRDefault="001F027C" w:rsidP="002B04C4">
      <w:pPr>
        <w:rPr>
          <w:b/>
          <w:bCs/>
        </w:rPr>
      </w:pPr>
    </w:p>
    <w:p w14:paraId="31D6EE96" w14:textId="77777777" w:rsidR="00F80EEF" w:rsidRDefault="00F80EEF" w:rsidP="002B04C4">
      <w:pPr>
        <w:rPr>
          <w:b/>
          <w:bCs/>
        </w:rPr>
      </w:pPr>
    </w:p>
    <w:p w14:paraId="12A8010D" w14:textId="77777777" w:rsidR="00F80EEF" w:rsidRDefault="00F80EEF" w:rsidP="002B04C4">
      <w:pPr>
        <w:rPr>
          <w:b/>
          <w:bCs/>
        </w:rPr>
      </w:pPr>
    </w:p>
    <w:p w14:paraId="0B401B3A" w14:textId="77777777" w:rsidR="00F80EEF" w:rsidRDefault="00F80EEF" w:rsidP="002B04C4">
      <w:pPr>
        <w:rPr>
          <w:b/>
          <w:bCs/>
        </w:rPr>
      </w:pPr>
    </w:p>
    <w:p w14:paraId="072552E4" w14:textId="77777777" w:rsidR="00541FE7" w:rsidRDefault="00541FE7" w:rsidP="002B04C4">
      <w:pPr>
        <w:rPr>
          <w:b/>
          <w:bCs/>
        </w:rPr>
      </w:pPr>
    </w:p>
    <w:p w14:paraId="6B6F9BFF" w14:textId="72069FF7" w:rsidR="00AC643A" w:rsidRPr="001F027C" w:rsidRDefault="00AC643A" w:rsidP="002B04C4">
      <w:pPr>
        <w:rPr>
          <w:b/>
          <w:bCs/>
        </w:rPr>
      </w:pPr>
      <w:r w:rsidRPr="001F027C">
        <w:rPr>
          <w:b/>
          <w:bCs/>
        </w:rPr>
        <w:lastRenderedPageBreak/>
        <w:t xml:space="preserve">Table 2: </w:t>
      </w:r>
      <w:r w:rsidR="00460DC7">
        <w:rPr>
          <w:b/>
          <w:bCs/>
        </w:rPr>
        <w:t xml:space="preserve">Oregon DEQ </w:t>
      </w:r>
      <w:r w:rsidRPr="001F027C">
        <w:rPr>
          <w:b/>
          <w:bCs/>
        </w:rPr>
        <w:t>Wildlife Drinking Water Risk Based Concentrations (ug/L)</w:t>
      </w:r>
      <w:r w:rsidR="00460DC7">
        <w:rPr>
          <w:b/>
          <w:bCs/>
        </w:rPr>
        <w:t xml:space="preserve"> (ODEQ, 2020</w:t>
      </w:r>
      <w:r w:rsidR="00182ABB">
        <w:rPr>
          <w:b/>
          <w:bCs/>
        </w:rPr>
        <w:t>, Table 1b</w:t>
      </w:r>
      <w:r w:rsidR="00460DC7">
        <w:rPr>
          <w:b/>
          <w:bCs/>
        </w:rPr>
        <w:t>)</w:t>
      </w:r>
    </w:p>
    <w:tbl>
      <w:tblPr>
        <w:tblW w:w="10042" w:type="dxa"/>
        <w:tblCellMar>
          <w:top w:w="15" w:type="dxa"/>
        </w:tblCellMar>
        <w:tblLook w:val="04A0" w:firstRow="1" w:lastRow="0" w:firstColumn="1" w:lastColumn="0" w:noHBand="0" w:noVBand="1"/>
      </w:tblPr>
      <w:tblGrid>
        <w:gridCol w:w="3544"/>
        <w:gridCol w:w="1614"/>
        <w:gridCol w:w="969"/>
        <w:gridCol w:w="1183"/>
        <w:gridCol w:w="1183"/>
        <w:gridCol w:w="1327"/>
        <w:gridCol w:w="222"/>
      </w:tblGrid>
      <w:tr w:rsidR="00AC643A" w:rsidRPr="00AC643A" w14:paraId="284013EC" w14:textId="77777777" w:rsidTr="005C4C27">
        <w:trPr>
          <w:gridAfter w:val="1"/>
          <w:wAfter w:w="222" w:type="dxa"/>
          <w:trHeight w:val="345"/>
        </w:trPr>
        <w:tc>
          <w:tcPr>
            <w:tcW w:w="982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779EF594" w14:textId="77777777" w:rsidR="00AC643A" w:rsidRPr="00AC643A" w:rsidRDefault="00AC643A" w:rsidP="00AC643A">
            <w:pPr>
              <w:spacing w:after="0" w:line="240" w:lineRule="auto"/>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ODEQ Table 1b. Risk Based Concentrations for Wildlife Ingestion of Surface Water</w:t>
            </w:r>
            <w:r w:rsidRPr="00AC643A">
              <w:rPr>
                <w:rFonts w:ascii="Arial" w:eastAsia="Times New Roman" w:hAnsi="Arial" w:cs="Arial"/>
                <w:b/>
                <w:bCs/>
                <w:color w:val="000000"/>
                <w:kern w:val="0"/>
                <w:sz w:val="20"/>
                <w:szCs w:val="20"/>
                <w:vertAlign w:val="superscript"/>
              </w:rPr>
              <w:t>a</w:t>
            </w:r>
          </w:p>
        </w:tc>
      </w:tr>
      <w:tr w:rsidR="00AC643A" w:rsidRPr="00AC643A" w14:paraId="34A8F2CE" w14:textId="77777777" w:rsidTr="005C4C27">
        <w:trPr>
          <w:gridAfter w:val="1"/>
          <w:wAfter w:w="222" w:type="dxa"/>
          <w:trHeight w:val="300"/>
        </w:trPr>
        <w:tc>
          <w:tcPr>
            <w:tcW w:w="98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49009A"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Surface Water (ug/L)</w:t>
            </w:r>
          </w:p>
        </w:tc>
      </w:tr>
      <w:tr w:rsidR="00AC643A" w:rsidRPr="00AC643A" w14:paraId="46C136D1" w14:textId="77777777" w:rsidTr="005C4C27">
        <w:trPr>
          <w:gridAfter w:val="1"/>
          <w:wAfter w:w="222" w:type="dxa"/>
          <w:trHeight w:val="300"/>
        </w:trPr>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14:paraId="5077A107"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Analyte Name</w:t>
            </w:r>
          </w:p>
        </w:tc>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18695B5E"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Analyte Code</w:t>
            </w:r>
          </w:p>
        </w:tc>
        <w:tc>
          <w:tcPr>
            <w:tcW w:w="215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CE2E61D"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Birds</w:t>
            </w:r>
          </w:p>
        </w:tc>
        <w:tc>
          <w:tcPr>
            <w:tcW w:w="251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7A2AC85"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Mammals</w:t>
            </w:r>
          </w:p>
        </w:tc>
      </w:tr>
      <w:tr w:rsidR="00AC643A" w:rsidRPr="00AC643A" w14:paraId="7A1A8B86" w14:textId="77777777" w:rsidTr="005C4C27">
        <w:trPr>
          <w:gridAfter w:val="1"/>
          <w:wAfter w:w="222" w:type="dxa"/>
          <w:trHeight w:val="35"/>
        </w:trPr>
        <w:tc>
          <w:tcPr>
            <w:tcW w:w="3544" w:type="dxa"/>
            <w:vMerge/>
            <w:tcBorders>
              <w:top w:val="nil"/>
              <w:left w:val="single" w:sz="4" w:space="0" w:color="auto"/>
              <w:bottom w:val="single" w:sz="4" w:space="0" w:color="000000"/>
              <w:right w:val="single" w:sz="4" w:space="0" w:color="auto"/>
            </w:tcBorders>
            <w:vAlign w:val="center"/>
            <w:hideMark/>
          </w:tcPr>
          <w:p w14:paraId="7D60DB38" w14:textId="77777777" w:rsidR="00AC643A" w:rsidRPr="00AC643A" w:rsidRDefault="00AC643A" w:rsidP="00AC643A">
            <w:pPr>
              <w:spacing w:after="0" w:line="240" w:lineRule="auto"/>
              <w:rPr>
                <w:rFonts w:ascii="Arial" w:eastAsia="Times New Roman" w:hAnsi="Arial" w:cs="Arial"/>
                <w:b/>
                <w:bCs/>
                <w:color w:val="000000"/>
                <w:kern w:val="0"/>
                <w:sz w:val="20"/>
                <w:szCs w:val="20"/>
              </w:rPr>
            </w:pPr>
          </w:p>
        </w:tc>
        <w:tc>
          <w:tcPr>
            <w:tcW w:w="1614" w:type="dxa"/>
            <w:vMerge/>
            <w:tcBorders>
              <w:top w:val="nil"/>
              <w:left w:val="single" w:sz="4" w:space="0" w:color="auto"/>
              <w:bottom w:val="single" w:sz="4" w:space="0" w:color="000000"/>
              <w:right w:val="single" w:sz="4" w:space="0" w:color="auto"/>
            </w:tcBorders>
            <w:vAlign w:val="center"/>
            <w:hideMark/>
          </w:tcPr>
          <w:p w14:paraId="07C6F7BF" w14:textId="77777777" w:rsidR="00AC643A" w:rsidRPr="00AC643A" w:rsidRDefault="00AC643A" w:rsidP="00AC643A">
            <w:pPr>
              <w:spacing w:after="0" w:line="240" w:lineRule="auto"/>
              <w:rPr>
                <w:rFonts w:ascii="Arial" w:eastAsia="Times New Roman" w:hAnsi="Arial" w:cs="Arial"/>
                <w:b/>
                <w:bCs/>
                <w:color w:val="000000"/>
                <w:kern w:val="0"/>
                <w:sz w:val="20"/>
                <w:szCs w:val="20"/>
              </w:rPr>
            </w:pPr>
          </w:p>
        </w:tc>
        <w:tc>
          <w:tcPr>
            <w:tcW w:w="969" w:type="dxa"/>
            <w:tcBorders>
              <w:top w:val="single" w:sz="4" w:space="0" w:color="auto"/>
              <w:left w:val="single" w:sz="4" w:space="0" w:color="auto"/>
              <w:bottom w:val="single" w:sz="4" w:space="0" w:color="auto"/>
              <w:right w:val="nil"/>
            </w:tcBorders>
            <w:shd w:val="clear" w:color="auto" w:fill="auto"/>
            <w:noWrap/>
            <w:vAlign w:val="bottom"/>
            <w:hideMark/>
          </w:tcPr>
          <w:p w14:paraId="771B0C5C"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T&amp;E</w:t>
            </w:r>
          </w:p>
        </w:tc>
        <w:tc>
          <w:tcPr>
            <w:tcW w:w="1183" w:type="dxa"/>
            <w:tcBorders>
              <w:top w:val="single" w:sz="4" w:space="0" w:color="auto"/>
              <w:left w:val="single" w:sz="4" w:space="0" w:color="auto"/>
              <w:bottom w:val="single" w:sz="4" w:space="0" w:color="auto"/>
              <w:right w:val="nil"/>
            </w:tcBorders>
            <w:shd w:val="clear" w:color="auto" w:fill="auto"/>
            <w:noWrap/>
            <w:vAlign w:val="bottom"/>
            <w:hideMark/>
          </w:tcPr>
          <w:p w14:paraId="63B62B8B"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Non-T&amp;E</w:t>
            </w:r>
          </w:p>
        </w:tc>
        <w:tc>
          <w:tcPr>
            <w:tcW w:w="1183" w:type="dxa"/>
            <w:tcBorders>
              <w:top w:val="single" w:sz="4" w:space="0" w:color="auto"/>
              <w:left w:val="single" w:sz="4" w:space="0" w:color="auto"/>
              <w:bottom w:val="single" w:sz="4" w:space="0" w:color="auto"/>
              <w:right w:val="nil"/>
            </w:tcBorders>
            <w:shd w:val="clear" w:color="auto" w:fill="auto"/>
            <w:noWrap/>
            <w:vAlign w:val="bottom"/>
            <w:hideMark/>
          </w:tcPr>
          <w:p w14:paraId="5EB152BA"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T&amp;E</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FA49A" w14:textId="77777777" w:rsidR="00AC643A" w:rsidRPr="00AC643A" w:rsidRDefault="00AC643A" w:rsidP="00AC643A">
            <w:pPr>
              <w:spacing w:after="0" w:line="240" w:lineRule="auto"/>
              <w:jc w:val="center"/>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Non-T&amp;E</w:t>
            </w:r>
          </w:p>
        </w:tc>
      </w:tr>
      <w:tr w:rsidR="00AC643A" w:rsidRPr="00AC643A" w14:paraId="2DE613CA" w14:textId="77777777" w:rsidTr="005C4C27">
        <w:trPr>
          <w:gridAfter w:val="1"/>
          <w:wAfter w:w="222" w:type="dxa"/>
          <w:trHeight w:val="300"/>
        </w:trPr>
        <w:tc>
          <w:tcPr>
            <w:tcW w:w="3544" w:type="dxa"/>
            <w:tcBorders>
              <w:top w:val="nil"/>
              <w:left w:val="single" w:sz="4" w:space="0" w:color="auto"/>
              <w:bottom w:val="single" w:sz="4" w:space="0" w:color="auto"/>
              <w:right w:val="nil"/>
            </w:tcBorders>
            <w:shd w:val="clear" w:color="000000" w:fill="D9D9D9"/>
            <w:vAlign w:val="center"/>
            <w:hideMark/>
          </w:tcPr>
          <w:p w14:paraId="67677CE0" w14:textId="77777777" w:rsidR="00AC643A" w:rsidRPr="00AC643A" w:rsidRDefault="00AC643A" w:rsidP="00AC643A">
            <w:pPr>
              <w:spacing w:after="0" w:line="240" w:lineRule="auto"/>
              <w:rPr>
                <w:rFonts w:ascii="Arial" w:eastAsia="Times New Roman" w:hAnsi="Arial" w:cs="Arial"/>
                <w:b/>
                <w:bCs/>
                <w:color w:val="000000"/>
                <w:kern w:val="0"/>
                <w:sz w:val="20"/>
                <w:szCs w:val="20"/>
              </w:rPr>
            </w:pPr>
            <w:r w:rsidRPr="00AC643A">
              <w:rPr>
                <w:rFonts w:ascii="Arial" w:eastAsia="Times New Roman" w:hAnsi="Arial" w:cs="Arial"/>
                <w:b/>
                <w:bCs/>
                <w:color w:val="000000"/>
                <w:kern w:val="0"/>
                <w:sz w:val="20"/>
                <w:szCs w:val="20"/>
              </w:rPr>
              <w:t>Volatile Organic compound</w:t>
            </w:r>
          </w:p>
        </w:tc>
        <w:tc>
          <w:tcPr>
            <w:tcW w:w="1614" w:type="dxa"/>
            <w:tcBorders>
              <w:top w:val="single" w:sz="4" w:space="0" w:color="auto"/>
              <w:left w:val="nil"/>
              <w:bottom w:val="single" w:sz="4" w:space="0" w:color="auto"/>
              <w:right w:val="nil"/>
            </w:tcBorders>
            <w:shd w:val="clear" w:color="000000" w:fill="D9D9D9"/>
            <w:noWrap/>
            <w:vAlign w:val="center"/>
            <w:hideMark/>
          </w:tcPr>
          <w:p w14:paraId="082E9E7B"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969" w:type="dxa"/>
            <w:tcBorders>
              <w:top w:val="nil"/>
              <w:left w:val="nil"/>
              <w:bottom w:val="single" w:sz="4" w:space="0" w:color="auto"/>
              <w:right w:val="nil"/>
            </w:tcBorders>
            <w:shd w:val="clear" w:color="000000" w:fill="D9D9D9"/>
            <w:noWrap/>
            <w:vAlign w:val="center"/>
            <w:hideMark/>
          </w:tcPr>
          <w:p w14:paraId="7F8286E2"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single" w:sz="4" w:space="0" w:color="auto"/>
              <w:left w:val="nil"/>
              <w:bottom w:val="single" w:sz="4" w:space="0" w:color="auto"/>
              <w:right w:val="nil"/>
            </w:tcBorders>
            <w:shd w:val="clear" w:color="000000" w:fill="D9D9D9"/>
            <w:noWrap/>
            <w:vAlign w:val="center"/>
            <w:hideMark/>
          </w:tcPr>
          <w:p w14:paraId="4D7D80C4"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single" w:sz="4" w:space="0" w:color="auto"/>
              <w:left w:val="nil"/>
              <w:bottom w:val="single" w:sz="4" w:space="0" w:color="auto"/>
              <w:right w:val="nil"/>
            </w:tcBorders>
            <w:shd w:val="clear" w:color="000000" w:fill="D9D9D9"/>
            <w:noWrap/>
            <w:vAlign w:val="center"/>
            <w:hideMark/>
          </w:tcPr>
          <w:p w14:paraId="62C1B1FF"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327" w:type="dxa"/>
            <w:tcBorders>
              <w:top w:val="single" w:sz="4" w:space="0" w:color="auto"/>
              <w:left w:val="nil"/>
              <w:bottom w:val="single" w:sz="4" w:space="0" w:color="auto"/>
              <w:right w:val="single" w:sz="4" w:space="0" w:color="auto"/>
            </w:tcBorders>
            <w:shd w:val="clear" w:color="000000" w:fill="D9D9D9"/>
            <w:noWrap/>
            <w:vAlign w:val="bottom"/>
            <w:hideMark/>
          </w:tcPr>
          <w:p w14:paraId="3BD678D3"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r>
      <w:tr w:rsidR="00AC643A" w:rsidRPr="00AC643A" w14:paraId="7A8549ED"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E91FDC1"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Acetone</w:t>
            </w:r>
          </w:p>
        </w:tc>
        <w:tc>
          <w:tcPr>
            <w:tcW w:w="1614" w:type="dxa"/>
            <w:tcBorders>
              <w:top w:val="single" w:sz="4" w:space="0" w:color="auto"/>
              <w:left w:val="nil"/>
              <w:bottom w:val="single" w:sz="4" w:space="0" w:color="auto"/>
              <w:right w:val="single" w:sz="4" w:space="0" w:color="auto"/>
            </w:tcBorders>
            <w:shd w:val="clear" w:color="auto" w:fill="auto"/>
            <w:noWrap/>
            <w:vAlign w:val="bottom"/>
            <w:hideMark/>
          </w:tcPr>
          <w:p w14:paraId="71C0B8F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67-64-1</w:t>
            </w:r>
          </w:p>
        </w:tc>
        <w:tc>
          <w:tcPr>
            <w:tcW w:w="969" w:type="dxa"/>
            <w:tcBorders>
              <w:top w:val="nil"/>
              <w:left w:val="nil"/>
              <w:bottom w:val="single" w:sz="4" w:space="0" w:color="auto"/>
              <w:right w:val="single" w:sz="4" w:space="0" w:color="auto"/>
            </w:tcBorders>
            <w:shd w:val="clear" w:color="auto" w:fill="auto"/>
            <w:noWrap/>
            <w:vAlign w:val="bottom"/>
            <w:hideMark/>
          </w:tcPr>
          <w:p w14:paraId="0985C710"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830,000</w:t>
            </w:r>
          </w:p>
        </w:tc>
        <w:tc>
          <w:tcPr>
            <w:tcW w:w="118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C325BB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8,300,000</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62F68B4C"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274AC571"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220,000</w:t>
            </w:r>
          </w:p>
        </w:tc>
      </w:tr>
      <w:tr w:rsidR="00AC643A" w:rsidRPr="00AC643A" w14:paraId="463FB56F"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6720D0B"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Benzene</w:t>
            </w:r>
          </w:p>
        </w:tc>
        <w:tc>
          <w:tcPr>
            <w:tcW w:w="1614" w:type="dxa"/>
            <w:tcBorders>
              <w:top w:val="nil"/>
              <w:left w:val="nil"/>
              <w:bottom w:val="single" w:sz="4" w:space="0" w:color="auto"/>
              <w:right w:val="single" w:sz="4" w:space="0" w:color="auto"/>
            </w:tcBorders>
            <w:shd w:val="clear" w:color="auto" w:fill="auto"/>
            <w:noWrap/>
            <w:vAlign w:val="bottom"/>
            <w:hideMark/>
          </w:tcPr>
          <w:p w14:paraId="406B5A41"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71-43-2</w:t>
            </w:r>
          </w:p>
        </w:tc>
        <w:tc>
          <w:tcPr>
            <w:tcW w:w="969" w:type="dxa"/>
            <w:tcBorders>
              <w:top w:val="nil"/>
              <w:left w:val="nil"/>
              <w:bottom w:val="single" w:sz="4" w:space="0" w:color="auto"/>
              <w:right w:val="single" w:sz="4" w:space="0" w:color="auto"/>
            </w:tcBorders>
            <w:shd w:val="clear" w:color="auto" w:fill="auto"/>
            <w:noWrap/>
            <w:vAlign w:val="bottom"/>
            <w:hideMark/>
          </w:tcPr>
          <w:p w14:paraId="717241BB"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4750A622"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7C02424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110,000</w:t>
            </w:r>
          </w:p>
        </w:tc>
        <w:tc>
          <w:tcPr>
            <w:tcW w:w="1327" w:type="dxa"/>
            <w:tcBorders>
              <w:top w:val="nil"/>
              <w:left w:val="nil"/>
              <w:bottom w:val="single" w:sz="4" w:space="0" w:color="auto"/>
              <w:right w:val="single" w:sz="4" w:space="0" w:color="auto"/>
            </w:tcBorders>
            <w:shd w:val="clear" w:color="auto" w:fill="auto"/>
            <w:noWrap/>
            <w:vAlign w:val="bottom"/>
            <w:hideMark/>
          </w:tcPr>
          <w:p w14:paraId="7DB5E5D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1,100,000</w:t>
            </w:r>
          </w:p>
        </w:tc>
      </w:tr>
      <w:tr w:rsidR="00AC643A" w:rsidRPr="00AC643A" w14:paraId="5E6E3C10"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5204A0E"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Butanone[2-]</w:t>
            </w:r>
          </w:p>
        </w:tc>
        <w:tc>
          <w:tcPr>
            <w:tcW w:w="1614" w:type="dxa"/>
            <w:tcBorders>
              <w:top w:val="nil"/>
              <w:left w:val="nil"/>
              <w:bottom w:val="single" w:sz="4" w:space="0" w:color="auto"/>
              <w:right w:val="single" w:sz="4" w:space="0" w:color="auto"/>
            </w:tcBorders>
            <w:shd w:val="clear" w:color="auto" w:fill="auto"/>
            <w:noWrap/>
            <w:vAlign w:val="bottom"/>
            <w:hideMark/>
          </w:tcPr>
          <w:p w14:paraId="12C5AFB0"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78-93-3</w:t>
            </w:r>
          </w:p>
        </w:tc>
        <w:tc>
          <w:tcPr>
            <w:tcW w:w="969" w:type="dxa"/>
            <w:tcBorders>
              <w:top w:val="nil"/>
              <w:left w:val="nil"/>
              <w:bottom w:val="single" w:sz="4" w:space="0" w:color="auto"/>
              <w:right w:val="single" w:sz="4" w:space="0" w:color="auto"/>
            </w:tcBorders>
            <w:shd w:val="clear" w:color="auto" w:fill="auto"/>
            <w:noWrap/>
            <w:vAlign w:val="bottom"/>
            <w:hideMark/>
          </w:tcPr>
          <w:p w14:paraId="44F1BA0B"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087B204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7692D773"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7,900,000</w:t>
            </w:r>
          </w:p>
        </w:tc>
        <w:tc>
          <w:tcPr>
            <w:tcW w:w="1327" w:type="dxa"/>
            <w:tcBorders>
              <w:top w:val="nil"/>
              <w:left w:val="nil"/>
              <w:bottom w:val="single" w:sz="4" w:space="0" w:color="auto"/>
              <w:right w:val="single" w:sz="4" w:space="0" w:color="auto"/>
            </w:tcBorders>
            <w:shd w:val="clear" w:color="auto" w:fill="auto"/>
            <w:noWrap/>
            <w:vAlign w:val="bottom"/>
            <w:hideMark/>
          </w:tcPr>
          <w:p w14:paraId="7A6060CB"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20,000,000</w:t>
            </w:r>
          </w:p>
        </w:tc>
      </w:tr>
      <w:tr w:rsidR="00AC643A" w:rsidRPr="00AC643A" w14:paraId="5C5241FF"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6031671"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Chlorobenzene</w:t>
            </w:r>
          </w:p>
        </w:tc>
        <w:tc>
          <w:tcPr>
            <w:tcW w:w="1614" w:type="dxa"/>
            <w:tcBorders>
              <w:top w:val="nil"/>
              <w:left w:val="nil"/>
              <w:bottom w:val="single" w:sz="4" w:space="0" w:color="auto"/>
              <w:right w:val="single" w:sz="4" w:space="0" w:color="auto"/>
            </w:tcBorders>
            <w:shd w:val="clear" w:color="auto" w:fill="auto"/>
            <w:noWrap/>
            <w:vAlign w:val="bottom"/>
            <w:hideMark/>
          </w:tcPr>
          <w:p w14:paraId="7F80C4B7"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108-90-7</w:t>
            </w:r>
          </w:p>
        </w:tc>
        <w:tc>
          <w:tcPr>
            <w:tcW w:w="969" w:type="dxa"/>
            <w:tcBorders>
              <w:top w:val="nil"/>
              <w:left w:val="nil"/>
              <w:bottom w:val="single" w:sz="4" w:space="0" w:color="auto"/>
              <w:right w:val="single" w:sz="4" w:space="0" w:color="auto"/>
            </w:tcBorders>
            <w:shd w:val="clear" w:color="auto" w:fill="auto"/>
            <w:noWrap/>
            <w:vAlign w:val="bottom"/>
            <w:hideMark/>
          </w:tcPr>
          <w:p w14:paraId="0A078E41"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5EE90B22"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2D5D080C"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260,000</w:t>
            </w:r>
          </w:p>
        </w:tc>
        <w:tc>
          <w:tcPr>
            <w:tcW w:w="1327" w:type="dxa"/>
            <w:tcBorders>
              <w:top w:val="nil"/>
              <w:left w:val="nil"/>
              <w:bottom w:val="single" w:sz="4" w:space="0" w:color="auto"/>
              <w:right w:val="single" w:sz="4" w:space="0" w:color="auto"/>
            </w:tcBorders>
            <w:shd w:val="clear" w:color="auto" w:fill="auto"/>
            <w:noWrap/>
            <w:vAlign w:val="bottom"/>
            <w:hideMark/>
          </w:tcPr>
          <w:p w14:paraId="650A6F07"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2,600,000</w:t>
            </w:r>
          </w:p>
        </w:tc>
      </w:tr>
      <w:tr w:rsidR="00AC643A" w:rsidRPr="00AC643A" w14:paraId="676ECE9A"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ABAC766"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Chloroform</w:t>
            </w:r>
          </w:p>
        </w:tc>
        <w:tc>
          <w:tcPr>
            <w:tcW w:w="1614" w:type="dxa"/>
            <w:tcBorders>
              <w:top w:val="nil"/>
              <w:left w:val="nil"/>
              <w:bottom w:val="single" w:sz="4" w:space="0" w:color="auto"/>
              <w:right w:val="single" w:sz="4" w:space="0" w:color="auto"/>
            </w:tcBorders>
            <w:shd w:val="clear" w:color="auto" w:fill="auto"/>
            <w:noWrap/>
            <w:vAlign w:val="bottom"/>
            <w:hideMark/>
          </w:tcPr>
          <w:p w14:paraId="4A80863F"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67-66-3</w:t>
            </w:r>
          </w:p>
        </w:tc>
        <w:tc>
          <w:tcPr>
            <w:tcW w:w="969" w:type="dxa"/>
            <w:tcBorders>
              <w:top w:val="nil"/>
              <w:left w:val="nil"/>
              <w:bottom w:val="single" w:sz="4" w:space="0" w:color="auto"/>
              <w:right w:val="single" w:sz="4" w:space="0" w:color="auto"/>
            </w:tcBorders>
            <w:shd w:val="clear" w:color="auto" w:fill="auto"/>
            <w:noWrap/>
            <w:vAlign w:val="bottom"/>
            <w:hideMark/>
          </w:tcPr>
          <w:p w14:paraId="3FAAF1D5"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1C0C5525"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202B1AF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67,000</w:t>
            </w:r>
          </w:p>
        </w:tc>
        <w:tc>
          <w:tcPr>
            <w:tcW w:w="1327" w:type="dxa"/>
            <w:tcBorders>
              <w:top w:val="nil"/>
              <w:left w:val="nil"/>
              <w:bottom w:val="single" w:sz="4" w:space="0" w:color="auto"/>
              <w:right w:val="single" w:sz="4" w:space="0" w:color="auto"/>
            </w:tcBorders>
            <w:shd w:val="clear" w:color="auto" w:fill="auto"/>
            <w:noWrap/>
            <w:vAlign w:val="bottom"/>
            <w:hideMark/>
          </w:tcPr>
          <w:p w14:paraId="30B69494"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180,000</w:t>
            </w:r>
          </w:p>
        </w:tc>
      </w:tr>
      <w:tr w:rsidR="00AC643A" w:rsidRPr="00AC643A" w14:paraId="195DA6C2"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0F8C5CF"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Dichlorobenzene[1,4-]</w:t>
            </w:r>
          </w:p>
        </w:tc>
        <w:tc>
          <w:tcPr>
            <w:tcW w:w="1614" w:type="dxa"/>
            <w:tcBorders>
              <w:top w:val="nil"/>
              <w:left w:val="nil"/>
              <w:bottom w:val="single" w:sz="4" w:space="0" w:color="auto"/>
              <w:right w:val="single" w:sz="4" w:space="0" w:color="auto"/>
            </w:tcBorders>
            <w:shd w:val="clear" w:color="auto" w:fill="auto"/>
            <w:noWrap/>
            <w:vAlign w:val="bottom"/>
            <w:hideMark/>
          </w:tcPr>
          <w:p w14:paraId="02C96434"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106-46-7</w:t>
            </w:r>
          </w:p>
        </w:tc>
        <w:tc>
          <w:tcPr>
            <w:tcW w:w="969" w:type="dxa"/>
            <w:tcBorders>
              <w:top w:val="nil"/>
              <w:left w:val="nil"/>
              <w:bottom w:val="single" w:sz="4" w:space="0" w:color="auto"/>
              <w:right w:val="single" w:sz="4" w:space="0" w:color="auto"/>
            </w:tcBorders>
            <w:shd w:val="clear" w:color="auto" w:fill="auto"/>
            <w:noWrap/>
            <w:vAlign w:val="bottom"/>
            <w:hideMark/>
          </w:tcPr>
          <w:p w14:paraId="0315D5B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77B58C00"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0AC8D2C3"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11,000</w:t>
            </w:r>
          </w:p>
        </w:tc>
        <w:tc>
          <w:tcPr>
            <w:tcW w:w="1327" w:type="dxa"/>
            <w:tcBorders>
              <w:top w:val="nil"/>
              <w:left w:val="nil"/>
              <w:bottom w:val="single" w:sz="4" w:space="0" w:color="auto"/>
              <w:right w:val="single" w:sz="4" w:space="0" w:color="auto"/>
            </w:tcBorders>
            <w:shd w:val="clear" w:color="auto" w:fill="auto"/>
            <w:noWrap/>
            <w:vAlign w:val="bottom"/>
            <w:hideMark/>
          </w:tcPr>
          <w:p w14:paraId="554A2AE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w:t>
            </w:r>
          </w:p>
        </w:tc>
      </w:tr>
      <w:tr w:rsidR="00AC643A" w:rsidRPr="00AC643A" w14:paraId="698BD418"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8D32017"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Dichloroethane[1,1-]</w:t>
            </w:r>
          </w:p>
        </w:tc>
        <w:tc>
          <w:tcPr>
            <w:tcW w:w="1614" w:type="dxa"/>
            <w:tcBorders>
              <w:top w:val="nil"/>
              <w:left w:val="nil"/>
              <w:bottom w:val="single" w:sz="4" w:space="0" w:color="auto"/>
              <w:right w:val="single" w:sz="4" w:space="0" w:color="auto"/>
            </w:tcBorders>
            <w:shd w:val="clear" w:color="auto" w:fill="auto"/>
            <w:noWrap/>
            <w:vAlign w:val="bottom"/>
            <w:hideMark/>
          </w:tcPr>
          <w:p w14:paraId="1682F45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75-34-3</w:t>
            </w:r>
          </w:p>
        </w:tc>
        <w:tc>
          <w:tcPr>
            <w:tcW w:w="969" w:type="dxa"/>
            <w:tcBorders>
              <w:top w:val="nil"/>
              <w:left w:val="nil"/>
              <w:bottom w:val="single" w:sz="4" w:space="0" w:color="auto"/>
              <w:right w:val="single" w:sz="4" w:space="0" w:color="auto"/>
            </w:tcBorders>
            <w:shd w:val="clear" w:color="auto" w:fill="auto"/>
            <w:noWrap/>
            <w:vAlign w:val="bottom"/>
            <w:hideMark/>
          </w:tcPr>
          <w:p w14:paraId="38E55DB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524A0037"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7BF70EA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1,700,000</w:t>
            </w:r>
          </w:p>
        </w:tc>
        <w:tc>
          <w:tcPr>
            <w:tcW w:w="1327" w:type="dxa"/>
            <w:tcBorders>
              <w:top w:val="nil"/>
              <w:left w:val="nil"/>
              <w:bottom w:val="single" w:sz="4" w:space="0" w:color="auto"/>
              <w:right w:val="single" w:sz="4" w:space="0" w:color="auto"/>
            </w:tcBorders>
            <w:shd w:val="clear" w:color="auto" w:fill="auto"/>
            <w:noWrap/>
            <w:vAlign w:val="bottom"/>
            <w:hideMark/>
          </w:tcPr>
          <w:p w14:paraId="4FFAF4B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17,000,000</w:t>
            </w:r>
          </w:p>
        </w:tc>
      </w:tr>
      <w:tr w:rsidR="00AC643A" w:rsidRPr="00AC643A" w14:paraId="7AB03436"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45489F7"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Dichloroethane[1,2-]</w:t>
            </w:r>
          </w:p>
        </w:tc>
        <w:tc>
          <w:tcPr>
            <w:tcW w:w="1614" w:type="dxa"/>
            <w:tcBorders>
              <w:top w:val="nil"/>
              <w:left w:val="nil"/>
              <w:bottom w:val="single" w:sz="4" w:space="0" w:color="auto"/>
              <w:right w:val="single" w:sz="4" w:space="0" w:color="auto"/>
            </w:tcBorders>
            <w:shd w:val="clear" w:color="auto" w:fill="auto"/>
            <w:noWrap/>
            <w:vAlign w:val="bottom"/>
            <w:hideMark/>
          </w:tcPr>
          <w:p w14:paraId="2A3D9C21"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107-06-2</w:t>
            </w:r>
          </w:p>
        </w:tc>
        <w:tc>
          <w:tcPr>
            <w:tcW w:w="969" w:type="dxa"/>
            <w:tcBorders>
              <w:top w:val="nil"/>
              <w:left w:val="nil"/>
              <w:bottom w:val="single" w:sz="4" w:space="0" w:color="auto"/>
              <w:right w:val="single" w:sz="4" w:space="0" w:color="auto"/>
            </w:tcBorders>
            <w:shd w:val="clear" w:color="auto" w:fill="auto"/>
            <w:noWrap/>
            <w:vAlign w:val="bottom"/>
            <w:hideMark/>
          </w:tcPr>
          <w:p w14:paraId="189B57D6"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19,000</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1A8568EA"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37,000</w:t>
            </w:r>
          </w:p>
        </w:tc>
        <w:tc>
          <w:tcPr>
            <w:tcW w:w="1183" w:type="dxa"/>
            <w:tcBorders>
              <w:top w:val="nil"/>
              <w:left w:val="nil"/>
              <w:bottom w:val="single" w:sz="4" w:space="0" w:color="auto"/>
              <w:right w:val="single" w:sz="4" w:space="0" w:color="auto"/>
            </w:tcBorders>
            <w:shd w:val="clear" w:color="auto" w:fill="auto"/>
            <w:noWrap/>
            <w:vAlign w:val="bottom"/>
            <w:hideMark/>
          </w:tcPr>
          <w:p w14:paraId="0B168704"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220,000</w:t>
            </w:r>
          </w:p>
        </w:tc>
        <w:tc>
          <w:tcPr>
            <w:tcW w:w="1327" w:type="dxa"/>
            <w:tcBorders>
              <w:top w:val="nil"/>
              <w:left w:val="nil"/>
              <w:bottom w:val="single" w:sz="4" w:space="0" w:color="auto"/>
              <w:right w:val="single" w:sz="4" w:space="0" w:color="auto"/>
            </w:tcBorders>
            <w:shd w:val="clear" w:color="auto" w:fill="auto"/>
            <w:noWrap/>
            <w:vAlign w:val="bottom"/>
            <w:hideMark/>
          </w:tcPr>
          <w:p w14:paraId="7A466C28"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2,200,000</w:t>
            </w:r>
          </w:p>
        </w:tc>
      </w:tr>
      <w:tr w:rsidR="00AC643A" w:rsidRPr="00AC643A" w14:paraId="0C978181"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000000" w:fill="D9D9D9"/>
            <w:noWrap/>
            <w:vAlign w:val="bottom"/>
            <w:hideMark/>
          </w:tcPr>
          <w:p w14:paraId="54CFFB38"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Dichloroethene[1,1-]</w:t>
            </w:r>
          </w:p>
        </w:tc>
        <w:tc>
          <w:tcPr>
            <w:tcW w:w="1614" w:type="dxa"/>
            <w:tcBorders>
              <w:top w:val="nil"/>
              <w:left w:val="nil"/>
              <w:bottom w:val="single" w:sz="4" w:space="0" w:color="auto"/>
              <w:right w:val="single" w:sz="4" w:space="0" w:color="auto"/>
            </w:tcBorders>
            <w:shd w:val="clear" w:color="000000" w:fill="D9D9D9"/>
            <w:noWrap/>
            <w:vAlign w:val="bottom"/>
            <w:hideMark/>
          </w:tcPr>
          <w:p w14:paraId="49E57A12"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75-35-4</w:t>
            </w:r>
          </w:p>
        </w:tc>
        <w:tc>
          <w:tcPr>
            <w:tcW w:w="969" w:type="dxa"/>
            <w:tcBorders>
              <w:top w:val="nil"/>
              <w:left w:val="nil"/>
              <w:bottom w:val="single" w:sz="4" w:space="0" w:color="auto"/>
              <w:right w:val="single" w:sz="4" w:space="0" w:color="auto"/>
            </w:tcBorders>
            <w:shd w:val="clear" w:color="000000" w:fill="D9D9D9"/>
            <w:noWrap/>
            <w:vAlign w:val="bottom"/>
            <w:hideMark/>
          </w:tcPr>
          <w:p w14:paraId="0388DF82"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000000" w:fill="D9D9D9"/>
            <w:noWrap/>
            <w:vAlign w:val="bottom"/>
            <w:hideMark/>
          </w:tcPr>
          <w:p w14:paraId="34F31EF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000000" w:fill="D9D9D9"/>
            <w:noWrap/>
            <w:vAlign w:val="bottom"/>
            <w:hideMark/>
          </w:tcPr>
          <w:p w14:paraId="6DF7F864"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130,000</w:t>
            </w:r>
          </w:p>
        </w:tc>
        <w:tc>
          <w:tcPr>
            <w:tcW w:w="1327" w:type="dxa"/>
            <w:tcBorders>
              <w:top w:val="nil"/>
              <w:left w:val="nil"/>
              <w:bottom w:val="single" w:sz="4" w:space="0" w:color="auto"/>
              <w:right w:val="single" w:sz="4" w:space="0" w:color="auto"/>
            </w:tcBorders>
            <w:shd w:val="clear" w:color="000000" w:fill="D9D9D9"/>
            <w:noWrap/>
            <w:vAlign w:val="bottom"/>
            <w:hideMark/>
          </w:tcPr>
          <w:p w14:paraId="5D010E8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1,300,000</w:t>
            </w:r>
          </w:p>
        </w:tc>
      </w:tr>
      <w:tr w:rsidR="00AC643A" w:rsidRPr="00AC643A" w14:paraId="1E5B4B21"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B4FDC46"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Dichloroethene[cis/trans-1,2-]</w:t>
            </w:r>
          </w:p>
        </w:tc>
        <w:tc>
          <w:tcPr>
            <w:tcW w:w="1614" w:type="dxa"/>
            <w:tcBorders>
              <w:top w:val="nil"/>
              <w:left w:val="nil"/>
              <w:bottom w:val="single" w:sz="4" w:space="0" w:color="auto"/>
              <w:right w:val="single" w:sz="4" w:space="0" w:color="auto"/>
            </w:tcBorders>
            <w:shd w:val="clear" w:color="auto" w:fill="auto"/>
            <w:noWrap/>
            <w:vAlign w:val="bottom"/>
            <w:hideMark/>
          </w:tcPr>
          <w:p w14:paraId="31C23BED"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540-59-0</w:t>
            </w:r>
          </w:p>
        </w:tc>
        <w:tc>
          <w:tcPr>
            <w:tcW w:w="969" w:type="dxa"/>
            <w:tcBorders>
              <w:top w:val="nil"/>
              <w:left w:val="nil"/>
              <w:bottom w:val="single" w:sz="4" w:space="0" w:color="auto"/>
              <w:right w:val="single" w:sz="4" w:space="0" w:color="auto"/>
            </w:tcBorders>
            <w:shd w:val="clear" w:color="auto" w:fill="auto"/>
            <w:noWrap/>
            <w:vAlign w:val="bottom"/>
            <w:hideMark/>
          </w:tcPr>
          <w:p w14:paraId="0381CC6B"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258BC5C4"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7E2EC013"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200,000</w:t>
            </w:r>
          </w:p>
        </w:tc>
        <w:tc>
          <w:tcPr>
            <w:tcW w:w="1327" w:type="dxa"/>
            <w:tcBorders>
              <w:top w:val="nil"/>
              <w:left w:val="nil"/>
              <w:bottom w:val="single" w:sz="4" w:space="0" w:color="auto"/>
              <w:right w:val="single" w:sz="4" w:space="0" w:color="auto"/>
            </w:tcBorders>
            <w:shd w:val="clear" w:color="auto" w:fill="auto"/>
            <w:noWrap/>
            <w:vAlign w:val="bottom"/>
            <w:hideMark/>
          </w:tcPr>
          <w:p w14:paraId="628B8AD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2,000,000</w:t>
            </w:r>
          </w:p>
        </w:tc>
      </w:tr>
      <w:tr w:rsidR="00AC643A" w:rsidRPr="00AC643A" w14:paraId="6684F5BD"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F5DFAB8"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Methylene Chloride</w:t>
            </w:r>
          </w:p>
        </w:tc>
        <w:tc>
          <w:tcPr>
            <w:tcW w:w="1614" w:type="dxa"/>
            <w:tcBorders>
              <w:top w:val="nil"/>
              <w:left w:val="nil"/>
              <w:bottom w:val="single" w:sz="4" w:space="0" w:color="auto"/>
              <w:right w:val="single" w:sz="4" w:space="0" w:color="auto"/>
            </w:tcBorders>
            <w:shd w:val="clear" w:color="auto" w:fill="auto"/>
            <w:noWrap/>
            <w:vAlign w:val="bottom"/>
            <w:hideMark/>
          </w:tcPr>
          <w:p w14:paraId="4368347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75-09-2</w:t>
            </w:r>
          </w:p>
        </w:tc>
        <w:tc>
          <w:tcPr>
            <w:tcW w:w="969" w:type="dxa"/>
            <w:tcBorders>
              <w:top w:val="nil"/>
              <w:left w:val="nil"/>
              <w:bottom w:val="single" w:sz="4" w:space="0" w:color="auto"/>
              <w:right w:val="single" w:sz="4" w:space="0" w:color="auto"/>
            </w:tcBorders>
            <w:shd w:val="clear" w:color="auto" w:fill="auto"/>
            <w:noWrap/>
            <w:vAlign w:val="bottom"/>
            <w:hideMark/>
          </w:tcPr>
          <w:p w14:paraId="0FB2A2D6"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531DB625"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35E19171"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26,000</w:t>
            </w:r>
          </w:p>
        </w:tc>
        <w:tc>
          <w:tcPr>
            <w:tcW w:w="1327" w:type="dxa"/>
            <w:tcBorders>
              <w:top w:val="nil"/>
              <w:left w:val="nil"/>
              <w:bottom w:val="single" w:sz="4" w:space="0" w:color="auto"/>
              <w:right w:val="single" w:sz="4" w:space="0" w:color="auto"/>
            </w:tcBorders>
            <w:shd w:val="clear" w:color="auto" w:fill="auto"/>
            <w:noWrap/>
            <w:vAlign w:val="bottom"/>
            <w:hideMark/>
          </w:tcPr>
          <w:p w14:paraId="29957A63"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220,000</w:t>
            </w:r>
          </w:p>
        </w:tc>
      </w:tr>
      <w:tr w:rsidR="00AC643A" w:rsidRPr="00AC643A" w14:paraId="7E8C24AE" w14:textId="77777777" w:rsidTr="005C4C27">
        <w:trPr>
          <w:gridAfter w:val="1"/>
          <w:wAfter w:w="222" w:type="dxa"/>
          <w:trHeight w:val="363"/>
        </w:trPr>
        <w:tc>
          <w:tcPr>
            <w:tcW w:w="3544" w:type="dxa"/>
            <w:tcBorders>
              <w:top w:val="nil"/>
              <w:left w:val="single" w:sz="4" w:space="0" w:color="auto"/>
              <w:bottom w:val="single" w:sz="4" w:space="0" w:color="auto"/>
              <w:right w:val="single" w:sz="4" w:space="0" w:color="auto"/>
            </w:tcBorders>
            <w:shd w:val="clear" w:color="000000" w:fill="D9D9D9"/>
            <w:noWrap/>
            <w:vAlign w:val="bottom"/>
            <w:hideMark/>
          </w:tcPr>
          <w:p w14:paraId="15D44255"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Tetrachloroethene</w:t>
            </w:r>
          </w:p>
        </w:tc>
        <w:tc>
          <w:tcPr>
            <w:tcW w:w="1614" w:type="dxa"/>
            <w:tcBorders>
              <w:top w:val="nil"/>
              <w:left w:val="nil"/>
              <w:bottom w:val="single" w:sz="4" w:space="0" w:color="auto"/>
              <w:right w:val="single" w:sz="4" w:space="0" w:color="auto"/>
            </w:tcBorders>
            <w:shd w:val="clear" w:color="000000" w:fill="D9D9D9"/>
            <w:noWrap/>
            <w:vAlign w:val="bottom"/>
            <w:hideMark/>
          </w:tcPr>
          <w:p w14:paraId="0B01753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127-18-4</w:t>
            </w:r>
          </w:p>
        </w:tc>
        <w:tc>
          <w:tcPr>
            <w:tcW w:w="969" w:type="dxa"/>
            <w:tcBorders>
              <w:top w:val="nil"/>
              <w:left w:val="nil"/>
              <w:bottom w:val="single" w:sz="4" w:space="0" w:color="auto"/>
              <w:right w:val="single" w:sz="4" w:space="0" w:color="auto"/>
            </w:tcBorders>
            <w:shd w:val="clear" w:color="000000" w:fill="D9D9D9"/>
            <w:noWrap/>
            <w:vAlign w:val="bottom"/>
            <w:hideMark/>
          </w:tcPr>
          <w:p w14:paraId="51FAC3FA"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000000" w:fill="D9D9D9"/>
            <w:noWrap/>
            <w:vAlign w:val="bottom"/>
            <w:hideMark/>
          </w:tcPr>
          <w:p w14:paraId="1C3D377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000000" w:fill="D9D9D9"/>
            <w:noWrap/>
            <w:vAlign w:val="bottom"/>
            <w:hideMark/>
          </w:tcPr>
          <w:p w14:paraId="7385D4C7"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8,900</w:t>
            </w:r>
          </w:p>
        </w:tc>
        <w:tc>
          <w:tcPr>
            <w:tcW w:w="1327" w:type="dxa"/>
            <w:tcBorders>
              <w:top w:val="nil"/>
              <w:left w:val="nil"/>
              <w:bottom w:val="single" w:sz="4" w:space="0" w:color="auto"/>
              <w:right w:val="single" w:sz="4" w:space="0" w:color="auto"/>
            </w:tcBorders>
            <w:shd w:val="clear" w:color="000000" w:fill="D9D9D9"/>
            <w:noWrap/>
            <w:vAlign w:val="bottom"/>
            <w:hideMark/>
          </w:tcPr>
          <w:p w14:paraId="7040BC7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w:t>
            </w:r>
          </w:p>
        </w:tc>
      </w:tr>
      <w:tr w:rsidR="00AC643A" w:rsidRPr="00AC643A" w14:paraId="731BF9EA"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68319A"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Toluene</w:t>
            </w:r>
          </w:p>
        </w:tc>
        <w:tc>
          <w:tcPr>
            <w:tcW w:w="1614" w:type="dxa"/>
            <w:tcBorders>
              <w:top w:val="nil"/>
              <w:left w:val="nil"/>
              <w:bottom w:val="single" w:sz="4" w:space="0" w:color="auto"/>
              <w:right w:val="single" w:sz="4" w:space="0" w:color="auto"/>
            </w:tcBorders>
            <w:shd w:val="clear" w:color="auto" w:fill="auto"/>
            <w:noWrap/>
            <w:vAlign w:val="bottom"/>
            <w:hideMark/>
          </w:tcPr>
          <w:p w14:paraId="7543CDAA"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108-88-3</w:t>
            </w:r>
          </w:p>
        </w:tc>
        <w:tc>
          <w:tcPr>
            <w:tcW w:w="969" w:type="dxa"/>
            <w:tcBorders>
              <w:top w:val="nil"/>
              <w:left w:val="nil"/>
              <w:bottom w:val="single" w:sz="4" w:space="0" w:color="auto"/>
              <w:right w:val="single" w:sz="4" w:space="0" w:color="auto"/>
            </w:tcBorders>
            <w:shd w:val="clear" w:color="auto" w:fill="auto"/>
            <w:noWrap/>
            <w:vAlign w:val="bottom"/>
            <w:hideMark/>
          </w:tcPr>
          <w:p w14:paraId="4535E21A"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3F2FD64A"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293C9C5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110,000</w:t>
            </w:r>
          </w:p>
        </w:tc>
        <w:tc>
          <w:tcPr>
            <w:tcW w:w="1327" w:type="dxa"/>
            <w:tcBorders>
              <w:top w:val="nil"/>
              <w:left w:val="nil"/>
              <w:bottom w:val="single" w:sz="4" w:space="0" w:color="auto"/>
              <w:right w:val="single" w:sz="4" w:space="0" w:color="auto"/>
            </w:tcBorders>
            <w:shd w:val="clear" w:color="auto" w:fill="auto"/>
            <w:noWrap/>
            <w:vAlign w:val="bottom"/>
            <w:hideMark/>
          </w:tcPr>
          <w:p w14:paraId="15478091"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1,100,000</w:t>
            </w:r>
          </w:p>
        </w:tc>
      </w:tr>
      <w:tr w:rsidR="00AC643A" w:rsidRPr="00AC643A" w14:paraId="0D3C0F71"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34F6B8A"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Trichlorobenzene[1,2,4-]</w:t>
            </w:r>
          </w:p>
        </w:tc>
        <w:tc>
          <w:tcPr>
            <w:tcW w:w="1614" w:type="dxa"/>
            <w:tcBorders>
              <w:top w:val="nil"/>
              <w:left w:val="nil"/>
              <w:bottom w:val="single" w:sz="4" w:space="0" w:color="auto"/>
              <w:right w:val="single" w:sz="4" w:space="0" w:color="auto"/>
            </w:tcBorders>
            <w:shd w:val="clear" w:color="auto" w:fill="auto"/>
            <w:noWrap/>
            <w:vAlign w:val="bottom"/>
            <w:hideMark/>
          </w:tcPr>
          <w:p w14:paraId="68DD4567"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120-82-1</w:t>
            </w:r>
          </w:p>
        </w:tc>
        <w:tc>
          <w:tcPr>
            <w:tcW w:w="969" w:type="dxa"/>
            <w:tcBorders>
              <w:top w:val="nil"/>
              <w:left w:val="nil"/>
              <w:bottom w:val="single" w:sz="4" w:space="0" w:color="auto"/>
              <w:right w:val="single" w:sz="4" w:space="0" w:color="auto"/>
            </w:tcBorders>
            <w:shd w:val="clear" w:color="auto" w:fill="auto"/>
            <w:noWrap/>
            <w:vAlign w:val="bottom"/>
            <w:hideMark/>
          </w:tcPr>
          <w:p w14:paraId="0BBC6A12"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563DEC5C"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20A16BA0"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6,600</w:t>
            </w:r>
          </w:p>
        </w:tc>
        <w:tc>
          <w:tcPr>
            <w:tcW w:w="1327" w:type="dxa"/>
            <w:tcBorders>
              <w:top w:val="nil"/>
              <w:left w:val="nil"/>
              <w:bottom w:val="single" w:sz="4" w:space="0" w:color="auto"/>
              <w:right w:val="single" w:sz="4" w:space="0" w:color="auto"/>
            </w:tcBorders>
            <w:shd w:val="clear" w:color="auto" w:fill="auto"/>
            <w:noWrap/>
            <w:vAlign w:val="bottom"/>
            <w:hideMark/>
          </w:tcPr>
          <w:p w14:paraId="6BAAA9AC"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66,000</w:t>
            </w:r>
          </w:p>
        </w:tc>
      </w:tr>
      <w:tr w:rsidR="00AC643A" w:rsidRPr="00AC643A" w14:paraId="756EEB24"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292184"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Trichloroethane[1,1,1-]</w:t>
            </w:r>
          </w:p>
        </w:tc>
        <w:tc>
          <w:tcPr>
            <w:tcW w:w="1614" w:type="dxa"/>
            <w:tcBorders>
              <w:top w:val="nil"/>
              <w:left w:val="nil"/>
              <w:bottom w:val="single" w:sz="4" w:space="0" w:color="auto"/>
              <w:right w:val="single" w:sz="4" w:space="0" w:color="auto"/>
            </w:tcBorders>
            <w:shd w:val="clear" w:color="auto" w:fill="auto"/>
            <w:noWrap/>
            <w:vAlign w:val="bottom"/>
            <w:hideMark/>
          </w:tcPr>
          <w:p w14:paraId="48F79906"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71-55-6</w:t>
            </w:r>
          </w:p>
        </w:tc>
        <w:tc>
          <w:tcPr>
            <w:tcW w:w="969" w:type="dxa"/>
            <w:tcBorders>
              <w:top w:val="nil"/>
              <w:left w:val="nil"/>
              <w:bottom w:val="single" w:sz="4" w:space="0" w:color="auto"/>
              <w:right w:val="single" w:sz="4" w:space="0" w:color="auto"/>
            </w:tcBorders>
            <w:shd w:val="clear" w:color="auto" w:fill="auto"/>
            <w:noWrap/>
            <w:vAlign w:val="bottom"/>
            <w:hideMark/>
          </w:tcPr>
          <w:p w14:paraId="5DB64D60"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35C33FA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auto" w:fill="auto"/>
            <w:noWrap/>
            <w:vAlign w:val="bottom"/>
            <w:hideMark/>
          </w:tcPr>
          <w:p w14:paraId="1E6ECDF4"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4,400,000</w:t>
            </w:r>
          </w:p>
        </w:tc>
        <w:tc>
          <w:tcPr>
            <w:tcW w:w="1327" w:type="dxa"/>
            <w:tcBorders>
              <w:top w:val="nil"/>
              <w:left w:val="nil"/>
              <w:bottom w:val="single" w:sz="4" w:space="0" w:color="auto"/>
              <w:right w:val="single" w:sz="4" w:space="0" w:color="auto"/>
            </w:tcBorders>
            <w:shd w:val="clear" w:color="auto" w:fill="auto"/>
            <w:noWrap/>
            <w:vAlign w:val="bottom"/>
            <w:hideMark/>
          </w:tcPr>
          <w:p w14:paraId="1BDFD805"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44,000,000</w:t>
            </w:r>
          </w:p>
        </w:tc>
      </w:tr>
      <w:tr w:rsidR="00AC643A" w:rsidRPr="00AC643A" w14:paraId="490645C9"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000000" w:fill="D9D9D9"/>
            <w:noWrap/>
            <w:vAlign w:val="bottom"/>
            <w:hideMark/>
          </w:tcPr>
          <w:p w14:paraId="3B3FAE2D"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Trichloroethene</w:t>
            </w:r>
          </w:p>
        </w:tc>
        <w:tc>
          <w:tcPr>
            <w:tcW w:w="1614" w:type="dxa"/>
            <w:tcBorders>
              <w:top w:val="nil"/>
              <w:left w:val="nil"/>
              <w:bottom w:val="single" w:sz="4" w:space="0" w:color="auto"/>
              <w:right w:val="single" w:sz="4" w:space="0" w:color="auto"/>
            </w:tcBorders>
            <w:shd w:val="clear" w:color="000000" w:fill="D9D9D9"/>
            <w:noWrap/>
            <w:vAlign w:val="bottom"/>
            <w:hideMark/>
          </w:tcPr>
          <w:p w14:paraId="1509D5FB"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79-01-6</w:t>
            </w:r>
          </w:p>
        </w:tc>
        <w:tc>
          <w:tcPr>
            <w:tcW w:w="969" w:type="dxa"/>
            <w:tcBorders>
              <w:top w:val="nil"/>
              <w:left w:val="nil"/>
              <w:bottom w:val="single" w:sz="4" w:space="0" w:color="auto"/>
              <w:right w:val="single" w:sz="4" w:space="0" w:color="auto"/>
            </w:tcBorders>
            <w:shd w:val="clear" w:color="000000" w:fill="D9D9D9"/>
            <w:noWrap/>
            <w:vAlign w:val="bottom"/>
            <w:hideMark/>
          </w:tcPr>
          <w:p w14:paraId="3562CBA9"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single" w:sz="4" w:space="0" w:color="auto"/>
              <w:bottom w:val="single" w:sz="4" w:space="0" w:color="auto"/>
              <w:right w:val="single" w:sz="8" w:space="0" w:color="auto"/>
            </w:tcBorders>
            <w:shd w:val="clear" w:color="000000" w:fill="D9D9D9"/>
            <w:noWrap/>
            <w:vAlign w:val="bottom"/>
            <w:hideMark/>
          </w:tcPr>
          <w:p w14:paraId="2A2BE531"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 </w:t>
            </w:r>
          </w:p>
        </w:tc>
        <w:tc>
          <w:tcPr>
            <w:tcW w:w="1183" w:type="dxa"/>
            <w:tcBorders>
              <w:top w:val="nil"/>
              <w:left w:val="nil"/>
              <w:bottom w:val="single" w:sz="4" w:space="0" w:color="auto"/>
              <w:right w:val="single" w:sz="4" w:space="0" w:color="auto"/>
            </w:tcBorders>
            <w:shd w:val="clear" w:color="000000" w:fill="D9D9D9"/>
            <w:noWrap/>
            <w:vAlign w:val="bottom"/>
            <w:hideMark/>
          </w:tcPr>
          <w:p w14:paraId="7104579F"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440,000</w:t>
            </w:r>
          </w:p>
        </w:tc>
        <w:tc>
          <w:tcPr>
            <w:tcW w:w="1327" w:type="dxa"/>
            <w:tcBorders>
              <w:top w:val="nil"/>
              <w:left w:val="nil"/>
              <w:bottom w:val="single" w:sz="4" w:space="0" w:color="auto"/>
              <w:right w:val="single" w:sz="4" w:space="0" w:color="auto"/>
            </w:tcBorders>
            <w:shd w:val="clear" w:color="000000" w:fill="D9D9D9"/>
            <w:noWrap/>
            <w:vAlign w:val="bottom"/>
            <w:hideMark/>
          </w:tcPr>
          <w:p w14:paraId="4EA27243"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4,400,000</w:t>
            </w:r>
          </w:p>
        </w:tc>
      </w:tr>
      <w:tr w:rsidR="00AC643A" w:rsidRPr="00AC643A" w14:paraId="67B921CA" w14:textId="77777777" w:rsidTr="005C4C27">
        <w:trPr>
          <w:gridAfter w:val="1"/>
          <w:wAfter w:w="222" w:type="dxa"/>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0B01ADF" w14:textId="77777777" w:rsidR="00AC643A" w:rsidRPr="00AC643A" w:rsidRDefault="00AC643A" w:rsidP="00AC643A">
            <w:pPr>
              <w:spacing w:after="0" w:line="240" w:lineRule="auto"/>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Xylene (Total)</w:t>
            </w:r>
          </w:p>
        </w:tc>
        <w:tc>
          <w:tcPr>
            <w:tcW w:w="1614" w:type="dxa"/>
            <w:tcBorders>
              <w:top w:val="nil"/>
              <w:left w:val="nil"/>
              <w:bottom w:val="single" w:sz="4" w:space="0" w:color="auto"/>
              <w:right w:val="single" w:sz="4" w:space="0" w:color="auto"/>
            </w:tcBorders>
            <w:shd w:val="clear" w:color="auto" w:fill="auto"/>
            <w:noWrap/>
            <w:vAlign w:val="bottom"/>
            <w:hideMark/>
          </w:tcPr>
          <w:p w14:paraId="4F03913C"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1330-20-7</w:t>
            </w:r>
          </w:p>
        </w:tc>
        <w:tc>
          <w:tcPr>
            <w:tcW w:w="969" w:type="dxa"/>
            <w:tcBorders>
              <w:top w:val="nil"/>
              <w:left w:val="nil"/>
              <w:bottom w:val="single" w:sz="4" w:space="0" w:color="auto"/>
              <w:right w:val="single" w:sz="4" w:space="0" w:color="auto"/>
            </w:tcBorders>
            <w:shd w:val="clear" w:color="auto" w:fill="auto"/>
            <w:noWrap/>
            <w:vAlign w:val="bottom"/>
            <w:hideMark/>
          </w:tcPr>
          <w:p w14:paraId="56E79BCA"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440,000</w:t>
            </w:r>
          </w:p>
        </w:tc>
        <w:tc>
          <w:tcPr>
            <w:tcW w:w="1183" w:type="dxa"/>
            <w:tcBorders>
              <w:top w:val="nil"/>
              <w:left w:val="single" w:sz="4" w:space="0" w:color="auto"/>
              <w:bottom w:val="single" w:sz="4" w:space="0" w:color="auto"/>
              <w:right w:val="single" w:sz="8" w:space="0" w:color="auto"/>
            </w:tcBorders>
            <w:shd w:val="clear" w:color="auto" w:fill="auto"/>
            <w:noWrap/>
            <w:vAlign w:val="bottom"/>
            <w:hideMark/>
          </w:tcPr>
          <w:p w14:paraId="0E506AEE"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4,400,000</w:t>
            </w:r>
          </w:p>
        </w:tc>
        <w:tc>
          <w:tcPr>
            <w:tcW w:w="1183" w:type="dxa"/>
            <w:tcBorders>
              <w:top w:val="nil"/>
              <w:left w:val="nil"/>
              <w:bottom w:val="single" w:sz="4" w:space="0" w:color="auto"/>
              <w:right w:val="single" w:sz="4" w:space="0" w:color="auto"/>
            </w:tcBorders>
            <w:shd w:val="clear" w:color="auto" w:fill="auto"/>
            <w:noWrap/>
            <w:vAlign w:val="bottom"/>
            <w:hideMark/>
          </w:tcPr>
          <w:p w14:paraId="3E22D812"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9,400</w:t>
            </w:r>
          </w:p>
        </w:tc>
        <w:tc>
          <w:tcPr>
            <w:tcW w:w="1327" w:type="dxa"/>
            <w:tcBorders>
              <w:top w:val="nil"/>
              <w:left w:val="nil"/>
              <w:bottom w:val="single" w:sz="4" w:space="0" w:color="auto"/>
              <w:right w:val="single" w:sz="4" w:space="0" w:color="auto"/>
            </w:tcBorders>
            <w:shd w:val="clear" w:color="auto" w:fill="auto"/>
            <w:noWrap/>
            <w:vAlign w:val="bottom"/>
            <w:hideMark/>
          </w:tcPr>
          <w:p w14:paraId="59C7F970" w14:textId="77777777" w:rsidR="00AC643A" w:rsidRPr="00AC643A" w:rsidRDefault="00AC643A" w:rsidP="00AC643A">
            <w:pPr>
              <w:spacing w:after="0" w:line="240" w:lineRule="auto"/>
              <w:jc w:val="center"/>
              <w:rPr>
                <w:rFonts w:ascii="Arial" w:eastAsia="Times New Roman" w:hAnsi="Arial" w:cs="Arial"/>
                <w:color w:val="000000"/>
                <w:kern w:val="0"/>
                <w:sz w:val="20"/>
                <w:szCs w:val="20"/>
              </w:rPr>
            </w:pPr>
            <w:r w:rsidRPr="00AC643A">
              <w:rPr>
                <w:rFonts w:ascii="Arial" w:eastAsia="Times New Roman" w:hAnsi="Arial" w:cs="Arial"/>
                <w:color w:val="000000"/>
                <w:kern w:val="0"/>
                <w:sz w:val="20"/>
                <w:szCs w:val="20"/>
              </w:rPr>
              <w:t>1,100,000</w:t>
            </w:r>
          </w:p>
        </w:tc>
      </w:tr>
      <w:tr w:rsidR="00AC643A" w:rsidRPr="00AC643A" w14:paraId="20EE5BE5" w14:textId="77777777" w:rsidTr="005C4C27">
        <w:trPr>
          <w:gridAfter w:val="1"/>
          <w:wAfter w:w="222" w:type="dxa"/>
          <w:trHeight w:val="300"/>
        </w:trPr>
        <w:tc>
          <w:tcPr>
            <w:tcW w:w="9820" w:type="dxa"/>
            <w:gridSpan w:val="6"/>
            <w:tcBorders>
              <w:top w:val="single" w:sz="4" w:space="0" w:color="auto"/>
              <w:left w:val="single" w:sz="4" w:space="0" w:color="auto"/>
              <w:bottom w:val="nil"/>
              <w:right w:val="nil"/>
            </w:tcBorders>
            <w:shd w:val="clear" w:color="auto" w:fill="auto"/>
            <w:vAlign w:val="center"/>
            <w:hideMark/>
          </w:tcPr>
          <w:p w14:paraId="445235FF" w14:textId="18235221" w:rsidR="00AC643A" w:rsidRPr="00182ABB" w:rsidRDefault="00AC643A" w:rsidP="00AC643A">
            <w:pPr>
              <w:spacing w:after="0" w:line="240" w:lineRule="auto"/>
              <w:rPr>
                <w:rFonts w:ascii="Arial" w:eastAsia="Times New Roman" w:hAnsi="Arial" w:cs="Arial"/>
                <w:color w:val="000000"/>
                <w:kern w:val="0"/>
                <w:sz w:val="18"/>
                <w:szCs w:val="18"/>
                <w:highlight w:val="yellow"/>
              </w:rPr>
            </w:pPr>
            <w:r w:rsidRPr="00182ABB">
              <w:rPr>
                <w:rFonts w:ascii="Arial" w:eastAsia="Times New Roman" w:hAnsi="Arial" w:cs="Arial"/>
                <w:color w:val="000000"/>
                <w:kern w:val="0"/>
                <w:sz w:val="18"/>
                <w:szCs w:val="18"/>
                <w:highlight w:val="yellow"/>
                <w:vertAlign w:val="superscript"/>
              </w:rPr>
              <w:t>a</w:t>
            </w:r>
            <w:r w:rsidRPr="00182ABB">
              <w:rPr>
                <w:rFonts w:ascii="Arial" w:eastAsia="Times New Roman" w:hAnsi="Arial" w:cs="Arial"/>
                <w:color w:val="000000"/>
                <w:kern w:val="0"/>
                <w:sz w:val="18"/>
                <w:szCs w:val="18"/>
                <w:highlight w:val="yellow"/>
              </w:rPr>
              <w:t xml:space="preserve"> These are direct water ingestion RBCs</w:t>
            </w:r>
            <w:r w:rsidR="001F027C" w:rsidRPr="00182ABB">
              <w:rPr>
                <w:rFonts w:ascii="Arial" w:eastAsia="Times New Roman" w:hAnsi="Arial" w:cs="Arial"/>
                <w:color w:val="000000"/>
                <w:kern w:val="0"/>
                <w:sz w:val="18"/>
                <w:szCs w:val="18"/>
                <w:highlight w:val="yellow"/>
              </w:rPr>
              <w:t xml:space="preserve">, no </w:t>
            </w:r>
            <w:r w:rsidRPr="00182ABB">
              <w:rPr>
                <w:rFonts w:ascii="Arial" w:eastAsia="Times New Roman" w:hAnsi="Arial" w:cs="Arial"/>
                <w:color w:val="000000"/>
                <w:kern w:val="0"/>
                <w:sz w:val="18"/>
                <w:szCs w:val="18"/>
                <w:highlight w:val="yellow"/>
              </w:rPr>
              <w:t>bioaccumula</w:t>
            </w:r>
            <w:r w:rsidR="001F027C" w:rsidRPr="00182ABB">
              <w:rPr>
                <w:rFonts w:ascii="Arial" w:eastAsia="Times New Roman" w:hAnsi="Arial" w:cs="Arial"/>
                <w:color w:val="000000"/>
                <w:kern w:val="0"/>
                <w:sz w:val="18"/>
                <w:szCs w:val="18"/>
                <w:highlight w:val="yellow"/>
              </w:rPr>
              <w:t>tion, no food exposure</w:t>
            </w:r>
            <w:r w:rsidRPr="00182ABB">
              <w:rPr>
                <w:rFonts w:ascii="Arial" w:eastAsia="Times New Roman" w:hAnsi="Arial" w:cs="Arial"/>
                <w:color w:val="000000"/>
                <w:kern w:val="0"/>
                <w:sz w:val="18"/>
                <w:szCs w:val="18"/>
                <w:highlight w:val="yellow"/>
              </w:rPr>
              <w:t>.</w:t>
            </w:r>
          </w:p>
        </w:tc>
      </w:tr>
      <w:tr w:rsidR="00AC643A" w:rsidRPr="00AC643A" w14:paraId="2F5B1677" w14:textId="77777777" w:rsidTr="005C4C27">
        <w:trPr>
          <w:gridAfter w:val="1"/>
          <w:wAfter w:w="222" w:type="dxa"/>
          <w:trHeight w:val="300"/>
        </w:trPr>
        <w:tc>
          <w:tcPr>
            <w:tcW w:w="9820" w:type="dxa"/>
            <w:gridSpan w:val="6"/>
            <w:vMerge w:val="restart"/>
            <w:tcBorders>
              <w:top w:val="nil"/>
              <w:left w:val="nil"/>
              <w:bottom w:val="nil"/>
              <w:right w:val="nil"/>
            </w:tcBorders>
            <w:shd w:val="clear" w:color="auto" w:fill="auto"/>
            <w:vAlign w:val="center"/>
            <w:hideMark/>
          </w:tcPr>
          <w:p w14:paraId="73481503" w14:textId="77777777" w:rsidR="00AC643A" w:rsidRPr="00AC643A" w:rsidRDefault="00AC643A" w:rsidP="00AC643A">
            <w:pPr>
              <w:spacing w:after="0" w:line="240" w:lineRule="auto"/>
              <w:rPr>
                <w:rFonts w:ascii="Arial" w:eastAsia="Times New Roman" w:hAnsi="Arial" w:cs="Arial"/>
                <w:color w:val="000000"/>
                <w:kern w:val="0"/>
                <w:sz w:val="18"/>
                <w:szCs w:val="18"/>
              </w:rPr>
            </w:pPr>
            <w:r w:rsidRPr="00AC643A">
              <w:rPr>
                <w:rFonts w:ascii="Arial" w:eastAsia="Times New Roman" w:hAnsi="Arial" w:cs="Arial"/>
                <w:color w:val="000000"/>
                <w:kern w:val="0"/>
                <w:sz w:val="18"/>
                <w:szCs w:val="18"/>
              </w:rPr>
              <w:t xml:space="preserve">Reference:  LANL (Los Alamos National Laboratory), September 2022. "ECORISK Database (Release 4.3)", LA-UR-17-26376, Los Alamos National Laboratory, Los Alamos, New Mexico. (LANL 2017, 602538).  Lowest of avian and mammalian water ingestion for </w:t>
            </w:r>
            <w:r w:rsidRPr="00182ABB">
              <w:rPr>
                <w:rFonts w:ascii="Arial" w:eastAsia="Times New Roman" w:hAnsi="Arial" w:cs="Arial"/>
                <w:color w:val="000000"/>
                <w:kern w:val="0"/>
                <w:sz w:val="18"/>
                <w:szCs w:val="18"/>
              </w:rPr>
              <w:t>water only exposure (No food)</w:t>
            </w:r>
            <w:r w:rsidRPr="00AC643A">
              <w:rPr>
                <w:rFonts w:ascii="Arial" w:eastAsia="Times New Roman" w:hAnsi="Arial" w:cs="Arial"/>
                <w:color w:val="000000"/>
                <w:kern w:val="0"/>
                <w:sz w:val="18"/>
                <w:szCs w:val="18"/>
              </w:rPr>
              <w:t xml:space="preserve"> </w:t>
            </w:r>
          </w:p>
        </w:tc>
      </w:tr>
      <w:tr w:rsidR="00AC643A" w:rsidRPr="00AC643A" w14:paraId="08454EF3" w14:textId="77777777" w:rsidTr="005C4C27">
        <w:trPr>
          <w:trHeight w:val="300"/>
        </w:trPr>
        <w:tc>
          <w:tcPr>
            <w:tcW w:w="9820" w:type="dxa"/>
            <w:gridSpan w:val="6"/>
            <w:vMerge/>
            <w:tcBorders>
              <w:top w:val="nil"/>
              <w:left w:val="nil"/>
              <w:bottom w:val="nil"/>
              <w:right w:val="nil"/>
            </w:tcBorders>
            <w:vAlign w:val="center"/>
            <w:hideMark/>
          </w:tcPr>
          <w:p w14:paraId="5479AF2B" w14:textId="77777777" w:rsidR="00AC643A" w:rsidRPr="00AC643A" w:rsidRDefault="00AC643A" w:rsidP="00AC643A">
            <w:pPr>
              <w:spacing w:after="0" w:line="240" w:lineRule="auto"/>
              <w:rPr>
                <w:rFonts w:ascii="Arial" w:eastAsia="Times New Roman" w:hAnsi="Arial" w:cs="Arial"/>
                <w:color w:val="000000"/>
                <w:kern w:val="0"/>
                <w:sz w:val="22"/>
                <w:szCs w:val="22"/>
              </w:rPr>
            </w:pPr>
          </w:p>
        </w:tc>
        <w:tc>
          <w:tcPr>
            <w:tcW w:w="222" w:type="dxa"/>
            <w:tcBorders>
              <w:top w:val="nil"/>
              <w:left w:val="nil"/>
              <w:bottom w:val="nil"/>
              <w:right w:val="nil"/>
            </w:tcBorders>
            <w:shd w:val="clear" w:color="auto" w:fill="auto"/>
            <w:noWrap/>
            <w:vAlign w:val="bottom"/>
            <w:hideMark/>
          </w:tcPr>
          <w:p w14:paraId="5B41D997" w14:textId="77777777" w:rsidR="00AC643A" w:rsidRPr="00AC643A" w:rsidRDefault="00AC643A" w:rsidP="00AC643A">
            <w:pPr>
              <w:spacing w:after="0" w:line="240" w:lineRule="auto"/>
              <w:rPr>
                <w:rFonts w:ascii="Arial" w:eastAsia="Times New Roman" w:hAnsi="Arial" w:cs="Arial"/>
                <w:color w:val="000000"/>
                <w:kern w:val="0"/>
                <w:sz w:val="22"/>
                <w:szCs w:val="22"/>
              </w:rPr>
            </w:pPr>
          </w:p>
        </w:tc>
      </w:tr>
      <w:tr w:rsidR="00AC643A" w:rsidRPr="00AC643A" w14:paraId="0C85B80D" w14:textId="77777777" w:rsidTr="005C4C27">
        <w:trPr>
          <w:trHeight w:val="300"/>
        </w:trPr>
        <w:tc>
          <w:tcPr>
            <w:tcW w:w="9820" w:type="dxa"/>
            <w:gridSpan w:val="6"/>
            <w:vMerge/>
            <w:tcBorders>
              <w:top w:val="nil"/>
              <w:left w:val="nil"/>
              <w:bottom w:val="nil"/>
              <w:right w:val="nil"/>
            </w:tcBorders>
            <w:vAlign w:val="center"/>
            <w:hideMark/>
          </w:tcPr>
          <w:p w14:paraId="65F272A1" w14:textId="77777777" w:rsidR="00AC643A" w:rsidRPr="00AC643A" w:rsidRDefault="00AC643A" w:rsidP="00AC643A">
            <w:pPr>
              <w:spacing w:after="0" w:line="240" w:lineRule="auto"/>
              <w:rPr>
                <w:rFonts w:ascii="Arial" w:eastAsia="Times New Roman" w:hAnsi="Arial" w:cs="Arial"/>
                <w:color w:val="000000"/>
                <w:kern w:val="0"/>
                <w:sz w:val="22"/>
                <w:szCs w:val="22"/>
              </w:rPr>
            </w:pPr>
          </w:p>
        </w:tc>
        <w:tc>
          <w:tcPr>
            <w:tcW w:w="222" w:type="dxa"/>
            <w:tcBorders>
              <w:top w:val="nil"/>
              <w:left w:val="nil"/>
              <w:bottom w:val="nil"/>
              <w:right w:val="nil"/>
            </w:tcBorders>
            <w:shd w:val="clear" w:color="auto" w:fill="auto"/>
            <w:noWrap/>
            <w:vAlign w:val="bottom"/>
            <w:hideMark/>
          </w:tcPr>
          <w:p w14:paraId="212466BA" w14:textId="77777777" w:rsidR="00AC643A" w:rsidRPr="00AC643A" w:rsidRDefault="00AC643A" w:rsidP="00AC643A">
            <w:pPr>
              <w:spacing w:after="0" w:line="240" w:lineRule="auto"/>
              <w:rPr>
                <w:rFonts w:ascii="Times New Roman" w:eastAsia="Times New Roman" w:hAnsi="Times New Roman" w:cs="Times New Roman"/>
                <w:kern w:val="0"/>
                <w:sz w:val="20"/>
                <w:szCs w:val="20"/>
              </w:rPr>
            </w:pPr>
          </w:p>
        </w:tc>
      </w:tr>
      <w:tr w:rsidR="00AC643A" w:rsidRPr="00AC643A" w14:paraId="3C02EF16" w14:textId="77777777" w:rsidTr="005C4C27">
        <w:trPr>
          <w:trHeight w:val="300"/>
        </w:trPr>
        <w:tc>
          <w:tcPr>
            <w:tcW w:w="9820" w:type="dxa"/>
            <w:gridSpan w:val="6"/>
            <w:vMerge/>
            <w:tcBorders>
              <w:top w:val="nil"/>
              <w:left w:val="nil"/>
              <w:bottom w:val="nil"/>
              <w:right w:val="nil"/>
            </w:tcBorders>
            <w:vAlign w:val="center"/>
            <w:hideMark/>
          </w:tcPr>
          <w:p w14:paraId="00F29355" w14:textId="77777777" w:rsidR="00AC643A" w:rsidRPr="00AC643A" w:rsidRDefault="00AC643A" w:rsidP="00AC643A">
            <w:pPr>
              <w:spacing w:after="0" w:line="240" w:lineRule="auto"/>
              <w:rPr>
                <w:rFonts w:ascii="Arial" w:eastAsia="Times New Roman" w:hAnsi="Arial" w:cs="Arial"/>
                <w:color w:val="000000"/>
                <w:kern w:val="0"/>
                <w:sz w:val="22"/>
                <w:szCs w:val="22"/>
              </w:rPr>
            </w:pPr>
          </w:p>
        </w:tc>
        <w:tc>
          <w:tcPr>
            <w:tcW w:w="222" w:type="dxa"/>
            <w:tcBorders>
              <w:top w:val="nil"/>
              <w:left w:val="nil"/>
              <w:bottom w:val="nil"/>
              <w:right w:val="nil"/>
            </w:tcBorders>
            <w:shd w:val="clear" w:color="auto" w:fill="auto"/>
            <w:noWrap/>
            <w:vAlign w:val="bottom"/>
            <w:hideMark/>
          </w:tcPr>
          <w:p w14:paraId="750AD7BA" w14:textId="77777777" w:rsidR="00AC643A" w:rsidRPr="00AC643A" w:rsidRDefault="00AC643A" w:rsidP="00AC643A">
            <w:pPr>
              <w:spacing w:after="0" w:line="240" w:lineRule="auto"/>
              <w:rPr>
                <w:rFonts w:ascii="Times New Roman" w:eastAsia="Times New Roman" w:hAnsi="Times New Roman" w:cs="Times New Roman"/>
                <w:kern w:val="0"/>
                <w:sz w:val="20"/>
                <w:szCs w:val="20"/>
              </w:rPr>
            </w:pPr>
          </w:p>
        </w:tc>
      </w:tr>
      <w:tr w:rsidR="00AC643A" w:rsidRPr="00AC643A" w14:paraId="117A0EE4" w14:textId="77777777" w:rsidTr="005C4C27">
        <w:trPr>
          <w:trHeight w:val="300"/>
        </w:trPr>
        <w:tc>
          <w:tcPr>
            <w:tcW w:w="9820" w:type="dxa"/>
            <w:gridSpan w:val="6"/>
            <w:vMerge/>
            <w:tcBorders>
              <w:top w:val="nil"/>
              <w:left w:val="nil"/>
              <w:bottom w:val="nil"/>
              <w:right w:val="nil"/>
            </w:tcBorders>
            <w:vAlign w:val="center"/>
            <w:hideMark/>
          </w:tcPr>
          <w:p w14:paraId="579AEF64" w14:textId="77777777" w:rsidR="00AC643A" w:rsidRPr="00AC643A" w:rsidRDefault="00AC643A" w:rsidP="00AC643A">
            <w:pPr>
              <w:spacing w:after="0" w:line="240" w:lineRule="auto"/>
              <w:rPr>
                <w:rFonts w:ascii="Arial" w:eastAsia="Times New Roman" w:hAnsi="Arial" w:cs="Arial"/>
                <w:color w:val="000000"/>
                <w:kern w:val="0"/>
                <w:sz w:val="22"/>
                <w:szCs w:val="22"/>
              </w:rPr>
            </w:pPr>
          </w:p>
        </w:tc>
        <w:tc>
          <w:tcPr>
            <w:tcW w:w="222" w:type="dxa"/>
            <w:tcBorders>
              <w:top w:val="nil"/>
              <w:left w:val="nil"/>
              <w:bottom w:val="nil"/>
              <w:right w:val="nil"/>
            </w:tcBorders>
            <w:shd w:val="clear" w:color="auto" w:fill="auto"/>
            <w:noWrap/>
            <w:vAlign w:val="bottom"/>
            <w:hideMark/>
          </w:tcPr>
          <w:p w14:paraId="6DDEA558" w14:textId="77777777" w:rsidR="00AC643A" w:rsidRPr="00AC643A" w:rsidRDefault="00AC643A" w:rsidP="00AC643A">
            <w:pPr>
              <w:spacing w:after="0" w:line="240" w:lineRule="auto"/>
              <w:rPr>
                <w:rFonts w:ascii="Times New Roman" w:eastAsia="Times New Roman" w:hAnsi="Times New Roman" w:cs="Times New Roman"/>
                <w:kern w:val="0"/>
                <w:sz w:val="20"/>
                <w:szCs w:val="20"/>
              </w:rPr>
            </w:pPr>
          </w:p>
        </w:tc>
      </w:tr>
    </w:tbl>
    <w:p w14:paraId="6D56AFC7" w14:textId="77777777" w:rsidR="00F80EEF" w:rsidRDefault="00F80EEF" w:rsidP="005C4C27">
      <w:pPr>
        <w:rPr>
          <w:b/>
          <w:bCs/>
        </w:rPr>
      </w:pPr>
    </w:p>
    <w:p w14:paraId="3D61B35D" w14:textId="77777777" w:rsidR="00F80EEF" w:rsidRDefault="00F80EEF" w:rsidP="005C4C27">
      <w:pPr>
        <w:rPr>
          <w:b/>
          <w:bCs/>
        </w:rPr>
      </w:pPr>
    </w:p>
    <w:p w14:paraId="4F7DE5AE" w14:textId="77777777" w:rsidR="00F80EEF" w:rsidRDefault="00F80EEF" w:rsidP="005C4C27">
      <w:pPr>
        <w:rPr>
          <w:b/>
          <w:bCs/>
        </w:rPr>
      </w:pPr>
    </w:p>
    <w:p w14:paraId="79D9E165" w14:textId="77777777" w:rsidR="00F80EEF" w:rsidRDefault="00F80EEF" w:rsidP="005C4C27">
      <w:pPr>
        <w:rPr>
          <w:b/>
          <w:bCs/>
        </w:rPr>
      </w:pPr>
    </w:p>
    <w:p w14:paraId="07434A49" w14:textId="77777777" w:rsidR="00F80EEF" w:rsidRDefault="00F80EEF" w:rsidP="005C4C27">
      <w:pPr>
        <w:rPr>
          <w:b/>
          <w:bCs/>
        </w:rPr>
      </w:pPr>
    </w:p>
    <w:p w14:paraId="20F844E2" w14:textId="3DE9B185" w:rsidR="005C4C27" w:rsidRPr="00460DC7" w:rsidRDefault="005C4C27" w:rsidP="005C4C27">
      <w:pPr>
        <w:rPr>
          <w:b/>
          <w:bCs/>
        </w:rPr>
      </w:pPr>
      <w:r w:rsidRPr="00AC643A">
        <w:rPr>
          <w:b/>
          <w:bCs/>
        </w:rPr>
        <w:lastRenderedPageBreak/>
        <w:t xml:space="preserve">Figure 5:  Monitoring Well and Grab Groundwater Locations </w:t>
      </w:r>
      <w:r>
        <w:rPr>
          <w:b/>
          <w:bCs/>
        </w:rPr>
        <w:t>used in Screening ERA</w:t>
      </w:r>
    </w:p>
    <w:p w14:paraId="6F776233" w14:textId="77777777" w:rsidR="005C4C27" w:rsidRPr="005C403D" w:rsidRDefault="005C4C27" w:rsidP="005C4C27">
      <w:r w:rsidRPr="005C403D">
        <w:rPr>
          <w:noProof/>
        </w:rPr>
        <w:drawing>
          <wp:inline distT="0" distB="0" distL="0" distR="0" wp14:anchorId="51FF1F09" wp14:editId="2D29107C">
            <wp:extent cx="4855883" cy="3492500"/>
            <wp:effectExtent l="19050" t="19050" r="20955" b="12700"/>
            <wp:docPr id="3" name="Picture 2">
              <a:extLst xmlns:a="http://schemas.openxmlformats.org/drawingml/2006/main">
                <a:ext uri="{FF2B5EF4-FFF2-40B4-BE49-F238E27FC236}">
                  <a16:creationId xmlns:a16="http://schemas.microsoft.com/office/drawing/2014/main" id="{240B174B-25CB-F7AB-FA14-9299A8C6D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0B174B-25CB-F7AB-FA14-9299A8C6DFB2}"/>
                        </a:ext>
                      </a:extLst>
                    </pic:cNvPr>
                    <pic:cNvPicPr>
                      <a:picLocks noChangeAspect="1"/>
                    </pic:cNvPicPr>
                  </pic:nvPicPr>
                  <pic:blipFill>
                    <a:blip r:embed="rId11"/>
                    <a:stretch>
                      <a:fillRect/>
                    </a:stretch>
                  </pic:blipFill>
                  <pic:spPr>
                    <a:xfrm>
                      <a:off x="0" y="0"/>
                      <a:ext cx="4864905" cy="3498989"/>
                    </a:xfrm>
                    <a:prstGeom prst="rect">
                      <a:avLst/>
                    </a:prstGeom>
                    <a:ln>
                      <a:solidFill>
                        <a:schemeClr val="accent1"/>
                      </a:solidFill>
                    </a:ln>
                  </pic:spPr>
                </pic:pic>
              </a:graphicData>
            </a:graphic>
          </wp:inline>
        </w:drawing>
      </w:r>
    </w:p>
    <w:p w14:paraId="66981B65" w14:textId="1170A17F" w:rsidR="00C32030" w:rsidRDefault="00460DC7" w:rsidP="002B04C4">
      <w:pPr>
        <w:rPr>
          <w:b/>
          <w:bCs/>
        </w:rPr>
      </w:pPr>
      <w:r>
        <w:rPr>
          <w:b/>
          <w:bCs/>
        </w:rPr>
        <w:t xml:space="preserve">Screening </w:t>
      </w:r>
      <w:r w:rsidR="00C6003C" w:rsidRPr="00AC643A">
        <w:rPr>
          <w:b/>
          <w:bCs/>
        </w:rPr>
        <w:t xml:space="preserve">Results: </w:t>
      </w:r>
    </w:p>
    <w:p w14:paraId="7306B652" w14:textId="688054DA" w:rsidR="00460DC7" w:rsidRDefault="00460DC7" w:rsidP="00460DC7">
      <w:pPr>
        <w:spacing w:after="0" w:line="240" w:lineRule="auto"/>
        <w:rPr>
          <w:rFonts w:ascii="Calibri" w:hAnsi="Calibri" w:cs="Calibri"/>
          <w:kern w:val="0"/>
          <w14:ligatures w14:val="none"/>
        </w:rPr>
      </w:pPr>
      <w:r w:rsidRPr="00460DC7">
        <w:rPr>
          <w:rFonts w:ascii="Calibri" w:hAnsi="Calibri" w:cs="Calibri"/>
          <w:kern w:val="0"/>
          <w14:ligatures w14:val="none"/>
        </w:rPr>
        <w:t xml:space="preserve">To identify individual COPCs </w:t>
      </w:r>
      <w:proofErr w:type="gramStart"/>
      <w:r w:rsidRPr="00460DC7">
        <w:rPr>
          <w:rFonts w:ascii="Calibri" w:hAnsi="Calibri" w:cs="Calibri"/>
          <w:kern w:val="0"/>
          <w14:ligatures w14:val="none"/>
        </w:rPr>
        <w:t>in a given</w:t>
      </w:r>
      <w:proofErr w:type="gramEnd"/>
      <w:r w:rsidRPr="00460DC7">
        <w:rPr>
          <w:rFonts w:ascii="Calibri" w:hAnsi="Calibri" w:cs="Calibri"/>
          <w:kern w:val="0"/>
          <w14:ligatures w14:val="none"/>
        </w:rPr>
        <w:t xml:space="preserve"> exposure medium, the </w:t>
      </w:r>
      <w:r w:rsidR="006361D0">
        <w:rPr>
          <w:rFonts w:ascii="Calibri" w:hAnsi="Calibri" w:cs="Calibri"/>
          <w:kern w:val="0"/>
          <w14:ligatures w14:val="none"/>
        </w:rPr>
        <w:t>exposure point concentration (</w:t>
      </w:r>
      <w:r w:rsidRPr="00460DC7">
        <w:rPr>
          <w:rFonts w:ascii="Calibri" w:hAnsi="Calibri" w:cs="Calibri"/>
          <w:kern w:val="0"/>
          <w14:ligatures w14:val="none"/>
        </w:rPr>
        <w:t>EPC</w:t>
      </w:r>
      <w:r w:rsidR="006361D0">
        <w:rPr>
          <w:rFonts w:ascii="Calibri" w:hAnsi="Calibri" w:cs="Calibri"/>
          <w:kern w:val="0"/>
          <w14:ligatures w14:val="none"/>
        </w:rPr>
        <w:t>)</w:t>
      </w:r>
      <w:r w:rsidRPr="00460DC7">
        <w:rPr>
          <w:rFonts w:ascii="Calibri" w:hAnsi="Calibri" w:cs="Calibri"/>
          <w:kern w:val="0"/>
          <w14:ligatures w14:val="none"/>
        </w:rPr>
        <w:t xml:space="preserve"> of each COI is compared to the relevant </w:t>
      </w:r>
      <w:r w:rsidR="006361D0">
        <w:rPr>
          <w:rFonts w:ascii="Calibri" w:hAnsi="Calibri" w:cs="Calibri"/>
          <w:kern w:val="0"/>
          <w14:ligatures w14:val="none"/>
        </w:rPr>
        <w:t>risk-based concentration (</w:t>
      </w:r>
      <w:r w:rsidRPr="00460DC7">
        <w:rPr>
          <w:rFonts w:ascii="Calibri" w:hAnsi="Calibri" w:cs="Calibri"/>
          <w:kern w:val="0"/>
          <w14:ligatures w14:val="none"/>
        </w:rPr>
        <w:t>RBC</w:t>
      </w:r>
      <w:r w:rsidR="006361D0">
        <w:rPr>
          <w:rFonts w:ascii="Calibri" w:hAnsi="Calibri" w:cs="Calibri"/>
          <w:kern w:val="0"/>
          <w14:ligatures w14:val="none"/>
        </w:rPr>
        <w:t>)</w:t>
      </w:r>
      <w:r w:rsidRPr="00460DC7">
        <w:rPr>
          <w:rFonts w:ascii="Calibri" w:hAnsi="Calibri" w:cs="Calibri"/>
          <w:kern w:val="0"/>
          <w14:ligatures w14:val="none"/>
        </w:rPr>
        <w:t>.</w:t>
      </w:r>
      <w:r w:rsidR="006361D0">
        <w:rPr>
          <w:rFonts w:ascii="Calibri" w:hAnsi="Calibri" w:cs="Calibri"/>
          <w:kern w:val="0"/>
          <w14:ligatures w14:val="none"/>
        </w:rPr>
        <w:t xml:space="preserve"> In this case, the EPC is the water concentration (ug/L) for each upland well or boring that has the potential to discharge to Ball Creek, and the RBC is the aquatic life RBCs from Table 2 of ODEQ’s </w:t>
      </w:r>
      <w:r w:rsidR="006361D0" w:rsidRPr="006361D0">
        <w:rPr>
          <w:rFonts w:ascii="Calibri" w:hAnsi="Calibri" w:cs="Calibri"/>
          <w:i/>
          <w:iCs/>
          <w:kern w:val="0"/>
          <w14:ligatures w14:val="none"/>
        </w:rPr>
        <w:t>Conducting Ecological Risk Assessments</w:t>
      </w:r>
      <w:r w:rsidR="006361D0">
        <w:rPr>
          <w:rFonts w:ascii="Calibri" w:hAnsi="Calibri" w:cs="Calibri"/>
          <w:kern w:val="0"/>
          <w14:ligatures w14:val="none"/>
        </w:rPr>
        <w:t>.</w:t>
      </w:r>
      <w:r w:rsidR="005C4C27">
        <w:rPr>
          <w:rFonts w:ascii="Calibri" w:hAnsi="Calibri" w:cs="Calibri"/>
          <w:kern w:val="0"/>
          <w14:ligatures w14:val="none"/>
        </w:rPr>
        <w:t xml:space="preserve"> The results are presented in </w:t>
      </w:r>
      <w:r w:rsidR="005C4C27" w:rsidRPr="005C4C27">
        <w:rPr>
          <w:rFonts w:ascii="Calibri" w:hAnsi="Calibri" w:cs="Calibri"/>
          <w:b/>
          <w:bCs/>
          <w:kern w:val="0"/>
          <w14:ligatures w14:val="none"/>
        </w:rPr>
        <w:t>Table 3</w:t>
      </w:r>
      <w:r w:rsidR="005C4C27">
        <w:rPr>
          <w:rFonts w:ascii="Calibri" w:hAnsi="Calibri" w:cs="Calibri"/>
          <w:kern w:val="0"/>
          <w14:ligatures w14:val="none"/>
        </w:rPr>
        <w:t xml:space="preserve"> and </w:t>
      </w:r>
      <w:r w:rsidR="005C4C27" w:rsidRPr="005C4C27">
        <w:rPr>
          <w:rFonts w:ascii="Calibri" w:hAnsi="Calibri" w:cs="Calibri"/>
          <w:b/>
          <w:bCs/>
          <w:kern w:val="0"/>
          <w14:ligatures w14:val="none"/>
        </w:rPr>
        <w:t>Figure</w:t>
      </w:r>
      <w:r w:rsidR="005C4C27">
        <w:rPr>
          <w:rFonts w:ascii="Calibri" w:hAnsi="Calibri" w:cs="Calibri"/>
          <w:b/>
          <w:bCs/>
          <w:kern w:val="0"/>
          <w14:ligatures w14:val="none"/>
        </w:rPr>
        <w:t>s</w:t>
      </w:r>
      <w:r w:rsidR="005C4C27" w:rsidRPr="005C4C27">
        <w:rPr>
          <w:rFonts w:ascii="Calibri" w:hAnsi="Calibri" w:cs="Calibri"/>
          <w:b/>
          <w:bCs/>
          <w:kern w:val="0"/>
          <w14:ligatures w14:val="none"/>
        </w:rPr>
        <w:t xml:space="preserve"> </w:t>
      </w:r>
      <w:r w:rsidR="005C4C27">
        <w:rPr>
          <w:rFonts w:ascii="Calibri" w:hAnsi="Calibri" w:cs="Calibri"/>
          <w:b/>
          <w:bCs/>
          <w:kern w:val="0"/>
          <w14:ligatures w14:val="none"/>
        </w:rPr>
        <w:t>4 and 5</w:t>
      </w:r>
      <w:r w:rsidR="005C4C27">
        <w:rPr>
          <w:rFonts w:ascii="Calibri" w:hAnsi="Calibri" w:cs="Calibri"/>
          <w:kern w:val="0"/>
          <w14:ligatures w14:val="none"/>
        </w:rPr>
        <w:t>.</w:t>
      </w:r>
    </w:p>
    <w:p w14:paraId="2D683E24" w14:textId="1324C2D2" w:rsidR="006361D0" w:rsidRDefault="006361D0" w:rsidP="00460DC7">
      <w:pPr>
        <w:spacing w:after="0" w:line="240" w:lineRule="auto"/>
        <w:rPr>
          <w:rFonts w:ascii="Calibri" w:hAnsi="Calibri" w:cs="Calibri"/>
          <w:kern w:val="0"/>
          <w14:ligatures w14:val="none"/>
        </w:rPr>
      </w:pPr>
      <w:r>
        <w:rPr>
          <w:rFonts w:ascii="Calibri" w:hAnsi="Calibri" w:cs="Calibri"/>
          <w:kern w:val="0"/>
          <w14:ligatures w14:val="none"/>
        </w:rPr>
        <w:t xml:space="preserve"> </w:t>
      </w:r>
    </w:p>
    <w:p w14:paraId="75B61372" w14:textId="5F01CC6C" w:rsidR="006361D0" w:rsidRPr="00460DC7" w:rsidRDefault="006361D0" w:rsidP="00F80EEF">
      <w:pPr>
        <w:spacing w:after="0" w:line="240" w:lineRule="auto"/>
        <w:rPr>
          <w:rFonts w:ascii="Calibri" w:hAnsi="Calibri" w:cs="Calibri"/>
          <w:kern w:val="0"/>
          <w:u w:val="single"/>
          <w14:ligatures w14:val="none"/>
        </w:rPr>
      </w:pPr>
      <w:r w:rsidRPr="006361D0">
        <w:rPr>
          <w:rFonts w:ascii="Calibri" w:hAnsi="Calibri" w:cs="Calibri"/>
          <w:kern w:val="0"/>
          <w:u w:val="single"/>
          <w14:ligatures w14:val="none"/>
        </w:rPr>
        <w:t xml:space="preserve">Individual </w:t>
      </w:r>
      <w:r>
        <w:rPr>
          <w:rFonts w:ascii="Calibri" w:hAnsi="Calibri" w:cs="Calibri"/>
          <w:kern w:val="0"/>
          <w:u w:val="single"/>
          <w14:ligatures w14:val="none"/>
        </w:rPr>
        <w:t xml:space="preserve">Risk </w:t>
      </w:r>
      <w:r w:rsidRPr="006361D0">
        <w:rPr>
          <w:rFonts w:ascii="Calibri" w:hAnsi="Calibri" w:cs="Calibri"/>
          <w:kern w:val="0"/>
          <w:u w:val="single"/>
          <w14:ligatures w14:val="none"/>
        </w:rPr>
        <w:t>Screening:</w:t>
      </w:r>
    </w:p>
    <w:p w14:paraId="638D6837" w14:textId="77777777" w:rsidR="00460DC7" w:rsidRPr="00460DC7" w:rsidRDefault="00460DC7" w:rsidP="00460DC7">
      <w:pPr>
        <w:spacing w:after="0" w:line="240" w:lineRule="auto"/>
        <w:rPr>
          <w:rFonts w:ascii="Calibri" w:hAnsi="Calibri" w:cs="Calibri"/>
          <w:kern w:val="0"/>
          <w14:ligatures w14:val="none"/>
        </w:rPr>
      </w:pPr>
    </w:p>
    <w:p w14:paraId="42E3ECB5" w14:textId="798CA12E" w:rsidR="00460DC7" w:rsidRPr="00460DC7" w:rsidRDefault="00460DC7" w:rsidP="00460DC7">
      <w:pPr>
        <w:spacing w:after="0" w:line="240" w:lineRule="auto"/>
        <w:rPr>
          <w:rFonts w:ascii="Calibri" w:hAnsi="Calibri" w:cs="Calibri"/>
          <w:kern w:val="0"/>
          <w14:ligatures w14:val="none"/>
        </w:rPr>
      </w:pPr>
      <m:oMathPara>
        <m:oMath>
          <m:r>
            <m:rPr>
              <m:sty m:val="p"/>
            </m:rPr>
            <w:rPr>
              <w:rFonts w:ascii="Cambria Math" w:hAnsi="Cambria Math" w:cs="Calibri"/>
              <w:kern w:val="0"/>
              <w14:ligatures w14:val="none"/>
            </w:rPr>
            <m:t xml:space="preserve">Hazard quotient </m:t>
          </m:r>
          <m:d>
            <m:dPr>
              <m:ctrlPr>
                <w:rPr>
                  <w:rFonts w:ascii="Cambria Math" w:hAnsi="Cambria Math" w:cs="Calibri"/>
                  <w:kern w:val="0"/>
                  <w14:ligatures w14:val="none"/>
                </w:rPr>
              </m:ctrlPr>
            </m:dPr>
            <m:e>
              <m:r>
                <m:rPr>
                  <m:sty m:val="p"/>
                </m:rPr>
                <w:rPr>
                  <w:rFonts w:ascii="Cambria Math" w:hAnsi="Cambria Math" w:cs="Calibri"/>
                  <w:kern w:val="0"/>
                  <w14:ligatures w14:val="none"/>
                </w:rPr>
                <m:t>HQ</m:t>
              </m:r>
            </m:e>
          </m:d>
          <m:r>
            <w:rPr>
              <w:rFonts w:ascii="Cambria Math" w:hAnsi="Cambria Math" w:cs="Calibri"/>
              <w:kern w:val="0"/>
              <w14:ligatures w14:val="none"/>
            </w:rPr>
            <m:t xml:space="preserve">= </m:t>
          </m:r>
          <m:f>
            <m:fPr>
              <m:ctrlPr>
                <w:rPr>
                  <w:rFonts w:ascii="Cambria Math" w:hAnsi="Cambria Math" w:cs="Calibri"/>
                  <w:kern w:val="0"/>
                  <w14:ligatures w14:val="none"/>
                </w:rPr>
              </m:ctrlPr>
            </m:fPr>
            <m:num>
              <m:r>
                <m:rPr>
                  <m:sty m:val="p"/>
                </m:rPr>
                <w:rPr>
                  <w:rFonts w:ascii="Cambria Math" w:hAnsi="Cambria Math" w:cs="Calibri"/>
                  <w:kern w:val="0"/>
                  <w14:ligatures w14:val="none"/>
                </w:rPr>
                <m:t>EPC</m:t>
              </m:r>
            </m:num>
            <m:den>
              <m:r>
                <m:rPr>
                  <m:sty m:val="p"/>
                </m:rPr>
                <w:rPr>
                  <w:rFonts w:ascii="Cambria Math" w:hAnsi="Cambria Math" w:cs="Calibri"/>
                  <w:kern w:val="0"/>
                  <w14:ligatures w14:val="none"/>
                </w:rPr>
                <m:t>RBC</m:t>
              </m:r>
            </m:den>
          </m:f>
          <m:r>
            <m:rPr>
              <m:sty m:val="p"/>
            </m:rPr>
            <w:rPr>
              <w:rFonts w:ascii="Cambria Math" w:hAnsi="Cambria Math" w:cs="Calibri"/>
              <w:kern w:val="0"/>
              <w14:ligatures w14:val="none"/>
            </w:rPr>
            <m:t xml:space="preserve">  </m:t>
          </m:r>
        </m:oMath>
      </m:oMathPara>
    </w:p>
    <w:p w14:paraId="3CFCB6B8" w14:textId="77777777" w:rsidR="00460DC7" w:rsidRPr="00460DC7" w:rsidRDefault="00460DC7" w:rsidP="00460DC7">
      <w:pPr>
        <w:spacing w:after="0" w:line="240" w:lineRule="auto"/>
        <w:rPr>
          <w:rFonts w:ascii="Calibri" w:hAnsi="Calibri" w:cs="Calibri"/>
          <w:kern w:val="0"/>
          <w14:ligatures w14:val="none"/>
        </w:rPr>
      </w:pPr>
    </w:p>
    <w:p w14:paraId="45FA77F3" w14:textId="77777777" w:rsidR="00460DC7" w:rsidRPr="00460DC7" w:rsidRDefault="00460DC7" w:rsidP="00460DC7">
      <w:pPr>
        <w:spacing w:after="0" w:line="240" w:lineRule="auto"/>
        <w:rPr>
          <w:rFonts w:ascii="Calibri" w:hAnsi="Calibri" w:cs="Calibri"/>
          <w:kern w:val="0"/>
          <w14:ligatures w14:val="none"/>
        </w:rPr>
      </w:pPr>
    </w:p>
    <w:p w14:paraId="34D88D94" w14:textId="77777777" w:rsidR="00460DC7" w:rsidRPr="00460DC7" w:rsidRDefault="00460DC7" w:rsidP="006361D0">
      <w:pPr>
        <w:spacing w:after="0" w:line="240" w:lineRule="auto"/>
        <w:ind w:left="1440" w:firstLine="720"/>
        <w:rPr>
          <w:rFonts w:ascii="Calibri" w:hAnsi="Calibri" w:cs="Calibri"/>
          <w:kern w:val="0"/>
          <w14:ligatures w14:val="none"/>
        </w:rPr>
      </w:pPr>
      <w:r w:rsidRPr="00460DC7">
        <w:rPr>
          <w:rFonts w:ascii="Calibri" w:hAnsi="Calibri" w:cs="Calibri"/>
          <w:kern w:val="0"/>
          <w14:ligatures w14:val="none"/>
        </w:rPr>
        <w:t xml:space="preserve">Where: </w:t>
      </w:r>
    </w:p>
    <w:p w14:paraId="72BC3A9C" w14:textId="77777777" w:rsidR="00460DC7" w:rsidRPr="00460DC7" w:rsidRDefault="00460DC7" w:rsidP="00460DC7">
      <w:pPr>
        <w:spacing w:after="0" w:line="240" w:lineRule="auto"/>
        <w:rPr>
          <w:rFonts w:ascii="Calibri" w:hAnsi="Calibri" w:cs="Calibri"/>
          <w:kern w:val="0"/>
          <w14:ligatures w14:val="none"/>
        </w:rPr>
      </w:pPr>
    </w:p>
    <w:p w14:paraId="3A215654" w14:textId="77777777" w:rsidR="00460DC7" w:rsidRPr="00460DC7" w:rsidRDefault="00460DC7" w:rsidP="006361D0">
      <w:pPr>
        <w:spacing w:after="0" w:line="240" w:lineRule="auto"/>
        <w:ind w:left="2160"/>
        <w:rPr>
          <w:rFonts w:ascii="Calibri" w:hAnsi="Calibri" w:cs="Calibri"/>
          <w:kern w:val="0"/>
          <w14:ligatures w14:val="none"/>
        </w:rPr>
      </w:pPr>
      <w:r w:rsidRPr="00460DC7">
        <w:rPr>
          <w:rFonts w:ascii="Calibri" w:hAnsi="Calibri" w:cs="Calibri"/>
          <w:kern w:val="0"/>
          <w14:ligatures w14:val="none"/>
        </w:rPr>
        <w:t xml:space="preserve">Hazard quotient (HQ) = the ratio of the EPC to the RBC for each hazardous substance and pathway. </w:t>
      </w:r>
    </w:p>
    <w:p w14:paraId="2BF99E79" w14:textId="77777777" w:rsidR="00460DC7" w:rsidRPr="00460DC7" w:rsidRDefault="00460DC7" w:rsidP="006361D0">
      <w:pPr>
        <w:spacing w:after="0" w:line="240" w:lineRule="auto"/>
        <w:ind w:left="2160"/>
        <w:rPr>
          <w:rFonts w:ascii="Calibri" w:hAnsi="Calibri" w:cs="Calibri"/>
          <w:kern w:val="0"/>
          <w14:ligatures w14:val="none"/>
        </w:rPr>
      </w:pPr>
      <w:r w:rsidRPr="00460DC7">
        <w:rPr>
          <w:rFonts w:ascii="Calibri" w:hAnsi="Calibri" w:cs="Calibri"/>
          <w:kern w:val="0"/>
          <w14:ligatures w14:val="none"/>
        </w:rPr>
        <w:t xml:space="preserve">EPC = Exposure point concentration of a given COI in soil, sediment or water </w:t>
      </w:r>
    </w:p>
    <w:p w14:paraId="22414626" w14:textId="77777777" w:rsidR="00460DC7" w:rsidRPr="00460DC7" w:rsidRDefault="00460DC7" w:rsidP="006361D0">
      <w:pPr>
        <w:spacing w:after="0" w:line="240" w:lineRule="auto"/>
        <w:ind w:left="1440" w:firstLine="720"/>
        <w:rPr>
          <w:rFonts w:ascii="Calibri" w:hAnsi="Calibri" w:cs="Calibri"/>
          <w:kern w:val="0"/>
          <w14:ligatures w14:val="none"/>
        </w:rPr>
      </w:pPr>
      <w:r w:rsidRPr="00460DC7">
        <w:rPr>
          <w:rFonts w:ascii="Calibri" w:hAnsi="Calibri" w:cs="Calibri"/>
          <w:kern w:val="0"/>
          <w14:ligatures w14:val="none"/>
        </w:rPr>
        <w:t xml:space="preserve">RBC = Risk-based concentration for the COI, receptor class, and media </w:t>
      </w:r>
    </w:p>
    <w:p w14:paraId="3D2CF081" w14:textId="77777777" w:rsidR="00460DC7" w:rsidRPr="00460DC7" w:rsidRDefault="00460DC7" w:rsidP="00460DC7">
      <w:pPr>
        <w:spacing w:after="0" w:line="240" w:lineRule="auto"/>
        <w:rPr>
          <w:rFonts w:ascii="Calibri" w:hAnsi="Calibri" w:cs="Calibri"/>
          <w:kern w:val="0"/>
          <w14:ligatures w14:val="none"/>
        </w:rPr>
      </w:pPr>
    </w:p>
    <w:p w14:paraId="24FF6258" w14:textId="212BAC53" w:rsidR="00460DC7" w:rsidRDefault="00460DC7" w:rsidP="00F80EEF">
      <w:pPr>
        <w:spacing w:after="0" w:line="240" w:lineRule="auto"/>
        <w:rPr>
          <w:rFonts w:ascii="Calibri" w:hAnsi="Calibri" w:cs="Calibri"/>
          <w:kern w:val="0"/>
          <w14:ligatures w14:val="none"/>
        </w:rPr>
      </w:pPr>
      <w:r w:rsidRPr="00460DC7">
        <w:rPr>
          <w:rFonts w:ascii="Calibri" w:hAnsi="Calibri" w:cs="Calibri"/>
          <w:kern w:val="0"/>
          <w14:ligatures w14:val="none"/>
        </w:rPr>
        <w:t xml:space="preserve">Chemicals for which the HQ is greater than or equal to 1.0 for a receptor class and pathway are individual COPCs. </w:t>
      </w:r>
    </w:p>
    <w:p w14:paraId="2461E6C4" w14:textId="77777777" w:rsidR="00F80EEF" w:rsidRDefault="00F80EEF" w:rsidP="00F80EEF">
      <w:pPr>
        <w:spacing w:after="0" w:line="240" w:lineRule="auto"/>
        <w:rPr>
          <w:rFonts w:ascii="Calibri" w:hAnsi="Calibri" w:cs="Calibri"/>
          <w:u w:val="single"/>
        </w:rPr>
      </w:pPr>
    </w:p>
    <w:p w14:paraId="39B7EBAD" w14:textId="51703948" w:rsidR="00F80EEF" w:rsidRPr="00F80EEF" w:rsidRDefault="00F80EEF" w:rsidP="00F80EEF">
      <w:pPr>
        <w:spacing w:after="0" w:line="240" w:lineRule="auto"/>
        <w:rPr>
          <w:rFonts w:ascii="Calibri" w:hAnsi="Calibri" w:cs="Calibri"/>
          <w:u w:val="single"/>
        </w:rPr>
      </w:pPr>
      <w:r w:rsidRPr="006361D0">
        <w:rPr>
          <w:rFonts w:ascii="Calibri" w:hAnsi="Calibri" w:cs="Calibri"/>
          <w:u w:val="single"/>
        </w:rPr>
        <w:t xml:space="preserve">Cumulative Risk Screening: </w:t>
      </w:r>
      <w:r w:rsidRPr="006361D0">
        <w:rPr>
          <w:rFonts w:ascii="Calibri" w:hAnsi="Calibri" w:cs="Calibri"/>
        </w:rPr>
        <w:t>To address cumulative risk, a hazard index (HI) is calculated by “totaling” the hazard quotients (HQs) for each receptor and media associated with each complete pathway.</w:t>
      </w:r>
      <w:r>
        <w:rPr>
          <w:rFonts w:ascii="Calibri" w:hAnsi="Calibri" w:cs="Calibri"/>
        </w:rPr>
        <w:t xml:space="preserve"> In this case, the media is upland groundwater concentrations.</w:t>
      </w:r>
    </w:p>
    <w:p w14:paraId="30252760" w14:textId="77777777" w:rsidR="006361D0" w:rsidRDefault="006361D0" w:rsidP="006361D0">
      <w:pPr>
        <w:spacing w:after="0" w:line="240" w:lineRule="auto"/>
        <w:rPr>
          <w:b/>
          <w:bCs/>
        </w:rPr>
      </w:pPr>
    </w:p>
    <w:p w14:paraId="7F3B0A8C" w14:textId="77777777" w:rsidR="006361D0" w:rsidRDefault="00D87BEB" w:rsidP="007C765E">
      <w:pPr>
        <w:ind w:firstLine="360"/>
        <w:rPr>
          <w:u w:val="single"/>
        </w:rPr>
      </w:pPr>
      <w:r w:rsidRPr="00115208">
        <w:rPr>
          <w:u w:val="single"/>
        </w:rPr>
        <w:t>Aquatic</w:t>
      </w:r>
      <w:r w:rsidR="006361D0">
        <w:rPr>
          <w:u w:val="single"/>
        </w:rPr>
        <w:t>, Water</w:t>
      </w:r>
      <w:r w:rsidRPr="00115208">
        <w:rPr>
          <w:u w:val="single"/>
        </w:rPr>
        <w:t>:</w:t>
      </w:r>
    </w:p>
    <w:p w14:paraId="7474BBD0" w14:textId="440BFF46" w:rsidR="00282806" w:rsidRPr="00282806" w:rsidRDefault="001E6361" w:rsidP="00282806">
      <w:pPr>
        <w:pStyle w:val="ListParagraph"/>
        <w:numPr>
          <w:ilvl w:val="0"/>
          <w:numId w:val="13"/>
        </w:numPr>
        <w:rPr>
          <w:u w:val="single"/>
        </w:rPr>
      </w:pPr>
      <w:r>
        <w:t xml:space="preserve">Hazard quotients and cumulative hazard indices are presented in </w:t>
      </w:r>
      <w:r w:rsidRPr="005C4C27">
        <w:rPr>
          <w:b/>
          <w:bCs/>
        </w:rPr>
        <w:t xml:space="preserve">Table </w:t>
      </w:r>
      <w:r w:rsidR="00115208" w:rsidRPr="005C4C27">
        <w:rPr>
          <w:b/>
          <w:bCs/>
        </w:rPr>
        <w:t>3</w:t>
      </w:r>
      <w:r>
        <w:t>. Samples exceeding chronic RBCs are highlighted in light orange, and those exceeding acute RBCs are highlighted in dark orange.</w:t>
      </w:r>
      <w:r w:rsidR="00282806">
        <w:t xml:space="preserve"> Wells with chemical concentrations </w:t>
      </w:r>
      <w:r w:rsidR="00282806" w:rsidRPr="00282806">
        <w:t>exceeding hot spot concentrations (10x RBC)</w:t>
      </w:r>
      <w:r w:rsidR="00282806">
        <w:t xml:space="preserve"> are shown in red.</w:t>
      </w:r>
      <w:r w:rsidR="004B68B0">
        <w:t xml:space="preserve"> Blue highlighted cells indicate exceedances of human health RBCs evaluated in the strategy recommendation.</w:t>
      </w:r>
    </w:p>
    <w:p w14:paraId="16666C55" w14:textId="2973D5F9" w:rsidR="00282806" w:rsidRPr="00282806" w:rsidRDefault="00282806" w:rsidP="00282806">
      <w:pPr>
        <w:pStyle w:val="ListParagraph"/>
        <w:numPr>
          <w:ilvl w:val="0"/>
          <w:numId w:val="13"/>
        </w:numPr>
        <w:rPr>
          <w:u w:val="single"/>
        </w:rPr>
      </w:pPr>
      <w:r>
        <w:t xml:space="preserve">Wells with </w:t>
      </w:r>
      <w:r w:rsidR="00F80EEF">
        <w:t xml:space="preserve">individual chemical </w:t>
      </w:r>
      <w:r w:rsidRPr="00282806">
        <w:rPr>
          <w:u w:val="single"/>
        </w:rPr>
        <w:t>hot spot concentrations</w:t>
      </w:r>
      <w:r>
        <w:t xml:space="preserve"> include:</w:t>
      </w:r>
    </w:p>
    <w:p w14:paraId="3181DBC6" w14:textId="483D2625" w:rsidR="00282806" w:rsidRPr="00282806" w:rsidRDefault="00282806" w:rsidP="00282806">
      <w:pPr>
        <w:pStyle w:val="ListParagraph"/>
        <w:numPr>
          <w:ilvl w:val="1"/>
          <w:numId w:val="13"/>
        </w:numPr>
        <w:rPr>
          <w:u w:val="single"/>
        </w:rPr>
      </w:pPr>
      <w:r>
        <w:t>PCE in MW-13, B3-GW, and B6-GW</w:t>
      </w:r>
    </w:p>
    <w:p w14:paraId="063DE146" w14:textId="6CED3514" w:rsidR="00282806" w:rsidRPr="00282806" w:rsidRDefault="00282806" w:rsidP="00282806">
      <w:pPr>
        <w:pStyle w:val="ListParagraph"/>
        <w:numPr>
          <w:ilvl w:val="1"/>
          <w:numId w:val="13"/>
        </w:numPr>
        <w:rPr>
          <w:u w:val="single"/>
        </w:rPr>
      </w:pPr>
      <w:r>
        <w:t xml:space="preserve">TCE in MW-13 </w:t>
      </w:r>
    </w:p>
    <w:p w14:paraId="34315DDF" w14:textId="7C3FE5ED" w:rsidR="00282806" w:rsidRPr="00282806" w:rsidRDefault="00282806" w:rsidP="00282806">
      <w:pPr>
        <w:pStyle w:val="ListParagraph"/>
        <w:numPr>
          <w:ilvl w:val="1"/>
          <w:numId w:val="13"/>
        </w:numPr>
        <w:rPr>
          <w:u w:val="single"/>
        </w:rPr>
      </w:pPr>
      <w:r>
        <w:t>cis-1,2-DCE in MW-8, MW-11, MW-13, and MW-17</w:t>
      </w:r>
    </w:p>
    <w:p w14:paraId="119B3A03" w14:textId="6318564B" w:rsidR="006361D0" w:rsidRPr="006361D0" w:rsidRDefault="006361D0" w:rsidP="006361D0">
      <w:pPr>
        <w:pStyle w:val="ListParagraph"/>
        <w:numPr>
          <w:ilvl w:val="0"/>
          <w:numId w:val="13"/>
        </w:numPr>
        <w:rPr>
          <w:u w:val="single"/>
        </w:rPr>
      </w:pPr>
      <w:r>
        <w:t>I</w:t>
      </w:r>
      <w:r w:rsidRPr="00282806">
        <w:rPr>
          <w:u w:val="single"/>
        </w:rPr>
        <w:t>ndividual COIs found at concentrations greater than</w:t>
      </w:r>
      <w:r w:rsidR="0047251C" w:rsidRPr="00282806">
        <w:rPr>
          <w:u w:val="single"/>
        </w:rPr>
        <w:t xml:space="preserve"> chronic water RBCs</w:t>
      </w:r>
      <w:r>
        <w:t xml:space="preserve"> include:</w:t>
      </w:r>
    </w:p>
    <w:p w14:paraId="34282135" w14:textId="463E2944" w:rsidR="006361D0" w:rsidRPr="006361D0" w:rsidRDefault="0047251C" w:rsidP="006361D0">
      <w:pPr>
        <w:pStyle w:val="ListParagraph"/>
        <w:numPr>
          <w:ilvl w:val="1"/>
          <w:numId w:val="13"/>
        </w:numPr>
        <w:rPr>
          <w:u w:val="single"/>
        </w:rPr>
      </w:pPr>
      <w:r>
        <w:t>PCE: MW-11, MW-13, B1-GW, B2-GW, B3-GW, B5-GW, B6-GW</w:t>
      </w:r>
    </w:p>
    <w:p w14:paraId="4D2DE15E" w14:textId="77777777" w:rsidR="006361D0" w:rsidRPr="006361D0" w:rsidRDefault="0047251C" w:rsidP="006361D0">
      <w:pPr>
        <w:pStyle w:val="ListParagraph"/>
        <w:numPr>
          <w:ilvl w:val="1"/>
          <w:numId w:val="13"/>
        </w:numPr>
        <w:rPr>
          <w:u w:val="single"/>
        </w:rPr>
      </w:pPr>
      <w:r>
        <w:t>TCE: MW-2, MW-8, MW-10, MW-11, MW-12, MW-13</w:t>
      </w:r>
    </w:p>
    <w:p w14:paraId="1AF5547B" w14:textId="77777777" w:rsidR="006361D0" w:rsidRPr="006361D0" w:rsidRDefault="00D87BEB" w:rsidP="006361D0">
      <w:pPr>
        <w:pStyle w:val="ListParagraph"/>
        <w:numPr>
          <w:ilvl w:val="1"/>
          <w:numId w:val="13"/>
        </w:numPr>
        <w:rPr>
          <w:u w:val="single"/>
        </w:rPr>
      </w:pPr>
      <w:r>
        <w:t>c</w:t>
      </w:r>
      <w:r w:rsidR="0047251C">
        <w:t>is-1,2-DCE: MW-8, MW-11, MW-12, MW-13, MW-17, B6-GW</w:t>
      </w:r>
    </w:p>
    <w:p w14:paraId="55263630" w14:textId="77777777" w:rsidR="006361D0" w:rsidRPr="006361D0" w:rsidRDefault="0047251C" w:rsidP="006361D0">
      <w:pPr>
        <w:pStyle w:val="ListParagraph"/>
        <w:numPr>
          <w:ilvl w:val="1"/>
          <w:numId w:val="13"/>
        </w:numPr>
        <w:rPr>
          <w:u w:val="single"/>
        </w:rPr>
      </w:pPr>
      <w:r>
        <w:t>Vinyl Chloride: MW-11</w:t>
      </w:r>
    </w:p>
    <w:p w14:paraId="302FF123" w14:textId="15EA2502" w:rsidR="0047251C" w:rsidRPr="006361D0" w:rsidRDefault="0047251C" w:rsidP="006361D0">
      <w:pPr>
        <w:pStyle w:val="ListParagraph"/>
        <w:numPr>
          <w:ilvl w:val="0"/>
          <w:numId w:val="14"/>
        </w:numPr>
        <w:rPr>
          <w:u w:val="single"/>
        </w:rPr>
      </w:pPr>
      <w:r>
        <w:t xml:space="preserve">There were no </w:t>
      </w:r>
      <w:r w:rsidR="00D87BEB">
        <w:t xml:space="preserve">individual </w:t>
      </w:r>
      <w:r>
        <w:t xml:space="preserve">water RBC exceedances for 1,1-DCE and trans-1,2-DCE, but in some wells </w:t>
      </w:r>
      <w:r w:rsidR="00D87BEB">
        <w:t>these breakdown products</w:t>
      </w:r>
      <w:r>
        <w:t xml:space="preserve"> contribute significantly to the cumulative risk </w:t>
      </w:r>
      <w:r w:rsidR="00D87BEB">
        <w:t>(e.g., MW-8, MW-11, MW-12 for trans-1,2-DCE and MW-13 for 1,1-DCE).</w:t>
      </w:r>
    </w:p>
    <w:p w14:paraId="12966F78" w14:textId="3F03B565" w:rsidR="00AF6B4E" w:rsidRDefault="00AF6B4E" w:rsidP="00AF6B4E">
      <w:pPr>
        <w:pStyle w:val="ListParagraph"/>
        <w:numPr>
          <w:ilvl w:val="0"/>
          <w:numId w:val="11"/>
        </w:numPr>
      </w:pPr>
      <w:r>
        <w:t xml:space="preserve">Wells with water concentrations exceeding </w:t>
      </w:r>
      <w:r w:rsidRPr="00282806">
        <w:rPr>
          <w:u w:val="single"/>
        </w:rPr>
        <w:t xml:space="preserve">chronic </w:t>
      </w:r>
      <w:r w:rsidR="00282806" w:rsidRPr="00282806">
        <w:rPr>
          <w:u w:val="single"/>
        </w:rPr>
        <w:t xml:space="preserve">cumulative </w:t>
      </w:r>
      <w:r w:rsidRPr="00282806">
        <w:rPr>
          <w:u w:val="single"/>
        </w:rPr>
        <w:t>risk levels</w:t>
      </w:r>
      <w:r>
        <w:t xml:space="preserve"> (HI &gt; 1.0) include MW-1, MW-2, </w:t>
      </w:r>
      <w:r w:rsidRPr="00AF6B4E">
        <w:rPr>
          <w:b/>
          <w:bCs/>
        </w:rPr>
        <w:t>MW-8</w:t>
      </w:r>
      <w:r>
        <w:t xml:space="preserve">, MW-10, </w:t>
      </w:r>
      <w:r w:rsidRPr="00AF6B4E">
        <w:rPr>
          <w:b/>
          <w:bCs/>
        </w:rPr>
        <w:t>MW-11</w:t>
      </w:r>
      <w:r>
        <w:t xml:space="preserve">, MW-12, </w:t>
      </w:r>
      <w:r w:rsidRPr="00AF6B4E">
        <w:rPr>
          <w:b/>
          <w:bCs/>
        </w:rPr>
        <w:t>MW-13</w:t>
      </w:r>
      <w:r>
        <w:t xml:space="preserve">, </w:t>
      </w:r>
      <w:r w:rsidRPr="00AF6B4E">
        <w:rPr>
          <w:b/>
          <w:bCs/>
        </w:rPr>
        <w:t>MW-17</w:t>
      </w:r>
      <w:r>
        <w:t xml:space="preserve">, B1-GW, B2-GW, </w:t>
      </w:r>
      <w:r w:rsidRPr="00AF6B4E">
        <w:rPr>
          <w:b/>
          <w:bCs/>
        </w:rPr>
        <w:t>B3-GW</w:t>
      </w:r>
      <w:r>
        <w:t xml:space="preserve">, B5-GW, and </w:t>
      </w:r>
      <w:r w:rsidRPr="00AF6B4E">
        <w:rPr>
          <w:b/>
          <w:bCs/>
        </w:rPr>
        <w:t>B6-GW</w:t>
      </w:r>
      <w:r>
        <w:t>. Some include hot spot concentrations (in bold).</w:t>
      </w:r>
    </w:p>
    <w:p w14:paraId="349038E3" w14:textId="3C68A762" w:rsidR="00AF6B4E" w:rsidRDefault="00AF6B4E" w:rsidP="00AF6B4E">
      <w:pPr>
        <w:pStyle w:val="ListParagraph"/>
        <w:numPr>
          <w:ilvl w:val="0"/>
          <w:numId w:val="11"/>
        </w:numPr>
      </w:pPr>
      <w:r>
        <w:t xml:space="preserve">Wells with water concentrations exceeding </w:t>
      </w:r>
      <w:r w:rsidRPr="00282806">
        <w:rPr>
          <w:u w:val="single"/>
        </w:rPr>
        <w:t xml:space="preserve">acute </w:t>
      </w:r>
      <w:r w:rsidR="00282806" w:rsidRPr="00282806">
        <w:rPr>
          <w:u w:val="single"/>
        </w:rPr>
        <w:t xml:space="preserve">cumulative </w:t>
      </w:r>
      <w:r w:rsidRPr="00282806">
        <w:rPr>
          <w:u w:val="single"/>
        </w:rPr>
        <w:t>risk levels</w:t>
      </w:r>
      <w:r>
        <w:t xml:space="preserve"> (acute HI &gt;1) include MW-8, MW-11, MW-12, MW-13, B3-GW, and B6-GW. </w:t>
      </w:r>
    </w:p>
    <w:p w14:paraId="7FFAC0BE" w14:textId="6BA80EF0" w:rsidR="00115208" w:rsidRDefault="001E6361" w:rsidP="005C4C27">
      <w:pPr>
        <w:pStyle w:val="ListParagraph"/>
        <w:numPr>
          <w:ilvl w:val="0"/>
          <w:numId w:val="11"/>
        </w:numPr>
      </w:pPr>
      <w:r>
        <w:t>No groundwater concentrations exceeded wildlife drinking water RBCs</w:t>
      </w:r>
    </w:p>
    <w:p w14:paraId="6AC9F7E5" w14:textId="50E08483" w:rsidR="00115208" w:rsidRDefault="00115208" w:rsidP="00115208">
      <w:pPr>
        <w:pStyle w:val="ListParagraph"/>
        <w:numPr>
          <w:ilvl w:val="0"/>
          <w:numId w:val="11"/>
        </w:numPr>
      </w:pPr>
      <w:r>
        <w:t xml:space="preserve">Sediment: </w:t>
      </w:r>
      <w:r w:rsidR="005C4C27">
        <w:t>Not available?</w:t>
      </w:r>
    </w:p>
    <w:p w14:paraId="0D2EFE11" w14:textId="77777777" w:rsidR="00541FE7" w:rsidRDefault="00541FE7" w:rsidP="007C765E">
      <w:pPr>
        <w:ind w:firstLine="360"/>
        <w:rPr>
          <w:u w:val="single"/>
        </w:rPr>
      </w:pPr>
    </w:p>
    <w:p w14:paraId="426C32B5" w14:textId="77777777" w:rsidR="00541FE7" w:rsidRDefault="00541FE7" w:rsidP="007C765E">
      <w:pPr>
        <w:ind w:firstLine="360"/>
        <w:rPr>
          <w:u w:val="single"/>
        </w:rPr>
      </w:pPr>
    </w:p>
    <w:p w14:paraId="1F1CBF0E" w14:textId="5ED592C3" w:rsidR="00115208" w:rsidRPr="00115208" w:rsidRDefault="00D87BEB" w:rsidP="007C765E">
      <w:pPr>
        <w:ind w:firstLine="360"/>
        <w:rPr>
          <w:u w:val="single"/>
        </w:rPr>
      </w:pPr>
      <w:r w:rsidRPr="00115208">
        <w:rPr>
          <w:u w:val="single"/>
        </w:rPr>
        <w:lastRenderedPageBreak/>
        <w:t xml:space="preserve">Riparian / Terrestrial: </w:t>
      </w:r>
    </w:p>
    <w:p w14:paraId="3030B374" w14:textId="6570453A" w:rsidR="00D87BEB" w:rsidRDefault="00D87BEB" w:rsidP="00115208">
      <w:pPr>
        <w:pStyle w:val="ListParagraph"/>
        <w:numPr>
          <w:ilvl w:val="0"/>
          <w:numId w:val="12"/>
        </w:numPr>
      </w:pPr>
      <w:r>
        <w:t>There are no soil or sediment characterization data (?) to evaluate terrestrial exposure to the riparian area. If these data become available, the soil RBCs are (lowest listed below):</w:t>
      </w:r>
    </w:p>
    <w:p w14:paraId="7348ACDA" w14:textId="7CE46795" w:rsidR="00D87BEB" w:rsidRDefault="00D87BEB" w:rsidP="00D87BEB">
      <w:pPr>
        <w:pStyle w:val="ListParagraph"/>
        <w:numPr>
          <w:ilvl w:val="1"/>
          <w:numId w:val="11"/>
        </w:numPr>
      </w:pPr>
      <w:r w:rsidRPr="00D87BEB">
        <w:t>1,1-Dichloroethene</w:t>
      </w:r>
      <w:r>
        <w:t xml:space="preserve">: Mammals 60 mg/kg </w:t>
      </w:r>
    </w:p>
    <w:p w14:paraId="3DFAA554" w14:textId="3C2C5AC7" w:rsidR="00D87BEB" w:rsidRDefault="00D87BEB" w:rsidP="00D87BEB">
      <w:pPr>
        <w:pStyle w:val="ListParagraph"/>
        <w:numPr>
          <w:ilvl w:val="1"/>
          <w:numId w:val="11"/>
        </w:numPr>
      </w:pPr>
      <w:r w:rsidRPr="00D87BEB">
        <w:t>Tetrachloroethene</w:t>
      </w:r>
      <w:r>
        <w:t>: Mammals 0.94 mg/kg</w:t>
      </w:r>
    </w:p>
    <w:p w14:paraId="6FEC6C37" w14:textId="216F3373" w:rsidR="00D87BEB" w:rsidRDefault="00D87BEB" w:rsidP="00D87BEB">
      <w:pPr>
        <w:pStyle w:val="ListParagraph"/>
        <w:numPr>
          <w:ilvl w:val="1"/>
          <w:numId w:val="11"/>
        </w:numPr>
      </w:pPr>
      <w:r w:rsidRPr="00D87BEB">
        <w:t>Trichloroethene</w:t>
      </w:r>
      <w:r>
        <w:t>: Mammals 420 mg/kg</w:t>
      </w:r>
    </w:p>
    <w:p w14:paraId="111006DF" w14:textId="77777777" w:rsidR="001C7CDF" w:rsidRDefault="00D87BEB" w:rsidP="001C7CDF">
      <w:pPr>
        <w:pStyle w:val="ListParagraph"/>
        <w:numPr>
          <w:ilvl w:val="1"/>
          <w:numId w:val="11"/>
        </w:numPr>
      </w:pPr>
      <w:r>
        <w:t>Vinyl Chloride: Mammals 1.2 mg/kg</w:t>
      </w:r>
    </w:p>
    <w:p w14:paraId="033BACD6" w14:textId="77777777" w:rsidR="001C7CDF" w:rsidRDefault="001C7CDF" w:rsidP="001C7CDF">
      <w:pPr>
        <w:pStyle w:val="ListParagraph"/>
        <w:ind w:left="1440"/>
      </w:pPr>
    </w:p>
    <w:p w14:paraId="773E660E" w14:textId="0CADF4D9" w:rsidR="001C7CDF" w:rsidRDefault="001C7CDF" w:rsidP="001C7CDF">
      <w:pPr>
        <w:pStyle w:val="ListParagraph"/>
        <w:ind w:left="0"/>
        <w:jc w:val="both"/>
      </w:pPr>
      <w:r w:rsidRPr="001C7CDF">
        <w:rPr>
          <w:b/>
          <w:bCs/>
        </w:rPr>
        <w:t>Uncertainty:</w:t>
      </w:r>
      <w:r>
        <w:t xml:space="preserve"> </w:t>
      </w:r>
    </w:p>
    <w:p w14:paraId="6D6B06D8" w14:textId="77777777" w:rsidR="007C765E" w:rsidRDefault="007C765E" w:rsidP="001C7CDF">
      <w:pPr>
        <w:pStyle w:val="ListParagraph"/>
        <w:ind w:left="0"/>
        <w:jc w:val="both"/>
      </w:pPr>
    </w:p>
    <w:p w14:paraId="696CDFFA" w14:textId="5BE47B56" w:rsidR="007C765E" w:rsidRDefault="007C765E" w:rsidP="007C765E">
      <w:pPr>
        <w:pStyle w:val="ListParagraph"/>
        <w:numPr>
          <w:ilvl w:val="0"/>
          <w:numId w:val="12"/>
        </w:numPr>
        <w:jc w:val="both"/>
      </w:pPr>
      <w:r w:rsidRPr="007C765E">
        <w:rPr>
          <w:u w:val="single"/>
        </w:rPr>
        <w:t>Source Area Well MW-13:</w:t>
      </w:r>
      <w:r>
        <w:t xml:space="preserve"> </w:t>
      </w:r>
      <w:r w:rsidR="001C7CDF">
        <w:t>The monitoring well concentrations in MW-13 are highly variable in magnitude. Sampling events from 2004 to 2006 have significant detections</w:t>
      </w:r>
      <w:r>
        <w:t>. After a gap in monitoring well characterization from 2006 to 2022, concentrations significantly decreased. It is unclear if this was due to a change in sampling methodology, or if there was a real drastic reduction in water concentrations (due to treatment?).</w:t>
      </w:r>
    </w:p>
    <w:p w14:paraId="1BF216FF" w14:textId="77777777" w:rsidR="007C765E" w:rsidRDefault="007C765E" w:rsidP="007C765E">
      <w:pPr>
        <w:pStyle w:val="ListParagraph"/>
        <w:jc w:val="both"/>
      </w:pPr>
    </w:p>
    <w:p w14:paraId="2A2E5A1E" w14:textId="4808904B" w:rsidR="007C765E" w:rsidRDefault="007C765E" w:rsidP="007C765E">
      <w:pPr>
        <w:pStyle w:val="ListParagraph"/>
        <w:numPr>
          <w:ilvl w:val="0"/>
          <w:numId w:val="12"/>
        </w:numPr>
        <w:jc w:val="both"/>
      </w:pPr>
      <w:r w:rsidRPr="007C765E">
        <w:rPr>
          <w:u w:val="single"/>
        </w:rPr>
        <w:t>Hydric Wetland Soil</w:t>
      </w:r>
      <w:r>
        <w:rPr>
          <w:u w:val="single"/>
        </w:rPr>
        <w:t xml:space="preserve"> Pathway</w:t>
      </w:r>
      <w:r w:rsidRPr="007C765E">
        <w:rPr>
          <w:u w:val="single"/>
        </w:rPr>
        <w:t>:</w:t>
      </w:r>
      <w:r>
        <w:t xml:space="preserve"> Recommend characterization of the hydric soils represented by historic Ball Creek. These could transport contamination and vapor under the building to the south and result in human health risk, but it may also be a transport pathway to aquatic habitat to the south-west.  </w:t>
      </w:r>
    </w:p>
    <w:p w14:paraId="491B5522" w14:textId="77777777" w:rsidR="007C765E" w:rsidRPr="001C7CDF" w:rsidRDefault="007C765E" w:rsidP="007C765E">
      <w:pPr>
        <w:pStyle w:val="ListParagraph"/>
        <w:jc w:val="both"/>
      </w:pPr>
    </w:p>
    <w:p w14:paraId="118B5E2C" w14:textId="48A12E05" w:rsidR="007C765E" w:rsidRPr="00F80EEF" w:rsidRDefault="007C765E" w:rsidP="007C765E">
      <w:pPr>
        <w:pStyle w:val="ListParagraph"/>
        <w:numPr>
          <w:ilvl w:val="0"/>
          <w:numId w:val="12"/>
        </w:numPr>
      </w:pPr>
      <w:r w:rsidRPr="007C765E">
        <w:rPr>
          <w:u w:val="single"/>
        </w:rPr>
        <w:t>Contaminants of Interest (COIs):</w:t>
      </w:r>
      <w:r>
        <w:t xml:space="preserve"> Strongly recommend screening of the full COI list and PFAS sampling. Based on the large amount of chrome plating that occurred at the facility, this could be a large source of PFAS to the environment.</w:t>
      </w:r>
    </w:p>
    <w:p w14:paraId="6904DA93" w14:textId="32B980B5" w:rsidR="00380352" w:rsidRDefault="00652214" w:rsidP="007C765E">
      <w:r w:rsidRPr="001C7CDF">
        <w:rPr>
          <w:b/>
          <w:bCs/>
        </w:rPr>
        <w:t xml:space="preserve">Recommendations </w:t>
      </w:r>
      <w:r w:rsidR="00380352">
        <w:t xml:space="preserve">Based on the screening results, there is a potential for water from upland groundwater sources to reach Ball Creek exceeding chronic and acute RBCs for protection of aquatic life (e.g., amphibians, reptiles, invertebrates plants, fish). Hot spot concentrations are present. </w:t>
      </w:r>
    </w:p>
    <w:p w14:paraId="1B27A989" w14:textId="0A4C788D" w:rsidR="00380352" w:rsidRDefault="007C765E" w:rsidP="007C765E">
      <w:pPr>
        <w:pStyle w:val="ListParagraph"/>
        <w:numPr>
          <w:ilvl w:val="0"/>
          <w:numId w:val="16"/>
        </w:numPr>
      </w:pPr>
      <w:r>
        <w:t>Conduct source control based on upland groundwater screening to eliminate discharge to Ball Creek above aquatic RBCs. U</w:t>
      </w:r>
      <w:r w:rsidR="00380352">
        <w:t>pland groundwater concentrations represent those that may be found in Ball Creek or where preferential discharge areas may be present.</w:t>
      </w:r>
      <w:r>
        <w:t xml:space="preserve"> Additional nature and extent sampling is recommended in Ball Creek to determine the extent of chronic and acute exceedances.</w:t>
      </w:r>
    </w:p>
    <w:p w14:paraId="74E633BB" w14:textId="77777777" w:rsidR="007C765E" w:rsidRDefault="007C765E" w:rsidP="007C765E">
      <w:pPr>
        <w:pStyle w:val="ListParagraph"/>
      </w:pPr>
    </w:p>
    <w:p w14:paraId="5EA3DE3D" w14:textId="1521F31C" w:rsidR="00380352" w:rsidRDefault="00380352" w:rsidP="00380352">
      <w:pPr>
        <w:pStyle w:val="ListParagraph"/>
        <w:numPr>
          <w:ilvl w:val="0"/>
          <w:numId w:val="16"/>
        </w:numPr>
      </w:pPr>
      <w:r>
        <w:lastRenderedPageBreak/>
        <w:t>Water discharge to the culvert at the SW portion of the property may result in the transport of contamination to downstream Ball Creek wetlands and Fanno Creek. Recommend water sampling in the creek to determine the nature and extent of contamination.</w:t>
      </w:r>
    </w:p>
    <w:p w14:paraId="3550C645" w14:textId="77777777" w:rsidR="00380352" w:rsidRDefault="00380352" w:rsidP="00380352">
      <w:pPr>
        <w:pStyle w:val="ListParagraph"/>
      </w:pPr>
    </w:p>
    <w:p w14:paraId="77803C32" w14:textId="47702442" w:rsidR="00380352" w:rsidRDefault="00380352" w:rsidP="00380352">
      <w:pPr>
        <w:pStyle w:val="ListParagraph"/>
        <w:numPr>
          <w:ilvl w:val="0"/>
          <w:numId w:val="16"/>
        </w:numPr>
        <w:sectPr w:rsidR="00380352" w:rsidSect="00541FE7">
          <w:headerReference w:type="default" r:id="rId12"/>
          <w:footerReference w:type="default" r:id="rId13"/>
          <w:type w:val="continuous"/>
          <w:pgSz w:w="12240" w:h="15840" w:code="1"/>
          <w:pgMar w:top="1080" w:right="1440" w:bottom="1440" w:left="1440" w:header="1080" w:footer="720" w:gutter="0"/>
          <w:cols w:space="720"/>
          <w:formProt w:val="0"/>
          <w:titlePg/>
          <w:docGrid w:linePitch="360"/>
        </w:sectPr>
      </w:pPr>
      <w:r>
        <w:t>It is unclear soil characterization has been completed for the riparian corridor soils, surface water or sediments data of Ball Creek. Recommend soil characterization and comparison to wildlife soil RBCs presented above.</w:t>
      </w:r>
    </w:p>
    <w:p w14:paraId="1F33AE75" w14:textId="180131E4" w:rsidR="005655AE" w:rsidRPr="00AC643A" w:rsidRDefault="000F37F6" w:rsidP="002B04C4">
      <w:pPr>
        <w:rPr>
          <w:b/>
          <w:bCs/>
        </w:rPr>
      </w:pPr>
      <w:r w:rsidRPr="00AC643A">
        <w:rPr>
          <w:b/>
          <w:bCs/>
        </w:rPr>
        <w:lastRenderedPageBreak/>
        <w:t xml:space="preserve">Table </w:t>
      </w:r>
      <w:r w:rsidR="00AC643A" w:rsidRPr="00AC643A">
        <w:rPr>
          <w:b/>
          <w:bCs/>
        </w:rPr>
        <w:t>3</w:t>
      </w:r>
      <w:r w:rsidRPr="00AC643A">
        <w:rPr>
          <w:b/>
          <w:bCs/>
        </w:rPr>
        <w:t xml:space="preserve">: Screening for Groundwater Concentrations for Chlorinated VOCs. Chronic and Acute RBCs are screened individually </w:t>
      </w:r>
      <w:r w:rsidR="005C4C27">
        <w:rPr>
          <w:b/>
          <w:bCs/>
        </w:rPr>
        <w:t xml:space="preserve">(HQ) </w:t>
      </w:r>
      <w:r w:rsidRPr="00AC643A">
        <w:rPr>
          <w:b/>
          <w:bCs/>
        </w:rPr>
        <w:t xml:space="preserve">and </w:t>
      </w:r>
      <w:r w:rsidR="005C4C27">
        <w:rPr>
          <w:b/>
          <w:bCs/>
        </w:rPr>
        <w:t>cumulatively (</w:t>
      </w:r>
      <w:r w:rsidRPr="00AC643A">
        <w:rPr>
          <w:b/>
          <w:bCs/>
        </w:rPr>
        <w:t>total hazard index</w:t>
      </w:r>
      <w:r w:rsidR="005C4C27">
        <w:rPr>
          <w:b/>
          <w:bCs/>
        </w:rPr>
        <w:t>)</w:t>
      </w:r>
      <w:r w:rsidRPr="00AC643A">
        <w:rPr>
          <w:b/>
          <w:bCs/>
        </w:rPr>
        <w:t xml:space="preserve"> </w:t>
      </w:r>
      <w:r w:rsidR="005C4C27">
        <w:rPr>
          <w:b/>
          <w:bCs/>
        </w:rPr>
        <w:t xml:space="preserve">at each well or boring </w:t>
      </w:r>
      <w:r w:rsidRPr="00AC643A">
        <w:rPr>
          <w:b/>
          <w:bCs/>
        </w:rPr>
        <w:t>location.</w:t>
      </w:r>
    </w:p>
    <w:p w14:paraId="67F0CFED" w14:textId="3A196A64" w:rsidR="005655AE" w:rsidRDefault="008459ED">
      <w:pPr>
        <w:spacing w:after="0" w:line="240" w:lineRule="auto"/>
      </w:pPr>
      <w:r w:rsidRPr="008459ED">
        <w:rPr>
          <w:noProof/>
        </w:rPr>
        <w:drawing>
          <wp:inline distT="0" distB="0" distL="0" distR="0" wp14:anchorId="476B240C" wp14:editId="3874F419">
            <wp:extent cx="8674499" cy="4889500"/>
            <wp:effectExtent l="0" t="0" r="0" b="6350"/>
            <wp:docPr id="611723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75492" cy="4890060"/>
                    </a:xfrm>
                    <a:prstGeom prst="rect">
                      <a:avLst/>
                    </a:prstGeom>
                    <a:noFill/>
                    <a:ln>
                      <a:noFill/>
                    </a:ln>
                  </pic:spPr>
                </pic:pic>
              </a:graphicData>
            </a:graphic>
          </wp:inline>
        </w:drawing>
      </w:r>
      <w:r w:rsidR="005655AE">
        <w:br w:type="page"/>
      </w:r>
    </w:p>
    <w:p w14:paraId="48D3AE20" w14:textId="4AB5669E" w:rsidR="005655AE" w:rsidRDefault="005C4C27" w:rsidP="002B04C4">
      <w:r w:rsidRPr="005C4C27">
        <w:rPr>
          <w:noProof/>
        </w:rPr>
        <w:lastRenderedPageBreak/>
        <w:drawing>
          <wp:inline distT="0" distB="0" distL="0" distR="0" wp14:anchorId="1AC02BAA" wp14:editId="22B18C2F">
            <wp:extent cx="8919673" cy="5302250"/>
            <wp:effectExtent l="0" t="0" r="0" b="0"/>
            <wp:docPr id="199348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2321" cy="5303824"/>
                    </a:xfrm>
                    <a:prstGeom prst="rect">
                      <a:avLst/>
                    </a:prstGeom>
                    <a:noFill/>
                    <a:ln>
                      <a:noFill/>
                    </a:ln>
                  </pic:spPr>
                </pic:pic>
              </a:graphicData>
            </a:graphic>
          </wp:inline>
        </w:drawing>
      </w:r>
    </w:p>
    <w:p w14:paraId="711CF772" w14:textId="77777777" w:rsidR="00541FE7" w:rsidRDefault="00541FE7" w:rsidP="002B04C4">
      <w:pPr>
        <w:rPr>
          <w:b/>
          <w:bCs/>
        </w:rPr>
      </w:pPr>
    </w:p>
    <w:p w14:paraId="1E99C8C2" w14:textId="7075C53F" w:rsidR="000F37F6" w:rsidRPr="00AC643A" w:rsidRDefault="000F37F6" w:rsidP="002B04C4">
      <w:pPr>
        <w:rPr>
          <w:b/>
          <w:bCs/>
        </w:rPr>
      </w:pPr>
      <w:r w:rsidRPr="00AC643A">
        <w:rPr>
          <w:b/>
          <w:bCs/>
        </w:rPr>
        <w:t xml:space="preserve">Figure </w:t>
      </w:r>
      <w:r w:rsidR="00AC643A" w:rsidRPr="00AC643A">
        <w:rPr>
          <w:b/>
          <w:bCs/>
        </w:rPr>
        <w:t>4</w:t>
      </w:r>
      <w:r w:rsidR="005C4C27">
        <w:rPr>
          <w:b/>
          <w:bCs/>
        </w:rPr>
        <w:t xml:space="preserve">: Map of </w:t>
      </w:r>
      <w:r w:rsidR="00652214">
        <w:rPr>
          <w:b/>
          <w:bCs/>
        </w:rPr>
        <w:t>GLB Cumulative Risk (Hazard Index) Exceedances</w:t>
      </w:r>
    </w:p>
    <w:p w14:paraId="0781D5D1" w14:textId="1AF4667B" w:rsidR="000F37F6" w:rsidRDefault="000F37F6" w:rsidP="002B04C4">
      <w:r w:rsidRPr="00C32030">
        <w:rPr>
          <w:noProof/>
        </w:rPr>
        <w:lastRenderedPageBreak/>
        <w:drawing>
          <wp:inline distT="0" distB="0" distL="0" distR="0" wp14:anchorId="2D0C2EF6" wp14:editId="249B6C3E">
            <wp:extent cx="7708900" cy="4856771"/>
            <wp:effectExtent l="19050" t="19050" r="25400" b="20320"/>
            <wp:docPr id="39583906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39069" name="Picture 1" descr="Diagram&#10;&#10;Description automatically generated"/>
                    <pic:cNvPicPr/>
                  </pic:nvPicPr>
                  <pic:blipFill>
                    <a:blip r:embed="rId16"/>
                    <a:stretch>
                      <a:fillRect/>
                    </a:stretch>
                  </pic:blipFill>
                  <pic:spPr>
                    <a:xfrm>
                      <a:off x="0" y="0"/>
                      <a:ext cx="7722788" cy="4865521"/>
                    </a:xfrm>
                    <a:prstGeom prst="rect">
                      <a:avLst/>
                    </a:prstGeom>
                    <a:ln>
                      <a:solidFill>
                        <a:schemeClr val="accent1"/>
                      </a:solidFill>
                    </a:ln>
                  </pic:spPr>
                </pic:pic>
              </a:graphicData>
            </a:graphic>
          </wp:inline>
        </w:drawing>
      </w:r>
    </w:p>
    <w:p w14:paraId="1C29E578" w14:textId="7981D7CE" w:rsidR="000F37F6" w:rsidRPr="00AC643A" w:rsidRDefault="000F37F6" w:rsidP="002B04C4">
      <w:pPr>
        <w:rPr>
          <w:b/>
          <w:bCs/>
        </w:rPr>
      </w:pPr>
      <w:r w:rsidRPr="00AC643A">
        <w:rPr>
          <w:b/>
          <w:bCs/>
        </w:rPr>
        <w:t xml:space="preserve">Figure </w:t>
      </w:r>
      <w:r w:rsidR="00AC643A" w:rsidRPr="00AC643A">
        <w:rPr>
          <w:b/>
          <w:bCs/>
        </w:rPr>
        <w:t>5</w:t>
      </w:r>
      <w:r w:rsidR="00652214">
        <w:rPr>
          <w:b/>
          <w:bCs/>
        </w:rPr>
        <w:t>: Figure Illustrating Distribution of Individual and Cumulative Exceedances by Monitoring Well / Boring and Sample Date</w:t>
      </w:r>
    </w:p>
    <w:p w14:paraId="52E4C593" w14:textId="7CB18809" w:rsidR="00652214" w:rsidRDefault="001F027C" w:rsidP="002B04C4">
      <w:r w:rsidRPr="001F027C">
        <w:rPr>
          <w:noProof/>
        </w:rPr>
        <w:lastRenderedPageBreak/>
        <w:drawing>
          <wp:inline distT="0" distB="0" distL="0" distR="0" wp14:anchorId="07ED88B7" wp14:editId="389CA512">
            <wp:extent cx="8918384" cy="4565650"/>
            <wp:effectExtent l="19050" t="19050" r="16510" b="25400"/>
            <wp:docPr id="1470527519"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27519" name="Picture 1" descr="Chart&#10;&#10;Description automatically generated"/>
                    <pic:cNvPicPr/>
                  </pic:nvPicPr>
                  <pic:blipFill>
                    <a:blip r:embed="rId17"/>
                    <a:stretch>
                      <a:fillRect/>
                    </a:stretch>
                  </pic:blipFill>
                  <pic:spPr>
                    <a:xfrm>
                      <a:off x="0" y="0"/>
                      <a:ext cx="8920369" cy="4566666"/>
                    </a:xfrm>
                    <a:prstGeom prst="rect">
                      <a:avLst/>
                    </a:prstGeom>
                    <a:ln>
                      <a:solidFill>
                        <a:schemeClr val="accent1"/>
                      </a:solidFill>
                    </a:ln>
                  </pic:spPr>
                </pic:pic>
              </a:graphicData>
            </a:graphic>
          </wp:inline>
        </w:drawing>
      </w:r>
    </w:p>
    <w:sectPr w:rsidR="00652214" w:rsidSect="00541FE7">
      <w:pgSz w:w="15840" w:h="12240" w:orient="landscape" w:code="1"/>
      <w:pgMar w:top="1440" w:right="1080" w:bottom="1440" w:left="1440" w:header="108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C1A5A" w14:textId="77777777" w:rsidR="005D74D7" w:rsidRDefault="005D74D7">
      <w:r>
        <w:separator/>
      </w:r>
    </w:p>
  </w:endnote>
  <w:endnote w:type="continuationSeparator" w:id="0">
    <w:p w14:paraId="33EAF4DC" w14:textId="77777777" w:rsidR="005D74D7" w:rsidRDefault="005D7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86166"/>
      <w:docPartObj>
        <w:docPartGallery w:val="Page Numbers (Bottom of Page)"/>
        <w:docPartUnique/>
      </w:docPartObj>
    </w:sdtPr>
    <w:sdtEndPr>
      <w:rPr>
        <w:noProof/>
      </w:rPr>
    </w:sdtEndPr>
    <w:sdtContent>
      <w:p w14:paraId="46A4699C" w14:textId="77777777" w:rsidR="00541FE7" w:rsidRDefault="00541F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2E3E6E" w14:textId="77777777" w:rsidR="00541FE7" w:rsidRDefault="00541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9D706" w14:textId="77777777" w:rsidR="005D74D7" w:rsidRDefault="005D74D7">
      <w:r>
        <w:rPr>
          <w:rFonts w:ascii="Courier" w:hAnsi="Courier"/>
        </w:rPr>
        <w:separator/>
      </w:r>
    </w:p>
  </w:footnote>
  <w:footnote w:type="continuationSeparator" w:id="0">
    <w:p w14:paraId="3085925A" w14:textId="77777777" w:rsidR="005D74D7" w:rsidRDefault="005D7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B995" w14:textId="0EC0AE0A" w:rsidR="00541FE7" w:rsidRDefault="00541FE7">
    <w:pPr>
      <w:pStyle w:val="Header"/>
    </w:pPr>
  </w:p>
  <w:p w14:paraId="53752320" w14:textId="77777777" w:rsidR="005D74D7" w:rsidRDefault="005D74D7" w:rsidP="00BB424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296"/>
    <w:multiLevelType w:val="multilevel"/>
    <w:tmpl w:val="B7ACE7D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0482727"/>
    <w:multiLevelType w:val="hybridMultilevel"/>
    <w:tmpl w:val="884E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C1891"/>
    <w:multiLevelType w:val="hybridMultilevel"/>
    <w:tmpl w:val="7662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9B668E"/>
    <w:multiLevelType w:val="hybridMultilevel"/>
    <w:tmpl w:val="29B2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DC1A48"/>
    <w:multiLevelType w:val="hybridMultilevel"/>
    <w:tmpl w:val="CE8A05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341D71"/>
    <w:multiLevelType w:val="hybridMultilevel"/>
    <w:tmpl w:val="D0143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806F6"/>
    <w:multiLevelType w:val="hybridMultilevel"/>
    <w:tmpl w:val="C67A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73CF4"/>
    <w:multiLevelType w:val="multilevel"/>
    <w:tmpl w:val="535681D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4D55385"/>
    <w:multiLevelType w:val="hybridMultilevel"/>
    <w:tmpl w:val="B45E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87A58"/>
    <w:multiLevelType w:val="hybridMultilevel"/>
    <w:tmpl w:val="3EF0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693340"/>
    <w:multiLevelType w:val="hybridMultilevel"/>
    <w:tmpl w:val="A49A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5F1DED"/>
    <w:multiLevelType w:val="hybridMultilevel"/>
    <w:tmpl w:val="6678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B855D2"/>
    <w:multiLevelType w:val="hybridMultilevel"/>
    <w:tmpl w:val="5E126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12323"/>
    <w:multiLevelType w:val="hybridMultilevel"/>
    <w:tmpl w:val="5BD44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173E66"/>
    <w:multiLevelType w:val="hybridMultilevel"/>
    <w:tmpl w:val="6FDCA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B7664D"/>
    <w:multiLevelType w:val="hybridMultilevel"/>
    <w:tmpl w:val="CFD6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84153">
    <w:abstractNumId w:val="13"/>
  </w:num>
  <w:num w:numId="2" w16cid:durableId="2126196819">
    <w:abstractNumId w:val="3"/>
  </w:num>
  <w:num w:numId="3" w16cid:durableId="1896895162">
    <w:abstractNumId w:val="4"/>
  </w:num>
  <w:num w:numId="4" w16cid:durableId="1813014877">
    <w:abstractNumId w:val="0"/>
  </w:num>
  <w:num w:numId="5" w16cid:durableId="1399547151">
    <w:abstractNumId w:val="6"/>
  </w:num>
  <w:num w:numId="6" w16cid:durableId="2011711970">
    <w:abstractNumId w:val="2"/>
  </w:num>
  <w:num w:numId="7" w16cid:durableId="1197426548">
    <w:abstractNumId w:val="7"/>
  </w:num>
  <w:num w:numId="8" w16cid:durableId="687676595">
    <w:abstractNumId w:val="8"/>
  </w:num>
  <w:num w:numId="9" w16cid:durableId="354817806">
    <w:abstractNumId w:val="5"/>
  </w:num>
  <w:num w:numId="10" w16cid:durableId="858540902">
    <w:abstractNumId w:val="10"/>
  </w:num>
  <w:num w:numId="11" w16cid:durableId="360328474">
    <w:abstractNumId w:val="12"/>
  </w:num>
  <w:num w:numId="12" w16cid:durableId="1546911960">
    <w:abstractNumId w:val="15"/>
  </w:num>
  <w:num w:numId="13" w16cid:durableId="1469277744">
    <w:abstractNumId w:val="14"/>
  </w:num>
  <w:num w:numId="14" w16cid:durableId="525215623">
    <w:abstractNumId w:val="1"/>
  </w:num>
  <w:num w:numId="15" w16cid:durableId="558246634">
    <w:abstractNumId w:val="9"/>
  </w:num>
  <w:num w:numId="16" w16cid:durableId="10403264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intFractionalCharacterWidth/>
  <w:embedSystemFonts/>
  <w:activeWritingStyle w:appName="MSWord" w:lang="en-US" w:vendorID="8" w:dllVersion="513" w:checkStyle="1"/>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9CF"/>
    <w:rsid w:val="00017E66"/>
    <w:rsid w:val="000204DA"/>
    <w:rsid w:val="000666C1"/>
    <w:rsid w:val="000F37F6"/>
    <w:rsid w:val="00106513"/>
    <w:rsid w:val="00115208"/>
    <w:rsid w:val="001548EC"/>
    <w:rsid w:val="00182ABB"/>
    <w:rsid w:val="001C7CDF"/>
    <w:rsid w:val="001D0918"/>
    <w:rsid w:val="001E07E9"/>
    <w:rsid w:val="001E6361"/>
    <w:rsid w:val="001F027C"/>
    <w:rsid w:val="002140C2"/>
    <w:rsid w:val="002557CF"/>
    <w:rsid w:val="00282806"/>
    <w:rsid w:val="00294311"/>
    <w:rsid w:val="002B04C4"/>
    <w:rsid w:val="002D2FBA"/>
    <w:rsid w:val="00324013"/>
    <w:rsid w:val="00327521"/>
    <w:rsid w:val="0033312E"/>
    <w:rsid w:val="00366B7C"/>
    <w:rsid w:val="00372B08"/>
    <w:rsid w:val="00380352"/>
    <w:rsid w:val="003E2F1D"/>
    <w:rsid w:val="00415B99"/>
    <w:rsid w:val="00421049"/>
    <w:rsid w:val="00450DF8"/>
    <w:rsid w:val="00460DC7"/>
    <w:rsid w:val="0047251C"/>
    <w:rsid w:val="00474C08"/>
    <w:rsid w:val="004B68B0"/>
    <w:rsid w:val="004D49EB"/>
    <w:rsid w:val="00507E24"/>
    <w:rsid w:val="00541FE7"/>
    <w:rsid w:val="005655AE"/>
    <w:rsid w:val="005963AF"/>
    <w:rsid w:val="005C403D"/>
    <w:rsid w:val="005C4C27"/>
    <w:rsid w:val="005D74D7"/>
    <w:rsid w:val="005F62EE"/>
    <w:rsid w:val="006055D2"/>
    <w:rsid w:val="006361D0"/>
    <w:rsid w:val="00652214"/>
    <w:rsid w:val="00656829"/>
    <w:rsid w:val="00676019"/>
    <w:rsid w:val="006C05AC"/>
    <w:rsid w:val="006D79FD"/>
    <w:rsid w:val="0074730B"/>
    <w:rsid w:val="00770C91"/>
    <w:rsid w:val="00771AB1"/>
    <w:rsid w:val="00780BF6"/>
    <w:rsid w:val="007A1D75"/>
    <w:rsid w:val="007C765E"/>
    <w:rsid w:val="007F78CB"/>
    <w:rsid w:val="00811D50"/>
    <w:rsid w:val="00831179"/>
    <w:rsid w:val="008319CF"/>
    <w:rsid w:val="008459ED"/>
    <w:rsid w:val="008E3F66"/>
    <w:rsid w:val="00900551"/>
    <w:rsid w:val="00954217"/>
    <w:rsid w:val="009774DB"/>
    <w:rsid w:val="0098799D"/>
    <w:rsid w:val="00997BA2"/>
    <w:rsid w:val="009D1986"/>
    <w:rsid w:val="00A42693"/>
    <w:rsid w:val="00A94442"/>
    <w:rsid w:val="00AB059C"/>
    <w:rsid w:val="00AC643A"/>
    <w:rsid w:val="00AD020A"/>
    <w:rsid w:val="00AD14BB"/>
    <w:rsid w:val="00AF6B4E"/>
    <w:rsid w:val="00B52025"/>
    <w:rsid w:val="00BB4247"/>
    <w:rsid w:val="00BB6C72"/>
    <w:rsid w:val="00BE24EA"/>
    <w:rsid w:val="00C03AEE"/>
    <w:rsid w:val="00C20B4B"/>
    <w:rsid w:val="00C32030"/>
    <w:rsid w:val="00C6003C"/>
    <w:rsid w:val="00CD7820"/>
    <w:rsid w:val="00D618DA"/>
    <w:rsid w:val="00D87BEB"/>
    <w:rsid w:val="00E54414"/>
    <w:rsid w:val="00E54879"/>
    <w:rsid w:val="00E70D1B"/>
    <w:rsid w:val="00E75DA4"/>
    <w:rsid w:val="00F73575"/>
    <w:rsid w:val="00F80EEF"/>
    <w:rsid w:val="00FB53FD"/>
    <w:rsid w:val="00FC503A"/>
    <w:rsid w:val="00FD3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108FF0"/>
  <w15:docId w15:val="{1832BC54-3B6E-4E9B-AC4B-27C405361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75"/>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BodyText"/>
    <w:qFormat/>
    <w:rsid w:val="00B52025"/>
    <w:pPr>
      <w:keepNext/>
      <w:pageBreakBefore/>
      <w:tabs>
        <w:tab w:val="left" w:pos="720"/>
      </w:tabs>
      <w:spacing w:after="120"/>
      <w:ind w:left="720" w:hanging="720"/>
      <w:outlineLvl w:val="0"/>
    </w:pPr>
    <w:rPr>
      <w:b/>
      <w:caps/>
    </w:rPr>
  </w:style>
  <w:style w:type="paragraph" w:styleId="Heading2">
    <w:name w:val="heading 2"/>
    <w:basedOn w:val="Normal"/>
    <w:next w:val="BodyText"/>
    <w:qFormat/>
    <w:rsid w:val="00B52025"/>
    <w:pPr>
      <w:keepNext/>
      <w:tabs>
        <w:tab w:val="left" w:pos="720"/>
      </w:tabs>
      <w:spacing w:before="120" w:after="120"/>
      <w:ind w:left="720" w:hanging="720"/>
      <w:outlineLvl w:val="1"/>
    </w:pPr>
    <w:rPr>
      <w:b/>
    </w:rPr>
  </w:style>
  <w:style w:type="paragraph" w:styleId="Heading3">
    <w:name w:val="heading 3"/>
    <w:basedOn w:val="Normal"/>
    <w:next w:val="BodyText"/>
    <w:qFormat/>
    <w:rsid w:val="00B52025"/>
    <w:pPr>
      <w:keepNext/>
      <w:tabs>
        <w:tab w:val="left" w:pos="720"/>
      </w:tabs>
      <w:spacing w:before="120" w:after="120"/>
      <w:ind w:left="720" w:hanging="720"/>
      <w:outlineLvl w:val="2"/>
    </w:pPr>
    <w:rPr>
      <w:u w:val="single"/>
    </w:rPr>
  </w:style>
  <w:style w:type="paragraph" w:styleId="Heading4">
    <w:name w:val="heading 4"/>
    <w:basedOn w:val="Heading3"/>
    <w:next w:val="BodyTextIndent"/>
    <w:qFormat/>
    <w:rsid w:val="00B52025"/>
    <w:pPr>
      <w:tabs>
        <w:tab w:val="clear" w:pos="720"/>
      </w:tabs>
      <w:ind w:left="1267" w:hanging="907"/>
      <w:outlineLvl w:val="3"/>
    </w:pPr>
  </w:style>
  <w:style w:type="paragraph" w:styleId="Heading5">
    <w:name w:val="heading 5"/>
    <w:basedOn w:val="Heading4"/>
    <w:next w:val="BodyTextIndent"/>
    <w:qFormat/>
    <w:rsid w:val="00B52025"/>
    <w:pPr>
      <w:outlineLvl w:val="4"/>
    </w:pPr>
  </w:style>
  <w:style w:type="paragraph" w:styleId="Heading6">
    <w:name w:val="heading 6"/>
    <w:basedOn w:val="Heading4"/>
    <w:next w:val="BodyTextIndent"/>
    <w:qFormat/>
    <w:rsid w:val="00B52025"/>
    <w:pPr>
      <w:outlineLvl w:val="5"/>
    </w:pPr>
  </w:style>
  <w:style w:type="paragraph" w:styleId="Heading7">
    <w:name w:val="heading 7"/>
    <w:basedOn w:val="Heading4"/>
    <w:next w:val="BodyTextIndent"/>
    <w:qFormat/>
    <w:rsid w:val="00B52025"/>
    <w:pPr>
      <w:outlineLvl w:val="6"/>
    </w:pPr>
  </w:style>
  <w:style w:type="paragraph" w:styleId="Heading8">
    <w:name w:val="heading 8"/>
    <w:basedOn w:val="Heading4"/>
    <w:next w:val="BodyTextIndent"/>
    <w:qFormat/>
    <w:rsid w:val="00B52025"/>
    <w:pPr>
      <w:outlineLvl w:val="7"/>
    </w:pPr>
  </w:style>
  <w:style w:type="paragraph" w:styleId="Heading9">
    <w:name w:val="heading 9"/>
    <w:basedOn w:val="Heading4"/>
    <w:next w:val="BodyTextIndent"/>
    <w:qFormat/>
    <w:rsid w:val="00B52025"/>
    <w:pPr>
      <w:outlineLvl w:val="8"/>
    </w:pPr>
  </w:style>
  <w:style w:type="character" w:default="1" w:styleId="DefaultParagraphFont">
    <w:name w:val="Default Paragraph Font"/>
    <w:uiPriority w:val="1"/>
    <w:semiHidden/>
    <w:unhideWhenUsed/>
    <w:rsid w:val="00F7357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3575"/>
  </w:style>
  <w:style w:type="paragraph" w:styleId="NormalIndent">
    <w:name w:val="Normal Indent"/>
    <w:basedOn w:val="Normal"/>
    <w:rsid w:val="00B52025"/>
    <w:pPr>
      <w:ind w:left="360"/>
    </w:pPr>
  </w:style>
  <w:style w:type="paragraph" w:styleId="BodyTextIndent">
    <w:name w:val="Body Text Indent"/>
    <w:basedOn w:val="BodyText"/>
    <w:rsid w:val="00B52025"/>
    <w:pPr>
      <w:ind w:left="360"/>
    </w:pPr>
  </w:style>
  <w:style w:type="paragraph" w:styleId="BodyText">
    <w:name w:val="Body Text"/>
    <w:basedOn w:val="Normal"/>
    <w:rsid w:val="00B52025"/>
  </w:style>
  <w:style w:type="paragraph" w:styleId="Footer">
    <w:name w:val="footer"/>
    <w:basedOn w:val="Normal"/>
    <w:link w:val="FooterChar"/>
    <w:uiPriority w:val="99"/>
    <w:rsid w:val="00B52025"/>
    <w:pPr>
      <w:tabs>
        <w:tab w:val="center" w:pos="4320"/>
        <w:tab w:val="right" w:pos="8640"/>
      </w:tabs>
    </w:pPr>
  </w:style>
  <w:style w:type="paragraph" w:styleId="Header">
    <w:name w:val="header"/>
    <w:basedOn w:val="Normal"/>
    <w:link w:val="HeaderChar"/>
    <w:uiPriority w:val="99"/>
    <w:rsid w:val="00B52025"/>
    <w:pPr>
      <w:tabs>
        <w:tab w:val="left" w:pos="0"/>
        <w:tab w:val="center" w:pos="4320"/>
        <w:tab w:val="right" w:pos="9000"/>
      </w:tabs>
      <w:suppressAutoHyphens/>
    </w:pPr>
  </w:style>
  <w:style w:type="paragraph" w:styleId="Title">
    <w:name w:val="Title"/>
    <w:basedOn w:val="Normal"/>
    <w:qFormat/>
    <w:rsid w:val="00B52025"/>
    <w:pPr>
      <w:spacing w:after="60"/>
      <w:jc w:val="center"/>
    </w:pPr>
    <w:rPr>
      <w:b/>
      <w:caps/>
    </w:rPr>
  </w:style>
  <w:style w:type="paragraph" w:styleId="Index5">
    <w:name w:val="index 5"/>
    <w:basedOn w:val="Normal"/>
    <w:next w:val="Normal"/>
    <w:semiHidden/>
    <w:rsid w:val="00B52025"/>
  </w:style>
  <w:style w:type="character" w:styleId="CommentReference">
    <w:name w:val="annotation reference"/>
    <w:semiHidden/>
    <w:rsid w:val="00B52025"/>
    <w:rPr>
      <w:sz w:val="20"/>
    </w:rPr>
  </w:style>
  <w:style w:type="paragraph" w:styleId="Caption">
    <w:name w:val="caption"/>
    <w:basedOn w:val="Normal"/>
    <w:next w:val="Normal"/>
    <w:qFormat/>
    <w:rsid w:val="00B52025"/>
    <w:pPr>
      <w:spacing w:before="120" w:after="120"/>
    </w:pPr>
    <w:rPr>
      <w:b/>
    </w:rPr>
  </w:style>
  <w:style w:type="paragraph" w:styleId="Closing">
    <w:name w:val="Closing"/>
    <w:basedOn w:val="Normal"/>
    <w:next w:val="Normal"/>
    <w:rsid w:val="00B52025"/>
    <w:pPr>
      <w:tabs>
        <w:tab w:val="left" w:pos="5760"/>
        <w:tab w:val="left" w:pos="6480"/>
        <w:tab w:val="right" w:pos="9360"/>
      </w:tabs>
    </w:pPr>
  </w:style>
  <w:style w:type="paragraph" w:styleId="EnvelopeAddress">
    <w:name w:val="envelope address"/>
    <w:basedOn w:val="Normal"/>
    <w:rsid w:val="00B52025"/>
    <w:pPr>
      <w:framePr w:w="7920" w:h="1980" w:hRule="exact" w:hSpace="180" w:wrap="auto" w:hAnchor="page" w:xAlign="center" w:yAlign="bottom"/>
      <w:ind w:left="3240" w:hanging="360"/>
    </w:pPr>
  </w:style>
  <w:style w:type="paragraph" w:styleId="EnvelopeReturn">
    <w:name w:val="envelope return"/>
    <w:basedOn w:val="Normal"/>
    <w:rsid w:val="00B52025"/>
    <w:pPr>
      <w:ind w:right="5040"/>
    </w:pPr>
    <w:rPr>
      <w:sz w:val="20"/>
    </w:rPr>
  </w:style>
  <w:style w:type="character" w:styleId="FootnoteReference">
    <w:name w:val="footnote reference"/>
    <w:basedOn w:val="DefaultParagraphFont"/>
    <w:semiHidden/>
    <w:rsid w:val="00B52025"/>
    <w:rPr>
      <w:vertAlign w:val="superscript"/>
    </w:rPr>
  </w:style>
  <w:style w:type="paragraph" w:styleId="Index4">
    <w:name w:val="index 4"/>
    <w:basedOn w:val="Normal"/>
    <w:next w:val="Normal"/>
    <w:semiHidden/>
    <w:rsid w:val="00B52025"/>
  </w:style>
  <w:style w:type="character" w:styleId="LineNumber">
    <w:name w:val="line number"/>
    <w:basedOn w:val="DefaultParagraphFont"/>
    <w:rsid w:val="00B52025"/>
    <w:rPr>
      <w:rFonts w:ascii="Univers (W1)" w:hAnsi="Univers (W1)"/>
      <w:i/>
      <w:sz w:val="22"/>
    </w:rPr>
  </w:style>
  <w:style w:type="paragraph" w:styleId="List">
    <w:name w:val="List"/>
    <w:basedOn w:val="Normal"/>
    <w:rsid w:val="00B52025"/>
  </w:style>
  <w:style w:type="paragraph" w:styleId="Index1">
    <w:name w:val="index 1"/>
    <w:basedOn w:val="Normal"/>
    <w:next w:val="Normal"/>
    <w:semiHidden/>
    <w:rsid w:val="00B52025"/>
    <w:pPr>
      <w:suppressAutoHyphens/>
    </w:pPr>
  </w:style>
  <w:style w:type="paragraph" w:styleId="IndexHeading">
    <w:name w:val="index heading"/>
    <w:basedOn w:val="Normal"/>
    <w:next w:val="Normal"/>
    <w:semiHidden/>
    <w:rsid w:val="00B52025"/>
  </w:style>
  <w:style w:type="paragraph" w:styleId="Index2">
    <w:name w:val="index 2"/>
    <w:basedOn w:val="Normal"/>
    <w:next w:val="Normal"/>
    <w:semiHidden/>
    <w:rsid w:val="00B52025"/>
  </w:style>
  <w:style w:type="paragraph" w:styleId="Index3">
    <w:name w:val="index 3"/>
    <w:basedOn w:val="Normal"/>
    <w:next w:val="Normal"/>
    <w:semiHidden/>
    <w:rsid w:val="00B52025"/>
  </w:style>
  <w:style w:type="paragraph" w:styleId="Index6">
    <w:name w:val="index 6"/>
    <w:basedOn w:val="Normal"/>
    <w:next w:val="Normal"/>
    <w:semiHidden/>
    <w:rsid w:val="00B52025"/>
  </w:style>
  <w:style w:type="paragraph" w:styleId="Index7">
    <w:name w:val="index 7"/>
    <w:basedOn w:val="Normal"/>
    <w:next w:val="Normal"/>
    <w:semiHidden/>
    <w:rsid w:val="00B52025"/>
  </w:style>
  <w:style w:type="paragraph" w:styleId="Index8">
    <w:name w:val="index 8"/>
    <w:basedOn w:val="Normal"/>
    <w:next w:val="Normal"/>
    <w:semiHidden/>
    <w:rsid w:val="00B52025"/>
  </w:style>
  <w:style w:type="paragraph" w:styleId="Index9">
    <w:name w:val="index 9"/>
    <w:basedOn w:val="Normal"/>
    <w:next w:val="Normal"/>
    <w:semiHidden/>
    <w:rsid w:val="00B52025"/>
  </w:style>
  <w:style w:type="paragraph" w:styleId="List2">
    <w:name w:val="List 2"/>
    <w:basedOn w:val="Normal"/>
    <w:rsid w:val="00B52025"/>
    <w:pPr>
      <w:ind w:left="360"/>
    </w:pPr>
  </w:style>
  <w:style w:type="paragraph" w:styleId="List3">
    <w:name w:val="List 3"/>
    <w:basedOn w:val="Normal"/>
    <w:rsid w:val="00B52025"/>
    <w:pPr>
      <w:ind w:left="720"/>
    </w:pPr>
  </w:style>
  <w:style w:type="paragraph" w:styleId="List4">
    <w:name w:val="List 4"/>
    <w:basedOn w:val="Normal"/>
    <w:rsid w:val="00B52025"/>
    <w:pPr>
      <w:ind w:left="1080"/>
    </w:pPr>
  </w:style>
  <w:style w:type="paragraph" w:styleId="List5">
    <w:name w:val="List 5"/>
    <w:basedOn w:val="Normal"/>
    <w:rsid w:val="00B52025"/>
    <w:pPr>
      <w:ind w:left="1440"/>
    </w:pPr>
  </w:style>
  <w:style w:type="paragraph" w:styleId="ListBullet">
    <w:name w:val="List Bullet"/>
    <w:basedOn w:val="Normal"/>
    <w:rsid w:val="00B52025"/>
    <w:pPr>
      <w:spacing w:after="120"/>
      <w:ind w:left="360" w:hanging="360"/>
    </w:pPr>
  </w:style>
  <w:style w:type="paragraph" w:styleId="ListBullet2">
    <w:name w:val="List Bullet 2"/>
    <w:basedOn w:val="Normal"/>
    <w:rsid w:val="00B52025"/>
    <w:pPr>
      <w:ind w:left="720" w:hanging="360"/>
    </w:pPr>
  </w:style>
  <w:style w:type="paragraph" w:styleId="ListBullet3">
    <w:name w:val="List Bullet 3"/>
    <w:basedOn w:val="Normal"/>
    <w:rsid w:val="00B52025"/>
    <w:pPr>
      <w:ind w:left="1080" w:hanging="360"/>
    </w:pPr>
  </w:style>
  <w:style w:type="paragraph" w:styleId="ListBullet4">
    <w:name w:val="List Bullet 4"/>
    <w:basedOn w:val="Normal"/>
    <w:rsid w:val="00B52025"/>
    <w:pPr>
      <w:ind w:left="1440" w:hanging="360"/>
    </w:pPr>
  </w:style>
  <w:style w:type="paragraph" w:styleId="ListBullet5">
    <w:name w:val="List Bullet 5"/>
    <w:basedOn w:val="Normal"/>
    <w:rsid w:val="00B52025"/>
    <w:pPr>
      <w:ind w:left="1800" w:hanging="360"/>
    </w:pPr>
  </w:style>
  <w:style w:type="paragraph" w:styleId="MacroText">
    <w:name w:val="macro"/>
    <w:semiHidden/>
    <w:rsid w:val="00B52025"/>
    <w:pPr>
      <w:tabs>
        <w:tab w:val="left" w:pos="480"/>
        <w:tab w:val="left" w:pos="960"/>
        <w:tab w:val="left" w:pos="1440"/>
        <w:tab w:val="left" w:pos="1920"/>
        <w:tab w:val="left" w:pos="2400"/>
        <w:tab w:val="left" w:pos="2880"/>
        <w:tab w:val="left" w:pos="3360"/>
        <w:tab w:val="left" w:pos="3840"/>
        <w:tab w:val="left" w:pos="4320"/>
      </w:tabs>
      <w:spacing w:after="240"/>
    </w:pPr>
    <w:rPr>
      <w:rFonts w:ascii="Univers (W1)" w:hAnsi="Univers (W1)"/>
      <w:i/>
      <w:sz w:val="16"/>
    </w:rPr>
  </w:style>
  <w:style w:type="paragraph" w:styleId="MessageHeader">
    <w:name w:val="Message Header"/>
    <w:basedOn w:val="Normal"/>
    <w:rsid w:val="00B52025"/>
    <w:pPr>
      <w:ind w:left="1080" w:hanging="1080"/>
    </w:pPr>
    <w:rPr>
      <w:b/>
      <w:sz w:val="20"/>
    </w:rPr>
  </w:style>
  <w:style w:type="character" w:styleId="PageNumber">
    <w:name w:val="page number"/>
    <w:basedOn w:val="DefaultParagraphFont"/>
    <w:rsid w:val="00B52025"/>
    <w:rPr>
      <w:rFonts w:ascii="Univers (W1)" w:hAnsi="Univers (W1)"/>
      <w:sz w:val="22"/>
    </w:rPr>
  </w:style>
  <w:style w:type="paragraph" w:styleId="TableofAuthorities">
    <w:name w:val="table of authorities"/>
    <w:basedOn w:val="Normal"/>
    <w:next w:val="Normal"/>
    <w:semiHidden/>
    <w:rsid w:val="00B52025"/>
  </w:style>
  <w:style w:type="paragraph" w:styleId="TableofFigures">
    <w:name w:val="table of figures"/>
    <w:basedOn w:val="Normal"/>
    <w:next w:val="Normal"/>
    <w:semiHidden/>
    <w:rsid w:val="00B52025"/>
  </w:style>
  <w:style w:type="paragraph" w:styleId="TOC1">
    <w:name w:val="toc 1"/>
    <w:basedOn w:val="Normal"/>
    <w:next w:val="Normal"/>
    <w:semiHidden/>
    <w:rsid w:val="00B52025"/>
    <w:pPr>
      <w:keepNext/>
      <w:tabs>
        <w:tab w:val="left" w:pos="720"/>
        <w:tab w:val="right" w:pos="8820"/>
      </w:tabs>
      <w:spacing w:before="240" w:after="60"/>
      <w:ind w:left="720" w:hanging="720"/>
    </w:pPr>
    <w:rPr>
      <w:caps/>
    </w:rPr>
  </w:style>
  <w:style w:type="paragraph" w:styleId="TOC2">
    <w:name w:val="toc 2"/>
    <w:basedOn w:val="Normal"/>
    <w:next w:val="Normal"/>
    <w:semiHidden/>
    <w:rsid w:val="00B52025"/>
    <w:pPr>
      <w:tabs>
        <w:tab w:val="right" w:pos="8820"/>
      </w:tabs>
      <w:ind w:left="990" w:hanging="450"/>
    </w:pPr>
  </w:style>
  <w:style w:type="paragraph" w:styleId="TOC3">
    <w:name w:val="toc 3"/>
    <w:basedOn w:val="Normal"/>
    <w:next w:val="Normal"/>
    <w:semiHidden/>
    <w:rsid w:val="00B52025"/>
    <w:pPr>
      <w:tabs>
        <w:tab w:val="right" w:pos="9000"/>
      </w:tabs>
      <w:ind w:left="1620" w:hanging="630"/>
    </w:pPr>
  </w:style>
  <w:style w:type="paragraph" w:styleId="TOC4">
    <w:name w:val="toc 4"/>
    <w:basedOn w:val="Normal"/>
    <w:next w:val="Normal"/>
    <w:semiHidden/>
    <w:rsid w:val="00B52025"/>
    <w:pPr>
      <w:tabs>
        <w:tab w:val="right" w:pos="9000"/>
      </w:tabs>
      <w:ind w:left="2430" w:hanging="810"/>
    </w:pPr>
  </w:style>
  <w:style w:type="paragraph" w:styleId="TOC5">
    <w:name w:val="toc 5"/>
    <w:basedOn w:val="Normal"/>
    <w:next w:val="Normal"/>
    <w:semiHidden/>
    <w:rsid w:val="00B52025"/>
    <w:pPr>
      <w:tabs>
        <w:tab w:val="right" w:pos="8640"/>
      </w:tabs>
      <w:ind w:left="1440"/>
    </w:pPr>
  </w:style>
  <w:style w:type="paragraph" w:styleId="TOC6">
    <w:name w:val="toc 6"/>
    <w:basedOn w:val="Normal"/>
    <w:next w:val="Normal"/>
    <w:semiHidden/>
    <w:rsid w:val="00B52025"/>
    <w:pPr>
      <w:tabs>
        <w:tab w:val="right" w:pos="8640"/>
      </w:tabs>
      <w:ind w:left="1440"/>
    </w:pPr>
  </w:style>
  <w:style w:type="paragraph" w:styleId="TOC7">
    <w:name w:val="toc 7"/>
    <w:basedOn w:val="Normal"/>
    <w:next w:val="Normal"/>
    <w:semiHidden/>
    <w:rsid w:val="00B52025"/>
    <w:pPr>
      <w:tabs>
        <w:tab w:val="right" w:pos="8640"/>
      </w:tabs>
      <w:ind w:left="1440"/>
    </w:pPr>
  </w:style>
  <w:style w:type="paragraph" w:styleId="TOC8">
    <w:name w:val="toc 8"/>
    <w:basedOn w:val="Normal"/>
    <w:next w:val="Normal"/>
    <w:semiHidden/>
    <w:rsid w:val="00B52025"/>
    <w:pPr>
      <w:tabs>
        <w:tab w:val="right" w:pos="8640"/>
      </w:tabs>
      <w:ind w:left="1440"/>
    </w:pPr>
  </w:style>
  <w:style w:type="paragraph" w:styleId="TOC9">
    <w:name w:val="toc 9"/>
    <w:basedOn w:val="Normal"/>
    <w:next w:val="Normal"/>
    <w:semiHidden/>
    <w:rsid w:val="00B52025"/>
    <w:pPr>
      <w:tabs>
        <w:tab w:val="right" w:pos="8640"/>
      </w:tabs>
      <w:ind w:left="1440"/>
    </w:pPr>
  </w:style>
  <w:style w:type="paragraph" w:customStyle="1" w:styleId="Title2">
    <w:name w:val="Title 2"/>
    <w:basedOn w:val="Normal"/>
    <w:next w:val="Normal"/>
    <w:rsid w:val="00B52025"/>
    <w:pPr>
      <w:keepNext/>
      <w:jc w:val="center"/>
    </w:pPr>
    <w:rPr>
      <w:caps/>
    </w:rPr>
  </w:style>
  <w:style w:type="paragraph" w:customStyle="1" w:styleId="Title3">
    <w:name w:val="Title 3"/>
    <w:basedOn w:val="Normal"/>
    <w:rsid w:val="00B52025"/>
    <w:pPr>
      <w:keepNext/>
      <w:jc w:val="center"/>
    </w:pPr>
  </w:style>
  <w:style w:type="paragraph" w:styleId="Quote">
    <w:name w:val="Quote"/>
    <w:basedOn w:val="Normal"/>
    <w:next w:val="Normal"/>
    <w:qFormat/>
    <w:rsid w:val="00B52025"/>
    <w:pPr>
      <w:ind w:left="720" w:right="720"/>
    </w:pPr>
  </w:style>
  <w:style w:type="paragraph" w:customStyle="1" w:styleId="Heading0">
    <w:name w:val="Heading 0"/>
    <w:basedOn w:val="Normal"/>
    <w:next w:val="BodyText"/>
    <w:rsid w:val="00B52025"/>
    <w:pPr>
      <w:keepNext/>
      <w:suppressAutoHyphens/>
      <w:spacing w:before="120" w:after="120"/>
    </w:pPr>
    <w:rPr>
      <w:b/>
      <w:caps/>
    </w:rPr>
  </w:style>
  <w:style w:type="paragraph" w:customStyle="1" w:styleId="ListBulletTite">
    <w:name w:val="List Bullet Tite"/>
    <w:basedOn w:val="Normal"/>
    <w:rsid w:val="00B52025"/>
    <w:pPr>
      <w:ind w:left="360" w:hanging="360"/>
    </w:pPr>
  </w:style>
  <w:style w:type="paragraph" w:customStyle="1" w:styleId="ListBulletTite2">
    <w:name w:val="List Bullet Tite 2"/>
    <w:basedOn w:val="ListBullet2"/>
    <w:rsid w:val="00B52025"/>
  </w:style>
  <w:style w:type="paragraph" w:customStyle="1" w:styleId="ListBulletTite3">
    <w:name w:val="List Bullet Tite 3"/>
    <w:basedOn w:val="ListBullet3"/>
    <w:rsid w:val="00B52025"/>
  </w:style>
  <w:style w:type="paragraph" w:customStyle="1" w:styleId="Date-letter">
    <w:name w:val="Date - letter"/>
    <w:basedOn w:val="Normal"/>
    <w:next w:val="Normal"/>
    <w:rsid w:val="00B52025"/>
    <w:pPr>
      <w:spacing w:before="1440" w:after="960"/>
    </w:pPr>
  </w:style>
  <w:style w:type="character" w:customStyle="1" w:styleId="pathname">
    <w:name w:val="pathname"/>
    <w:basedOn w:val="DefaultParagraphFont"/>
    <w:rsid w:val="00B52025"/>
    <w:rPr>
      <w:rFonts w:ascii="Arial" w:hAnsi="Arial"/>
      <w:sz w:val="12"/>
    </w:rPr>
  </w:style>
  <w:style w:type="paragraph" w:customStyle="1" w:styleId="TOCHeading1">
    <w:name w:val="TOC Heading 1"/>
    <w:basedOn w:val="Normal"/>
    <w:next w:val="Normal"/>
    <w:rsid w:val="00B52025"/>
    <w:pPr>
      <w:tabs>
        <w:tab w:val="right" w:pos="9000"/>
      </w:tabs>
      <w:spacing w:after="480"/>
      <w:jc w:val="center"/>
    </w:pPr>
    <w:rPr>
      <w:b/>
      <w:caps/>
    </w:rPr>
  </w:style>
  <w:style w:type="paragraph" w:customStyle="1" w:styleId="ListofHead1">
    <w:name w:val="List of.. Head 1"/>
    <w:basedOn w:val="Normal"/>
    <w:next w:val="ListofHead2"/>
    <w:rsid w:val="00B52025"/>
    <w:pPr>
      <w:keepNext/>
      <w:spacing w:before="720" w:after="240"/>
      <w:jc w:val="center"/>
    </w:pPr>
    <w:rPr>
      <w:b/>
      <w:caps/>
    </w:rPr>
  </w:style>
  <w:style w:type="paragraph" w:customStyle="1" w:styleId="ListofHead2">
    <w:name w:val="List of.. Head 2"/>
    <w:basedOn w:val="Normal"/>
    <w:next w:val="ListofText"/>
    <w:rsid w:val="00B52025"/>
    <w:pPr>
      <w:keepNext/>
      <w:tabs>
        <w:tab w:val="left" w:pos="1080"/>
      </w:tabs>
      <w:spacing w:after="240"/>
    </w:pPr>
    <w:rPr>
      <w:smallCaps/>
      <w:u w:val="words"/>
    </w:rPr>
  </w:style>
  <w:style w:type="paragraph" w:customStyle="1" w:styleId="ListofText">
    <w:name w:val="List of.. Text"/>
    <w:basedOn w:val="Normal"/>
    <w:rsid w:val="00B52025"/>
    <w:pPr>
      <w:tabs>
        <w:tab w:val="left" w:pos="1080"/>
      </w:tabs>
      <w:ind w:left="1080" w:hanging="864"/>
    </w:pPr>
  </w:style>
  <w:style w:type="paragraph" w:customStyle="1" w:styleId="TOCHeading2">
    <w:name w:val="TOC Heading 2"/>
    <w:basedOn w:val="Normal"/>
    <w:next w:val="Normal"/>
    <w:rsid w:val="00B52025"/>
    <w:pPr>
      <w:tabs>
        <w:tab w:val="right" w:pos="9000"/>
      </w:tabs>
    </w:pPr>
    <w:rPr>
      <w:smallCaps/>
      <w:u w:val="words"/>
    </w:rPr>
  </w:style>
  <w:style w:type="paragraph" w:customStyle="1" w:styleId="TableNotes">
    <w:name w:val="Table Notes"/>
    <w:basedOn w:val="Normal"/>
    <w:rsid w:val="00B52025"/>
    <w:pPr>
      <w:keepNext/>
      <w:keepLines/>
      <w:ind w:left="360" w:hanging="360"/>
    </w:pPr>
    <w:rPr>
      <w:sz w:val="18"/>
    </w:rPr>
  </w:style>
  <w:style w:type="paragraph" w:customStyle="1" w:styleId="DividerTitle2">
    <w:name w:val="Divider Title 2"/>
    <w:basedOn w:val="Normal"/>
    <w:next w:val="Normal"/>
    <w:rsid w:val="00B52025"/>
    <w:pPr>
      <w:spacing w:after="240"/>
      <w:jc w:val="right"/>
    </w:pPr>
    <w:rPr>
      <w:caps/>
    </w:rPr>
  </w:style>
  <w:style w:type="paragraph" w:customStyle="1" w:styleId="DividerTitle1">
    <w:name w:val="Divider Title 1"/>
    <w:basedOn w:val="Normal"/>
    <w:next w:val="DividerTitle2"/>
    <w:rsid w:val="00B52025"/>
    <w:pPr>
      <w:pageBreakBefore/>
      <w:pBdr>
        <w:bottom w:val="single" w:sz="12" w:space="2" w:color="auto"/>
      </w:pBdr>
      <w:spacing w:after="240"/>
      <w:jc w:val="right"/>
    </w:pPr>
    <w:rPr>
      <w:b/>
      <w:caps/>
      <w:sz w:val="28"/>
    </w:rPr>
  </w:style>
  <w:style w:type="paragraph" w:customStyle="1" w:styleId="DividerTitle0">
    <w:name w:val="Divider Title 0"/>
    <w:basedOn w:val="Normal"/>
    <w:next w:val="DividerTitle1"/>
    <w:rsid w:val="00B52025"/>
    <w:pPr>
      <w:pageBreakBefore/>
      <w:pBdr>
        <w:bottom w:val="single" w:sz="12" w:space="1" w:color="auto"/>
      </w:pBdr>
      <w:spacing w:after="240"/>
      <w:jc w:val="right"/>
    </w:pPr>
    <w:rPr>
      <w:b/>
      <w:caps/>
      <w:sz w:val="36"/>
    </w:rPr>
  </w:style>
  <w:style w:type="paragraph" w:customStyle="1" w:styleId="HangingIndent">
    <w:name w:val="Hanging Indent"/>
    <w:basedOn w:val="BodyText"/>
    <w:rsid w:val="00B52025"/>
    <w:pPr>
      <w:spacing w:after="240"/>
      <w:ind w:left="360" w:hanging="360"/>
    </w:pPr>
  </w:style>
  <w:style w:type="paragraph" w:styleId="ListNumber">
    <w:name w:val="List Number"/>
    <w:basedOn w:val="Normal"/>
    <w:rsid w:val="00B52025"/>
    <w:pPr>
      <w:spacing w:after="120"/>
      <w:ind w:left="360" w:hanging="360"/>
    </w:pPr>
  </w:style>
  <w:style w:type="paragraph" w:customStyle="1" w:styleId="BCList2">
    <w:name w:val="BC List 2"/>
    <w:basedOn w:val="CCList2"/>
    <w:rsid w:val="00B52025"/>
  </w:style>
  <w:style w:type="paragraph" w:customStyle="1" w:styleId="CCList2">
    <w:name w:val="CC List 2"/>
    <w:basedOn w:val="Normal"/>
    <w:rsid w:val="00B52025"/>
    <w:pPr>
      <w:ind w:left="1080" w:hanging="360"/>
    </w:pPr>
    <w:rPr>
      <w:sz w:val="20"/>
    </w:rPr>
  </w:style>
  <w:style w:type="paragraph" w:customStyle="1" w:styleId="DividerTitle3">
    <w:name w:val="Divider Title 3"/>
    <w:basedOn w:val="Normal"/>
    <w:rsid w:val="00B52025"/>
    <w:pPr>
      <w:jc w:val="right"/>
    </w:pPr>
  </w:style>
  <w:style w:type="paragraph" w:customStyle="1" w:styleId="CCList1">
    <w:name w:val="CC List 1"/>
    <w:basedOn w:val="Normal"/>
    <w:next w:val="CCList2"/>
    <w:rsid w:val="00B52025"/>
    <w:pPr>
      <w:tabs>
        <w:tab w:val="left" w:pos="720"/>
      </w:tabs>
      <w:ind w:left="1080" w:hanging="1080"/>
    </w:pPr>
    <w:rPr>
      <w:sz w:val="20"/>
    </w:rPr>
  </w:style>
  <w:style w:type="paragraph" w:customStyle="1" w:styleId="TableNotesHeading">
    <w:name w:val="Table Notes Heading"/>
    <w:basedOn w:val="Normal"/>
    <w:next w:val="TableNotes"/>
    <w:rsid w:val="00B52025"/>
    <w:pPr>
      <w:keepNext/>
      <w:suppressAutoHyphens/>
      <w:spacing w:before="480" w:after="120"/>
    </w:pPr>
    <w:rPr>
      <w:b/>
      <w:sz w:val="18"/>
      <w:u w:val="single"/>
    </w:rPr>
  </w:style>
  <w:style w:type="paragraph" w:styleId="TOAHeading">
    <w:name w:val="toa heading"/>
    <w:basedOn w:val="Normal"/>
    <w:next w:val="Normal"/>
    <w:semiHidden/>
    <w:rsid w:val="00B52025"/>
  </w:style>
  <w:style w:type="paragraph" w:customStyle="1" w:styleId="BCList1">
    <w:name w:val="BC List 1"/>
    <w:basedOn w:val="CCList1"/>
    <w:next w:val="BCList2"/>
    <w:rsid w:val="00B52025"/>
    <w:pPr>
      <w:keepNext/>
      <w:pageBreakBefore/>
    </w:pPr>
  </w:style>
  <w:style w:type="paragraph" w:styleId="ListNumber5">
    <w:name w:val="List Number 5"/>
    <w:basedOn w:val="Normal"/>
    <w:rsid w:val="00B52025"/>
    <w:pPr>
      <w:ind w:left="1800" w:hanging="360"/>
    </w:pPr>
  </w:style>
  <w:style w:type="paragraph" w:styleId="ListNumber2">
    <w:name w:val="List Number 2"/>
    <w:basedOn w:val="Normal"/>
    <w:rsid w:val="00B52025"/>
    <w:pPr>
      <w:ind w:left="720" w:hanging="360"/>
    </w:pPr>
  </w:style>
  <w:style w:type="paragraph" w:styleId="ListNumber3">
    <w:name w:val="List Number 3"/>
    <w:basedOn w:val="Normal"/>
    <w:rsid w:val="00B52025"/>
    <w:pPr>
      <w:ind w:left="1080" w:hanging="360"/>
    </w:pPr>
  </w:style>
  <w:style w:type="paragraph" w:styleId="ListNumber4">
    <w:name w:val="List Number 4"/>
    <w:basedOn w:val="Normal"/>
    <w:rsid w:val="00B52025"/>
    <w:pPr>
      <w:ind w:left="1440" w:hanging="360"/>
    </w:pPr>
  </w:style>
  <w:style w:type="paragraph" w:customStyle="1" w:styleId="ListDash">
    <w:name w:val="List Dash"/>
    <w:basedOn w:val="Normal"/>
    <w:rsid w:val="00B52025"/>
    <w:pPr>
      <w:spacing w:after="120"/>
      <w:ind w:left="720" w:hanging="360"/>
    </w:pPr>
  </w:style>
  <w:style w:type="paragraph" w:customStyle="1" w:styleId="ListDash2">
    <w:name w:val="List Dash 2"/>
    <w:basedOn w:val="Normal"/>
    <w:rsid w:val="00B52025"/>
    <w:pPr>
      <w:ind w:left="720" w:hanging="360"/>
    </w:pPr>
  </w:style>
  <w:style w:type="paragraph" w:customStyle="1" w:styleId="ListDash3">
    <w:name w:val="List Dash 3"/>
    <w:basedOn w:val="ListDash2"/>
    <w:rsid w:val="00B52025"/>
    <w:pPr>
      <w:ind w:left="1080"/>
    </w:pPr>
  </w:style>
  <w:style w:type="paragraph" w:customStyle="1" w:styleId="ListofTextappendix">
    <w:name w:val="List of...Text (appendix)"/>
    <w:basedOn w:val="Normal"/>
    <w:rsid w:val="00B52025"/>
    <w:pPr>
      <w:ind w:left="1080" w:hanging="864"/>
    </w:pPr>
  </w:style>
  <w:style w:type="paragraph" w:styleId="FootnoteText">
    <w:name w:val="footnote text"/>
    <w:basedOn w:val="Normal"/>
    <w:semiHidden/>
    <w:rsid w:val="00B52025"/>
    <w:pPr>
      <w:ind w:left="720" w:hanging="720"/>
    </w:pPr>
    <w:rPr>
      <w:sz w:val="20"/>
    </w:rPr>
  </w:style>
  <w:style w:type="paragraph" w:customStyle="1" w:styleId="ListBulletindent">
    <w:name w:val="List Bullet (indent)"/>
    <w:basedOn w:val="ListBullet"/>
    <w:rsid w:val="00B52025"/>
    <w:pPr>
      <w:ind w:left="720"/>
    </w:pPr>
  </w:style>
  <w:style w:type="paragraph" w:customStyle="1" w:styleId="ListBulletTiteindent">
    <w:name w:val="List Bullet Tite (indent)"/>
    <w:basedOn w:val="ListBulletTite"/>
    <w:rsid w:val="00B52025"/>
    <w:pPr>
      <w:ind w:left="720"/>
    </w:pPr>
  </w:style>
  <w:style w:type="paragraph" w:customStyle="1" w:styleId="ListDashindent">
    <w:name w:val="List Dash (indent)"/>
    <w:basedOn w:val="ListDash"/>
    <w:rsid w:val="00B52025"/>
    <w:pPr>
      <w:ind w:left="1080"/>
    </w:pPr>
  </w:style>
  <w:style w:type="paragraph" w:customStyle="1" w:styleId="ListDashTite">
    <w:name w:val="List Dash Tite"/>
    <w:basedOn w:val="ListDash"/>
    <w:rsid w:val="00B52025"/>
    <w:pPr>
      <w:spacing w:after="0"/>
    </w:pPr>
  </w:style>
  <w:style w:type="paragraph" w:customStyle="1" w:styleId="ListDashTiteindent">
    <w:name w:val="List Dash Tite (indent)"/>
    <w:basedOn w:val="ListDashTite"/>
    <w:rsid w:val="00B52025"/>
    <w:pPr>
      <w:ind w:left="1080"/>
    </w:pPr>
  </w:style>
  <w:style w:type="paragraph" w:customStyle="1" w:styleId="ListNumberindent">
    <w:name w:val="List Number (indent)"/>
    <w:basedOn w:val="ListNumber"/>
    <w:rsid w:val="00B52025"/>
    <w:pPr>
      <w:ind w:left="720"/>
    </w:pPr>
  </w:style>
  <w:style w:type="paragraph" w:customStyle="1" w:styleId="ListNumberTite">
    <w:name w:val="List Number Tite"/>
    <w:basedOn w:val="ListNumber"/>
    <w:rsid w:val="00B52025"/>
    <w:pPr>
      <w:spacing w:after="0"/>
    </w:pPr>
  </w:style>
  <w:style w:type="paragraph" w:customStyle="1" w:styleId="ListNumberTiteindent">
    <w:name w:val="List Number Tite (indent)"/>
    <w:basedOn w:val="ListNumberTite"/>
    <w:rsid w:val="00B52025"/>
    <w:pPr>
      <w:ind w:left="720"/>
    </w:pPr>
  </w:style>
  <w:style w:type="paragraph" w:customStyle="1" w:styleId="HeadingBase">
    <w:name w:val="Heading Base"/>
    <w:basedOn w:val="Normal"/>
    <w:next w:val="BodyText"/>
    <w:rsid w:val="00B52025"/>
    <w:pPr>
      <w:keepNext/>
      <w:keepLines/>
      <w:spacing w:before="240" w:after="120"/>
    </w:pPr>
    <w:rPr>
      <w:b/>
      <w:kern w:val="28"/>
      <w:sz w:val="36"/>
    </w:rPr>
  </w:style>
  <w:style w:type="paragraph" w:styleId="DocumentMap">
    <w:name w:val="Document Map"/>
    <w:basedOn w:val="Normal"/>
    <w:semiHidden/>
    <w:rsid w:val="00B52025"/>
    <w:pPr>
      <w:shd w:val="clear" w:color="auto" w:fill="000080"/>
    </w:pPr>
    <w:rPr>
      <w:rFonts w:ascii="Tahoma" w:hAnsi="Tahoma"/>
    </w:rPr>
  </w:style>
  <w:style w:type="paragraph" w:customStyle="1" w:styleId="Table">
    <w:name w:val="Table"/>
    <w:basedOn w:val="Normal"/>
    <w:rsid w:val="007F78CB"/>
    <w:pPr>
      <w:keepNext/>
      <w:spacing w:before="120" w:after="120"/>
      <w:jc w:val="center"/>
    </w:pPr>
    <w:rPr>
      <w:b/>
      <w:sz w:val="20"/>
    </w:rPr>
  </w:style>
  <w:style w:type="paragraph" w:styleId="BalloonText">
    <w:name w:val="Balloon Text"/>
    <w:basedOn w:val="Normal"/>
    <w:semiHidden/>
    <w:rsid w:val="007F78CB"/>
    <w:rPr>
      <w:rFonts w:ascii="Tahoma" w:hAnsi="Tahoma" w:cs="Tahoma"/>
      <w:sz w:val="16"/>
      <w:szCs w:val="16"/>
    </w:rPr>
  </w:style>
  <w:style w:type="paragraph" w:styleId="NoSpacing">
    <w:name w:val="No Spacing"/>
    <w:uiPriority w:val="1"/>
    <w:qFormat/>
    <w:rsid w:val="00372B08"/>
    <w:rPr>
      <w:rFonts w:ascii="Arial" w:eastAsiaTheme="minorHAnsi" w:hAnsi="Arial" w:cs="Arial"/>
      <w:sz w:val="22"/>
      <w:szCs w:val="22"/>
    </w:rPr>
  </w:style>
  <w:style w:type="character" w:customStyle="1" w:styleId="HeaderChar">
    <w:name w:val="Header Char"/>
    <w:basedOn w:val="DefaultParagraphFont"/>
    <w:link w:val="Header"/>
    <w:uiPriority w:val="99"/>
    <w:rsid w:val="00AD14BB"/>
    <w:rPr>
      <w:rFonts w:ascii="Arial" w:hAnsi="Arial"/>
      <w:sz w:val="22"/>
    </w:rPr>
  </w:style>
  <w:style w:type="paragraph" w:styleId="ListParagraph">
    <w:name w:val="List Paragraph"/>
    <w:basedOn w:val="Normal"/>
    <w:uiPriority w:val="34"/>
    <w:qFormat/>
    <w:rsid w:val="00372B08"/>
    <w:pPr>
      <w:ind w:left="720"/>
      <w:contextualSpacing/>
    </w:pPr>
  </w:style>
  <w:style w:type="table" w:styleId="TableGrid">
    <w:name w:val="Table Grid"/>
    <w:basedOn w:val="TableNormal"/>
    <w:uiPriority w:val="59"/>
    <w:rsid w:val="005D74D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541FE7"/>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046472">
      <w:bodyDiv w:val="1"/>
      <w:marLeft w:val="0"/>
      <w:marRight w:val="0"/>
      <w:marTop w:val="0"/>
      <w:marBottom w:val="0"/>
      <w:divBdr>
        <w:top w:val="none" w:sz="0" w:space="0" w:color="auto"/>
        <w:left w:val="none" w:sz="0" w:space="0" w:color="auto"/>
        <w:bottom w:val="none" w:sz="0" w:space="0" w:color="auto"/>
        <w:right w:val="none" w:sz="0" w:space="0" w:color="auto"/>
      </w:divBdr>
    </w:div>
    <w:div w:id="514996463">
      <w:bodyDiv w:val="1"/>
      <w:marLeft w:val="0"/>
      <w:marRight w:val="0"/>
      <w:marTop w:val="0"/>
      <w:marBottom w:val="0"/>
      <w:divBdr>
        <w:top w:val="none" w:sz="0" w:space="0" w:color="auto"/>
        <w:left w:val="none" w:sz="0" w:space="0" w:color="auto"/>
        <w:bottom w:val="none" w:sz="0" w:space="0" w:color="auto"/>
        <w:right w:val="none" w:sz="0" w:space="0" w:color="auto"/>
      </w:divBdr>
    </w:div>
    <w:div w:id="933824942">
      <w:bodyDiv w:val="1"/>
      <w:marLeft w:val="0"/>
      <w:marRight w:val="0"/>
      <w:marTop w:val="0"/>
      <w:marBottom w:val="0"/>
      <w:divBdr>
        <w:top w:val="none" w:sz="0" w:space="0" w:color="auto"/>
        <w:left w:val="none" w:sz="0" w:space="0" w:color="auto"/>
        <w:bottom w:val="none" w:sz="0" w:space="0" w:color="auto"/>
        <w:right w:val="none" w:sz="0" w:space="0" w:color="auto"/>
      </w:divBdr>
    </w:div>
    <w:div w:id="971862450">
      <w:bodyDiv w:val="1"/>
      <w:marLeft w:val="0"/>
      <w:marRight w:val="0"/>
      <w:marTop w:val="0"/>
      <w:marBottom w:val="0"/>
      <w:divBdr>
        <w:top w:val="none" w:sz="0" w:space="0" w:color="auto"/>
        <w:left w:val="none" w:sz="0" w:space="0" w:color="auto"/>
        <w:bottom w:val="none" w:sz="0" w:space="0" w:color="auto"/>
        <w:right w:val="none" w:sz="0" w:space="0" w:color="auto"/>
      </w:divBdr>
    </w:div>
    <w:div w:id="1395162262">
      <w:bodyDiv w:val="1"/>
      <w:marLeft w:val="0"/>
      <w:marRight w:val="0"/>
      <w:marTop w:val="0"/>
      <w:marBottom w:val="0"/>
      <w:divBdr>
        <w:top w:val="none" w:sz="0" w:space="0" w:color="auto"/>
        <w:left w:val="none" w:sz="0" w:space="0" w:color="auto"/>
        <w:bottom w:val="none" w:sz="0" w:space="0" w:color="auto"/>
        <w:right w:val="none" w:sz="0" w:space="0" w:color="auto"/>
      </w:divBdr>
    </w:div>
    <w:div w:id="1409156774">
      <w:bodyDiv w:val="1"/>
      <w:marLeft w:val="0"/>
      <w:marRight w:val="0"/>
      <w:marTop w:val="0"/>
      <w:marBottom w:val="0"/>
      <w:divBdr>
        <w:top w:val="none" w:sz="0" w:space="0" w:color="auto"/>
        <w:left w:val="none" w:sz="0" w:space="0" w:color="auto"/>
        <w:bottom w:val="none" w:sz="0" w:space="0" w:color="auto"/>
        <w:right w:val="none" w:sz="0" w:space="0" w:color="auto"/>
      </w:divBdr>
    </w:div>
    <w:div w:id="1663508618">
      <w:bodyDiv w:val="1"/>
      <w:marLeft w:val="0"/>
      <w:marRight w:val="0"/>
      <w:marTop w:val="0"/>
      <w:marBottom w:val="0"/>
      <w:divBdr>
        <w:top w:val="none" w:sz="0" w:space="0" w:color="auto"/>
        <w:left w:val="none" w:sz="0" w:space="0" w:color="auto"/>
        <w:bottom w:val="none" w:sz="0" w:space="0" w:color="auto"/>
        <w:right w:val="none" w:sz="0" w:space="0" w:color="auto"/>
      </w:divBdr>
    </w:div>
    <w:div w:id="1909421393">
      <w:bodyDiv w:val="1"/>
      <w:marLeft w:val="0"/>
      <w:marRight w:val="0"/>
      <w:marTop w:val="0"/>
      <w:marBottom w:val="0"/>
      <w:divBdr>
        <w:top w:val="none" w:sz="0" w:space="0" w:color="auto"/>
        <w:left w:val="none" w:sz="0" w:space="0" w:color="auto"/>
        <w:bottom w:val="none" w:sz="0" w:space="0" w:color="auto"/>
        <w:right w:val="none" w:sz="0" w:space="0" w:color="auto"/>
      </w:divBdr>
    </w:div>
    <w:div w:id="20661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9b73270-2993-4076-be47-9c78f42a1e8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15</Pages>
  <Words>1964</Words>
  <Characters>11388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Memorandum</vt:lpstr>
    </vt:vector>
  </TitlesOfParts>
  <Company>DEQ</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State  Of Oregon</dc:creator>
  <cp:lastModifiedBy>ORR Jim * DEQ</cp:lastModifiedBy>
  <cp:revision>2</cp:revision>
  <cp:lastPrinted>2004-02-17T15:17:00Z</cp:lastPrinted>
  <dcterms:created xsi:type="dcterms:W3CDTF">2025-05-01T23:20:00Z</dcterms:created>
  <dcterms:modified xsi:type="dcterms:W3CDTF">2025-05-01T23:20:00Z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2025-02-14T19:55:51Z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4f118bb0-bb24-44a1-8a66-00e305a7681e</vt:lpwstr>
  </property>
  <property fmtid="{D5CDD505-2E9C-101B-9397-08002B2CF9AE}" pid="8" name="MSIP_Label_09b73270-2993-4076-be47-9c78f42a1e84_ContentBits">
    <vt:lpwstr>0</vt:lpwstr>
  </property>
</Properties>
</file>