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C3C" w14:textId="767D8032" w:rsidR="0028188C" w:rsidRPr="005D2040" w:rsidRDefault="00815688" w:rsidP="00517353">
      <w:pPr>
        <w:rPr>
          <w:rFonts w:ascii="Times New Roman" w:hAnsi="Times New Roman" w:cs="Times New Roman"/>
          <w:b/>
          <w:bCs/>
          <w:u w:val="single"/>
        </w:rPr>
      </w:pPr>
      <w:r w:rsidRPr="005D2040">
        <w:rPr>
          <w:rFonts w:ascii="Times New Roman" w:hAnsi="Times New Roman" w:cs="Times New Roman"/>
          <w:b/>
          <w:bCs/>
          <w:u w:val="single"/>
        </w:rPr>
        <w:t>Site Summary for Cheven Asphalt a</w:t>
      </w:r>
      <w:r w:rsidR="00D60160" w:rsidRPr="005D2040">
        <w:rPr>
          <w:rFonts w:ascii="Times New Roman" w:hAnsi="Times New Roman" w:cs="Times New Roman"/>
          <w:b/>
          <w:bCs/>
          <w:u w:val="single"/>
        </w:rPr>
        <w:t>lso known as</w:t>
      </w:r>
      <w:r w:rsidRPr="005D2040">
        <w:rPr>
          <w:rFonts w:ascii="Times New Roman" w:hAnsi="Times New Roman" w:cs="Times New Roman"/>
          <w:b/>
          <w:bCs/>
          <w:u w:val="single"/>
        </w:rPr>
        <w:t xml:space="preserve"> </w:t>
      </w:r>
      <w:r w:rsidR="00011BBD" w:rsidRPr="005D2040">
        <w:rPr>
          <w:rFonts w:ascii="Times New Roman" w:hAnsi="Times New Roman" w:cs="Times New Roman"/>
          <w:b/>
          <w:bCs/>
          <w:u w:val="single"/>
        </w:rPr>
        <w:t>Paramount</w:t>
      </w:r>
      <w:r w:rsidRPr="005D2040">
        <w:rPr>
          <w:rFonts w:ascii="Times New Roman" w:hAnsi="Times New Roman" w:cs="Times New Roman"/>
          <w:b/>
          <w:bCs/>
          <w:u w:val="single"/>
        </w:rPr>
        <w:t xml:space="preserve"> Petroleum</w:t>
      </w:r>
      <w:r w:rsidR="00011BBD" w:rsidRPr="005D2040">
        <w:rPr>
          <w:rFonts w:ascii="Times New Roman" w:hAnsi="Times New Roman" w:cs="Times New Roman"/>
          <w:b/>
          <w:bCs/>
          <w:u w:val="single"/>
        </w:rPr>
        <w:t xml:space="preserve"> and Zenith</w:t>
      </w:r>
      <w:r w:rsidR="00D868E2" w:rsidRPr="005D2040">
        <w:rPr>
          <w:rFonts w:ascii="Times New Roman" w:hAnsi="Times New Roman" w:cs="Times New Roman"/>
          <w:b/>
          <w:bCs/>
          <w:u w:val="single"/>
        </w:rPr>
        <w:t xml:space="preserve"> (Site)</w:t>
      </w:r>
    </w:p>
    <w:p w14:paraId="4782FBBB" w14:textId="2219F442" w:rsidR="00011BBD" w:rsidRPr="005D2040" w:rsidRDefault="00011BBD" w:rsidP="00517353">
      <w:pPr>
        <w:rPr>
          <w:rFonts w:ascii="Times New Roman" w:hAnsi="Times New Roman" w:cs="Times New Roman"/>
          <w:b/>
          <w:bCs/>
          <w:u w:val="single"/>
        </w:rPr>
      </w:pPr>
      <w:r w:rsidRPr="005D2040">
        <w:rPr>
          <w:rFonts w:ascii="Times New Roman" w:hAnsi="Times New Roman" w:cs="Times New Roman"/>
          <w:b/>
          <w:bCs/>
          <w:u w:val="single"/>
        </w:rPr>
        <w:t>ECSI 1281</w:t>
      </w:r>
    </w:p>
    <w:p w14:paraId="4AABA702" w14:textId="2863C2E5" w:rsidR="00011BBD" w:rsidRPr="005D2040" w:rsidRDefault="00EB018C" w:rsidP="00517353">
      <w:pPr>
        <w:rPr>
          <w:rFonts w:ascii="Times New Roman" w:hAnsi="Times New Roman" w:cs="Times New Roman"/>
          <w:b/>
          <w:bCs/>
          <w:u w:val="single"/>
        </w:rPr>
      </w:pPr>
      <w:r w:rsidRPr="005D2040">
        <w:rPr>
          <w:rFonts w:ascii="Times New Roman" w:hAnsi="Times New Roman" w:cs="Times New Roman"/>
          <w:b/>
          <w:bCs/>
          <w:u w:val="single"/>
        </w:rPr>
        <w:t>Jim Orr, Cleanup Project Manager</w:t>
      </w:r>
    </w:p>
    <w:p w14:paraId="56006076" w14:textId="77777777" w:rsidR="00011BBD" w:rsidRDefault="00011BBD" w:rsidP="00517353">
      <w:pPr>
        <w:rPr>
          <w:rFonts w:ascii="Times New Roman" w:hAnsi="Times New Roman" w:cs="Times New Roman"/>
        </w:rPr>
      </w:pPr>
    </w:p>
    <w:p w14:paraId="5AAA1CAF" w14:textId="456C15A5" w:rsidR="00D94F79" w:rsidRPr="00943DB8" w:rsidRDefault="00D94F79" w:rsidP="00517353">
      <w:pPr>
        <w:rPr>
          <w:rFonts w:ascii="Times New Roman" w:hAnsi="Times New Roman" w:cs="Times New Roman"/>
        </w:rPr>
      </w:pPr>
      <w:r w:rsidRPr="00943DB8">
        <w:rPr>
          <w:rFonts w:ascii="Times New Roman" w:hAnsi="Times New Roman" w:cs="Times New Roman"/>
        </w:rPr>
        <w:t>Site Location</w:t>
      </w:r>
      <w:r w:rsidR="00DD5715" w:rsidRPr="00943DB8">
        <w:rPr>
          <w:rFonts w:ascii="Times New Roman" w:hAnsi="Times New Roman" w:cs="Times New Roman"/>
        </w:rPr>
        <w:t xml:space="preserve"> and </w:t>
      </w:r>
      <w:r w:rsidR="00DC05D2" w:rsidRPr="00943DB8">
        <w:rPr>
          <w:rFonts w:ascii="Times New Roman" w:hAnsi="Times New Roman" w:cs="Times New Roman"/>
        </w:rPr>
        <w:t>Description</w:t>
      </w:r>
      <w:r w:rsidRPr="00943DB8">
        <w:rPr>
          <w:rFonts w:ascii="Times New Roman" w:hAnsi="Times New Roman" w:cs="Times New Roman"/>
        </w:rPr>
        <w:t>:</w:t>
      </w:r>
    </w:p>
    <w:p w14:paraId="5FE1CF71" w14:textId="30EA6BA7" w:rsidR="00394A3F" w:rsidRPr="00394A3F" w:rsidRDefault="00CA4096" w:rsidP="00FF5635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35" w:line="254" w:lineRule="auto"/>
        <w:ind w:right="99" w:hanging="357"/>
        <w:rPr>
          <w:rFonts w:ascii="Times New Roman" w:hAnsi="Times New Roman" w:cs="Times New Roman"/>
          <w:color w:val="1C1C1D"/>
          <w:w w:val="105"/>
        </w:rPr>
      </w:pPr>
      <w:r w:rsidRPr="00943DB8">
        <w:rPr>
          <w:rFonts w:ascii="Times New Roman" w:hAnsi="Times New Roman" w:cs="Times New Roman"/>
          <w:color w:val="1C1C1D"/>
          <w:w w:val="105"/>
        </w:rPr>
        <w:t>The Site was c</w:t>
      </w:r>
      <w:r w:rsidR="00394A3F" w:rsidRPr="00394A3F">
        <w:rPr>
          <w:rFonts w:ascii="Times New Roman" w:hAnsi="Times New Roman" w:cs="Times New Roman"/>
          <w:color w:val="1C1C1D"/>
          <w:w w:val="105"/>
        </w:rPr>
        <w:t>onstructed in 1947</w:t>
      </w:r>
      <w:r w:rsidR="000A5FB6" w:rsidRPr="00943DB8">
        <w:rPr>
          <w:rFonts w:ascii="Times New Roman" w:hAnsi="Times New Roman" w:cs="Times New Roman"/>
          <w:color w:val="1C1C1D"/>
          <w:w w:val="105"/>
        </w:rPr>
        <w:t>,</w:t>
      </w:r>
      <w:r w:rsidRPr="00943DB8">
        <w:rPr>
          <w:rFonts w:ascii="Times New Roman" w:hAnsi="Times New Roman" w:cs="Times New Roman"/>
          <w:color w:val="1C1C1D"/>
          <w:w w:val="105"/>
        </w:rPr>
        <w:t xml:space="preserve"> and </w:t>
      </w:r>
      <w:r w:rsidR="00394A3F" w:rsidRPr="00394A3F">
        <w:rPr>
          <w:rFonts w:ascii="Times New Roman" w:hAnsi="Times New Roman" w:cs="Times New Roman"/>
          <w:color w:val="1C1C1D"/>
          <w:w w:val="105"/>
        </w:rPr>
        <w:t xml:space="preserve">the facility has operated </w:t>
      </w:r>
      <w:r w:rsidR="00B02488">
        <w:rPr>
          <w:rFonts w:ascii="Times New Roman" w:hAnsi="Times New Roman" w:cs="Times New Roman"/>
          <w:color w:val="1C1C1D"/>
          <w:w w:val="105"/>
        </w:rPr>
        <w:t>formerly</w:t>
      </w:r>
      <w:r w:rsidR="00D868E2">
        <w:rPr>
          <w:rFonts w:ascii="Times New Roman" w:hAnsi="Times New Roman" w:cs="Times New Roman"/>
          <w:color w:val="1C1C1D"/>
          <w:w w:val="105"/>
        </w:rPr>
        <w:t xml:space="preserve"> </w:t>
      </w:r>
      <w:r w:rsidR="00394A3F" w:rsidRPr="00394A3F">
        <w:rPr>
          <w:rFonts w:ascii="Times New Roman" w:hAnsi="Times New Roman" w:cs="Times New Roman"/>
          <w:color w:val="1C1C1D"/>
          <w:w w:val="105"/>
        </w:rPr>
        <w:t>as</w:t>
      </w:r>
    </w:p>
    <w:p w14:paraId="512DDBB9" w14:textId="24FCA4B2" w:rsidR="00394A3F" w:rsidRPr="00394A3F" w:rsidRDefault="00394A3F" w:rsidP="00B02488">
      <w:pPr>
        <w:kinsoku w:val="0"/>
        <w:overflowPunct w:val="0"/>
        <w:autoSpaceDE w:val="0"/>
        <w:autoSpaceDN w:val="0"/>
        <w:adjustRightInd w:val="0"/>
        <w:spacing w:line="256" w:lineRule="exact"/>
        <w:ind w:left="838"/>
        <w:rPr>
          <w:rFonts w:ascii="Times New Roman" w:hAnsi="Times New Roman" w:cs="Times New Roman"/>
          <w:color w:val="1C1C1D"/>
          <w:spacing w:val="-2"/>
          <w:w w:val="105"/>
        </w:rPr>
      </w:pPr>
      <w:r w:rsidRPr="00394A3F">
        <w:rPr>
          <w:rFonts w:ascii="Times New Roman" w:hAnsi="Times New Roman" w:cs="Times New Roman"/>
          <w:color w:val="1C1C1D"/>
          <w:w w:val="105"/>
        </w:rPr>
        <w:t xml:space="preserve">a petroleum refinery and </w:t>
      </w:r>
      <w:r w:rsidR="00B02488">
        <w:rPr>
          <w:rFonts w:ascii="Times New Roman" w:hAnsi="Times New Roman" w:cs="Times New Roman"/>
          <w:color w:val="1C1C1D"/>
          <w:w w:val="105"/>
        </w:rPr>
        <w:t>now</w:t>
      </w:r>
      <w:r w:rsidR="00D868E2">
        <w:rPr>
          <w:rFonts w:ascii="Times New Roman" w:hAnsi="Times New Roman" w:cs="Times New Roman"/>
          <w:color w:val="1C1C1D"/>
          <w:w w:val="105"/>
        </w:rPr>
        <w:t xml:space="preserve"> as a </w:t>
      </w:r>
      <w:r w:rsidRPr="00394A3F">
        <w:rPr>
          <w:rFonts w:ascii="Times New Roman" w:hAnsi="Times New Roman" w:cs="Times New Roman"/>
          <w:color w:val="1C1C1D"/>
          <w:w w:val="105"/>
        </w:rPr>
        <w:t>bulk storage</w:t>
      </w:r>
      <w:r w:rsidRPr="00943DB8">
        <w:rPr>
          <w:rFonts w:ascii="Times New Roman" w:hAnsi="Times New Roman" w:cs="Times New Roman"/>
          <w:color w:val="1C1C1D"/>
          <w:w w:val="105"/>
        </w:rPr>
        <w:t xml:space="preserve"> </w:t>
      </w:r>
      <w:r w:rsidRPr="00394A3F">
        <w:rPr>
          <w:rFonts w:ascii="Times New Roman" w:hAnsi="Times New Roman" w:cs="Times New Roman"/>
          <w:color w:val="1C1C1D"/>
          <w:spacing w:val="-2"/>
          <w:w w:val="105"/>
        </w:rPr>
        <w:t>facility</w:t>
      </w:r>
      <w:r w:rsidR="00CA4096" w:rsidRPr="00943DB8">
        <w:rPr>
          <w:rFonts w:ascii="Times New Roman" w:hAnsi="Times New Roman" w:cs="Times New Roman"/>
          <w:color w:val="1C1C1D"/>
          <w:spacing w:val="-2"/>
          <w:w w:val="105"/>
        </w:rPr>
        <w:t>.</w:t>
      </w:r>
      <w:r w:rsidR="005B2E82" w:rsidRPr="00943DB8">
        <w:rPr>
          <w:rFonts w:ascii="Times New Roman" w:hAnsi="Times New Roman" w:cs="Times New Roman"/>
          <w:color w:val="1C1C1D"/>
          <w:spacing w:val="-2"/>
          <w:w w:val="105"/>
        </w:rPr>
        <w:t xml:space="preserve"> </w:t>
      </w:r>
      <w:r w:rsidR="00CE01FB" w:rsidRPr="00943DB8">
        <w:rPr>
          <w:rFonts w:ascii="Times New Roman" w:hAnsi="Times New Roman" w:cs="Times New Roman"/>
          <w:color w:val="1C1C1D"/>
          <w:spacing w:val="-2"/>
          <w:w w:val="105"/>
        </w:rPr>
        <w:t xml:space="preserve">See </w:t>
      </w:r>
      <w:r w:rsidR="00DD2A60">
        <w:rPr>
          <w:rFonts w:ascii="Times New Roman" w:hAnsi="Times New Roman" w:cs="Times New Roman"/>
          <w:color w:val="1C1C1D"/>
          <w:spacing w:val="-2"/>
          <w:w w:val="105"/>
        </w:rPr>
        <w:t xml:space="preserve">the </w:t>
      </w:r>
      <w:r w:rsidR="00CE01FB" w:rsidRPr="00943DB8">
        <w:rPr>
          <w:rFonts w:ascii="Times New Roman" w:hAnsi="Times New Roman" w:cs="Times New Roman"/>
          <w:color w:val="1C1C1D"/>
          <w:spacing w:val="-2"/>
          <w:w w:val="105"/>
        </w:rPr>
        <w:t xml:space="preserve">attached </w:t>
      </w:r>
      <w:r w:rsidR="001C56D0">
        <w:rPr>
          <w:rFonts w:ascii="Times New Roman" w:hAnsi="Times New Roman" w:cs="Times New Roman"/>
          <w:color w:val="1C1C1D"/>
          <w:spacing w:val="-2"/>
          <w:w w:val="105"/>
        </w:rPr>
        <w:t>F</w:t>
      </w:r>
      <w:r w:rsidR="00CE01FB" w:rsidRPr="00943DB8">
        <w:rPr>
          <w:rFonts w:ascii="Times New Roman" w:hAnsi="Times New Roman" w:cs="Times New Roman"/>
          <w:color w:val="1C1C1D"/>
          <w:spacing w:val="-2"/>
          <w:w w:val="105"/>
        </w:rPr>
        <w:t>igures</w:t>
      </w:r>
      <w:r w:rsidR="00736F1C">
        <w:rPr>
          <w:rFonts w:ascii="Times New Roman" w:hAnsi="Times New Roman" w:cs="Times New Roman"/>
          <w:color w:val="1C1C1D"/>
          <w:spacing w:val="-2"/>
          <w:w w:val="105"/>
        </w:rPr>
        <w:t xml:space="preserve"> 1, 2, 3</w:t>
      </w:r>
      <w:r w:rsidR="00906BE2">
        <w:rPr>
          <w:rFonts w:ascii="Times New Roman" w:hAnsi="Times New Roman" w:cs="Times New Roman"/>
          <w:color w:val="1C1C1D"/>
          <w:spacing w:val="-2"/>
          <w:w w:val="105"/>
        </w:rPr>
        <w:t xml:space="preserve">, and </w:t>
      </w:r>
      <w:r w:rsidR="00716510">
        <w:rPr>
          <w:rFonts w:ascii="Times New Roman" w:hAnsi="Times New Roman" w:cs="Times New Roman"/>
          <w:color w:val="1C1C1D"/>
          <w:spacing w:val="-2"/>
          <w:w w:val="105"/>
        </w:rPr>
        <w:t xml:space="preserve">Apex Figure 2 with Naphtha area </w:t>
      </w:r>
      <w:r w:rsidR="008F094D">
        <w:rPr>
          <w:rFonts w:ascii="Times New Roman" w:hAnsi="Times New Roman" w:cs="Times New Roman"/>
          <w:color w:val="1C1C1D"/>
          <w:spacing w:val="-2"/>
          <w:w w:val="105"/>
        </w:rPr>
        <w:t>monitoring wells</w:t>
      </w:r>
      <w:r w:rsidR="00CE01FB" w:rsidRPr="00943DB8">
        <w:rPr>
          <w:rFonts w:ascii="Times New Roman" w:hAnsi="Times New Roman" w:cs="Times New Roman"/>
          <w:color w:val="1C1C1D"/>
          <w:spacing w:val="-2"/>
          <w:w w:val="105"/>
        </w:rPr>
        <w:t>.</w:t>
      </w:r>
    </w:p>
    <w:p w14:paraId="20B052DC" w14:textId="7D1B22A4" w:rsidR="00394A3F" w:rsidRPr="00394A3F" w:rsidRDefault="00394A3F" w:rsidP="00394A3F">
      <w:pPr>
        <w:numPr>
          <w:ilvl w:val="0"/>
          <w:numId w:val="1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before="26" w:line="254" w:lineRule="auto"/>
        <w:ind w:left="841" w:right="115" w:hanging="365"/>
        <w:rPr>
          <w:rFonts w:ascii="Times New Roman" w:hAnsi="Times New Roman" w:cs="Times New Roman"/>
          <w:color w:val="1C1C1D"/>
          <w:w w:val="105"/>
        </w:rPr>
      </w:pPr>
      <w:r w:rsidRPr="00394A3F">
        <w:rPr>
          <w:rFonts w:ascii="Times New Roman" w:hAnsi="Times New Roman" w:cs="Times New Roman"/>
          <w:color w:val="1C1C1D"/>
          <w:w w:val="105"/>
        </w:rPr>
        <w:t>The</w:t>
      </w:r>
      <w:r w:rsidRPr="00394A3F">
        <w:rPr>
          <w:rFonts w:ascii="Times New Roman" w:hAnsi="Times New Roman" w:cs="Times New Roman"/>
          <w:color w:val="1C1C1D"/>
          <w:spacing w:val="-6"/>
          <w:w w:val="105"/>
        </w:rPr>
        <w:t xml:space="preserve"> </w:t>
      </w:r>
      <w:r w:rsidRPr="00394A3F">
        <w:rPr>
          <w:rFonts w:ascii="Times New Roman" w:hAnsi="Times New Roman" w:cs="Times New Roman"/>
          <w:color w:val="1C1C1D"/>
          <w:w w:val="105"/>
        </w:rPr>
        <w:t>site</w:t>
      </w:r>
      <w:r w:rsidRPr="00394A3F">
        <w:rPr>
          <w:rFonts w:ascii="Times New Roman" w:hAnsi="Times New Roman" w:cs="Times New Roman"/>
          <w:color w:val="1C1C1D"/>
          <w:spacing w:val="-7"/>
          <w:w w:val="105"/>
        </w:rPr>
        <w:t xml:space="preserve"> </w:t>
      </w:r>
      <w:r w:rsidRPr="00394A3F">
        <w:rPr>
          <w:rFonts w:ascii="Times New Roman" w:hAnsi="Times New Roman" w:cs="Times New Roman"/>
          <w:color w:val="1C1C1D"/>
          <w:w w:val="105"/>
        </w:rPr>
        <w:t>is</w:t>
      </w:r>
      <w:r w:rsidRPr="00394A3F">
        <w:rPr>
          <w:rFonts w:ascii="Times New Roman" w:hAnsi="Times New Roman" w:cs="Times New Roman"/>
          <w:color w:val="1C1C1D"/>
          <w:spacing w:val="-6"/>
          <w:w w:val="105"/>
        </w:rPr>
        <w:t xml:space="preserve"> </w:t>
      </w:r>
      <w:r w:rsidRPr="00394A3F">
        <w:rPr>
          <w:rFonts w:ascii="Times New Roman" w:hAnsi="Times New Roman" w:cs="Times New Roman"/>
          <w:color w:val="1C1C1D"/>
          <w:w w:val="105"/>
        </w:rPr>
        <w:t>600</w:t>
      </w:r>
      <w:r w:rsidRPr="00394A3F">
        <w:rPr>
          <w:rFonts w:ascii="Times New Roman" w:hAnsi="Times New Roman" w:cs="Times New Roman"/>
          <w:color w:val="1C1C1D"/>
          <w:spacing w:val="-5"/>
          <w:w w:val="105"/>
        </w:rPr>
        <w:t xml:space="preserve"> </w:t>
      </w:r>
      <w:r w:rsidRPr="00394A3F">
        <w:rPr>
          <w:rFonts w:ascii="Times New Roman" w:hAnsi="Times New Roman" w:cs="Times New Roman"/>
          <w:color w:val="1C1C1D"/>
          <w:w w:val="105"/>
        </w:rPr>
        <w:t>ft</w:t>
      </w:r>
      <w:r w:rsidRPr="00394A3F">
        <w:rPr>
          <w:rFonts w:ascii="Times New Roman" w:hAnsi="Times New Roman" w:cs="Times New Roman"/>
          <w:color w:val="1C1C1D"/>
          <w:spacing w:val="-2"/>
          <w:w w:val="105"/>
        </w:rPr>
        <w:t xml:space="preserve"> </w:t>
      </w:r>
      <w:r w:rsidRPr="00394A3F">
        <w:rPr>
          <w:rFonts w:ascii="Times New Roman" w:hAnsi="Times New Roman" w:cs="Times New Roman"/>
          <w:color w:val="1C1C1D"/>
          <w:w w:val="105"/>
        </w:rPr>
        <w:t>away from the Willamette River</w:t>
      </w:r>
      <w:r w:rsidR="00714E44" w:rsidRPr="00943DB8">
        <w:rPr>
          <w:rFonts w:ascii="Times New Roman" w:hAnsi="Times New Roman" w:cs="Times New Roman"/>
          <w:color w:val="1C1C1D"/>
          <w:w w:val="105"/>
        </w:rPr>
        <w:t>,</w:t>
      </w:r>
      <w:r w:rsidRPr="00394A3F">
        <w:rPr>
          <w:rFonts w:ascii="Times New Roman" w:hAnsi="Times New Roman" w:cs="Times New Roman"/>
          <w:color w:val="1C1C1D"/>
          <w:spacing w:val="-2"/>
          <w:w w:val="105"/>
        </w:rPr>
        <w:t xml:space="preserve"> </w:t>
      </w:r>
      <w:r w:rsidRPr="00394A3F">
        <w:rPr>
          <w:rFonts w:ascii="Times New Roman" w:hAnsi="Times New Roman" w:cs="Times New Roman"/>
          <w:color w:val="1C1C1D"/>
          <w:w w:val="105"/>
        </w:rPr>
        <w:t>and groundwater discharges within the</w:t>
      </w:r>
      <w:r w:rsidRPr="00394A3F">
        <w:rPr>
          <w:rFonts w:ascii="Times New Roman" w:hAnsi="Times New Roman" w:cs="Times New Roman"/>
          <w:color w:val="1C1C1D"/>
          <w:spacing w:val="-2"/>
          <w:w w:val="105"/>
        </w:rPr>
        <w:t xml:space="preserve"> </w:t>
      </w:r>
      <w:r w:rsidRPr="00394A3F">
        <w:rPr>
          <w:rFonts w:ascii="Times New Roman" w:hAnsi="Times New Roman" w:cs="Times New Roman"/>
          <w:color w:val="1C1C1D"/>
          <w:w w:val="105"/>
        </w:rPr>
        <w:t>boundaries</w:t>
      </w:r>
      <w:r w:rsidRPr="00394A3F">
        <w:rPr>
          <w:rFonts w:ascii="Times New Roman" w:hAnsi="Times New Roman" w:cs="Times New Roman"/>
          <w:color w:val="1C1C1D"/>
          <w:spacing w:val="-1"/>
          <w:w w:val="105"/>
        </w:rPr>
        <w:t xml:space="preserve"> </w:t>
      </w:r>
      <w:r w:rsidRPr="00394A3F">
        <w:rPr>
          <w:rFonts w:ascii="Times New Roman" w:hAnsi="Times New Roman" w:cs="Times New Roman"/>
          <w:color w:val="1C1C1D"/>
          <w:w w:val="105"/>
        </w:rPr>
        <w:t>of</w:t>
      </w:r>
      <w:r w:rsidRPr="00394A3F">
        <w:rPr>
          <w:rFonts w:ascii="Times New Roman" w:hAnsi="Times New Roman" w:cs="Times New Roman"/>
          <w:color w:val="1C1C1D"/>
          <w:spacing w:val="-6"/>
          <w:w w:val="105"/>
        </w:rPr>
        <w:t xml:space="preserve"> </w:t>
      </w:r>
      <w:r w:rsidRPr="00394A3F">
        <w:rPr>
          <w:rFonts w:ascii="Times New Roman" w:hAnsi="Times New Roman" w:cs="Times New Roman"/>
          <w:color w:val="1C1C1D"/>
          <w:w w:val="105"/>
        </w:rPr>
        <w:t>the</w:t>
      </w:r>
      <w:r w:rsidRPr="00394A3F">
        <w:rPr>
          <w:rFonts w:ascii="Times New Roman" w:hAnsi="Times New Roman" w:cs="Times New Roman"/>
          <w:color w:val="1C1C1D"/>
          <w:spacing w:val="-5"/>
          <w:w w:val="105"/>
        </w:rPr>
        <w:t xml:space="preserve"> </w:t>
      </w:r>
      <w:r w:rsidRPr="00394A3F">
        <w:rPr>
          <w:rFonts w:ascii="Times New Roman" w:hAnsi="Times New Roman" w:cs="Times New Roman"/>
          <w:color w:val="1C1C1D"/>
          <w:w w:val="105"/>
        </w:rPr>
        <w:t xml:space="preserve">Portland Harbor Superfund </w:t>
      </w:r>
      <w:r w:rsidR="00707328">
        <w:rPr>
          <w:rFonts w:ascii="Times New Roman" w:hAnsi="Times New Roman" w:cs="Times New Roman"/>
          <w:color w:val="1C1C1D"/>
          <w:w w:val="105"/>
        </w:rPr>
        <w:t>S</w:t>
      </w:r>
      <w:r w:rsidRPr="00394A3F">
        <w:rPr>
          <w:rFonts w:ascii="Times New Roman" w:hAnsi="Times New Roman" w:cs="Times New Roman"/>
          <w:color w:val="1C1C1D"/>
          <w:w w:val="105"/>
        </w:rPr>
        <w:t>ite.</w:t>
      </w:r>
    </w:p>
    <w:p w14:paraId="276779BF" w14:textId="77777777" w:rsidR="00394A3F" w:rsidRPr="00394A3F" w:rsidRDefault="00394A3F" w:rsidP="00394A3F">
      <w:pPr>
        <w:kinsoku w:val="0"/>
        <w:overflowPunct w:val="0"/>
        <w:autoSpaceDE w:val="0"/>
        <w:autoSpaceDN w:val="0"/>
        <w:adjustRightInd w:val="0"/>
        <w:spacing w:before="16"/>
        <w:rPr>
          <w:rFonts w:ascii="Times New Roman" w:hAnsi="Times New Roman" w:cs="Times New Roman"/>
        </w:rPr>
      </w:pPr>
    </w:p>
    <w:p w14:paraId="12B33D07" w14:textId="3E8BFB7A" w:rsidR="00EB018C" w:rsidRDefault="0097589A" w:rsidP="00517353">
      <w:pPr>
        <w:rPr>
          <w:rFonts w:ascii="Times New Roman" w:hAnsi="Times New Roman" w:cs="Times New Roman"/>
        </w:rPr>
      </w:pPr>
      <w:r w:rsidRPr="00943DB8">
        <w:rPr>
          <w:rFonts w:ascii="Times New Roman" w:hAnsi="Times New Roman" w:cs="Times New Roman"/>
        </w:rPr>
        <w:t>Site History</w:t>
      </w:r>
      <w:r w:rsidR="00A2154F" w:rsidRPr="00943DB8">
        <w:rPr>
          <w:rFonts w:ascii="Times New Roman" w:hAnsi="Times New Roman" w:cs="Times New Roman"/>
        </w:rPr>
        <w:t>:</w:t>
      </w:r>
    </w:p>
    <w:p w14:paraId="774097D4" w14:textId="77777777" w:rsidR="00CA35E1" w:rsidRDefault="00CA35E1" w:rsidP="00517353">
      <w:pPr>
        <w:rPr>
          <w:rFonts w:ascii="Times New Roman" w:hAnsi="Times New Roman" w:cs="Times New Roman"/>
        </w:rPr>
      </w:pPr>
    </w:p>
    <w:p w14:paraId="027CF183" w14:textId="5CE60EDE" w:rsidR="00CA35E1" w:rsidRPr="003C3518" w:rsidRDefault="00CA35E1" w:rsidP="00CA35E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C3518">
        <w:rPr>
          <w:rFonts w:ascii="Times New Roman" w:hAnsi="Times New Roman" w:cs="Times New Roman"/>
          <w:color w:val="000000"/>
        </w:rPr>
        <w:t xml:space="preserve">The following is a summary of the </w:t>
      </w:r>
      <w:r w:rsidR="006A0413">
        <w:rPr>
          <w:rFonts w:ascii="Times New Roman" w:hAnsi="Times New Roman" w:cs="Times New Roman"/>
          <w:color w:val="000000"/>
        </w:rPr>
        <w:t>site's regulatory history</w:t>
      </w:r>
      <w:r w:rsidR="005C74CB" w:rsidRPr="003C3518">
        <w:rPr>
          <w:rFonts w:ascii="Times New Roman" w:hAnsi="Times New Roman" w:cs="Times New Roman"/>
          <w:color w:val="000000"/>
        </w:rPr>
        <w:t>.</w:t>
      </w:r>
    </w:p>
    <w:p w14:paraId="0E49D209" w14:textId="68959DFA" w:rsidR="00CA35E1" w:rsidRPr="003C3518" w:rsidRDefault="00CA35E1" w:rsidP="007424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C3518">
        <w:rPr>
          <w:rFonts w:ascii="Times New Roman" w:hAnsi="Times New Roman" w:cs="Times New Roman"/>
          <w:color w:val="000000"/>
          <w:sz w:val="24"/>
          <w:szCs w:val="24"/>
        </w:rPr>
        <w:t>1983/1984. The EPA conducted a preliminary assessment and issued a No Further Remedial Action</w:t>
      </w:r>
      <w:r w:rsidR="00C32D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E65AD7" w14:textId="2B474A17" w:rsidR="00CA35E1" w:rsidRPr="00B421E4" w:rsidRDefault="00CA35E1" w:rsidP="00C706F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421E4">
        <w:rPr>
          <w:rFonts w:ascii="Times New Roman" w:hAnsi="Times New Roman" w:cs="Times New Roman"/>
          <w:color w:val="000000"/>
          <w:sz w:val="24"/>
          <w:szCs w:val="24"/>
        </w:rPr>
        <w:t xml:space="preserve">1994. Chevron </w:t>
      </w:r>
      <w:r w:rsidR="005F6845" w:rsidRPr="00B421E4">
        <w:rPr>
          <w:rFonts w:ascii="Times New Roman" w:hAnsi="Times New Roman" w:cs="Times New Roman"/>
          <w:color w:val="000000"/>
          <w:sz w:val="24"/>
          <w:szCs w:val="24"/>
        </w:rPr>
        <w:t>agreed</w:t>
      </w:r>
      <w:r w:rsidRPr="00B421E4">
        <w:rPr>
          <w:rFonts w:ascii="Times New Roman" w:hAnsi="Times New Roman" w:cs="Times New Roman"/>
          <w:color w:val="000000"/>
          <w:sz w:val="24"/>
          <w:szCs w:val="24"/>
        </w:rPr>
        <w:t xml:space="preserve"> with DEQ </w:t>
      </w:r>
      <w:r w:rsidR="005F6845" w:rsidRPr="00B421E4">
        <w:rPr>
          <w:rFonts w:ascii="Times New Roman" w:hAnsi="Times New Roman" w:cs="Times New Roman"/>
          <w:color w:val="000000"/>
          <w:sz w:val="24"/>
          <w:szCs w:val="24"/>
        </w:rPr>
        <w:t>to enroll</w:t>
      </w:r>
      <w:r w:rsidRPr="00B421E4">
        <w:rPr>
          <w:rFonts w:ascii="Times New Roman" w:hAnsi="Times New Roman" w:cs="Times New Roman"/>
          <w:color w:val="000000"/>
          <w:sz w:val="24"/>
          <w:szCs w:val="24"/>
        </w:rPr>
        <w:t xml:space="preserve"> in the Voluntary Cleanup Program</w:t>
      </w:r>
      <w:r w:rsidR="00495E43" w:rsidRPr="00B421E4">
        <w:rPr>
          <w:rFonts w:ascii="Times New Roman" w:hAnsi="Times New Roman" w:cs="Times New Roman"/>
          <w:color w:val="000000"/>
          <w:sz w:val="24"/>
          <w:szCs w:val="24"/>
        </w:rPr>
        <w:t xml:space="preserve"> (VCP)</w:t>
      </w:r>
      <w:r w:rsidR="00B421E4" w:rsidRPr="00B421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21E4">
        <w:rPr>
          <w:rFonts w:ascii="Times New Roman" w:hAnsi="Times New Roman" w:cs="Times New Roman"/>
          <w:color w:val="000000"/>
          <w:sz w:val="24"/>
          <w:szCs w:val="24"/>
        </w:rPr>
        <w:t>to investigate and remedy</w:t>
      </w:r>
      <w:r w:rsidRPr="00B421E4">
        <w:rPr>
          <w:rFonts w:ascii="Times New Roman" w:hAnsi="Times New Roman" w:cs="Times New Roman"/>
          <w:color w:val="000000"/>
          <w:sz w:val="24"/>
          <w:szCs w:val="24"/>
        </w:rPr>
        <w:t xml:space="preserve"> impacts resulting from releases at the Terminal.</w:t>
      </w:r>
    </w:p>
    <w:p w14:paraId="1B37A90C" w14:textId="65D50B76" w:rsidR="00CA35E1" w:rsidRPr="003C3518" w:rsidRDefault="00CA35E1" w:rsidP="007424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C3518">
        <w:rPr>
          <w:rFonts w:ascii="Times New Roman" w:hAnsi="Times New Roman" w:cs="Times New Roman"/>
          <w:color w:val="000000"/>
          <w:sz w:val="24"/>
          <w:szCs w:val="24"/>
        </w:rPr>
        <w:t>1995. Chevron terminated the VCP agreement.</w:t>
      </w:r>
    </w:p>
    <w:p w14:paraId="27169123" w14:textId="30C49DBC" w:rsidR="00CA35E1" w:rsidRPr="00265D0E" w:rsidRDefault="00CA35E1" w:rsidP="00D6631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65D0E">
        <w:rPr>
          <w:rFonts w:ascii="Times New Roman" w:hAnsi="Times New Roman" w:cs="Times New Roman"/>
          <w:color w:val="000000"/>
          <w:sz w:val="24"/>
          <w:szCs w:val="24"/>
        </w:rPr>
        <w:t>2002. DEQ recommended conducting an expanded preliminary assessment (XPA) at the Terminal.</w:t>
      </w:r>
      <w:r w:rsidR="00265D0E" w:rsidRPr="00265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D0E">
        <w:rPr>
          <w:rFonts w:ascii="Times New Roman" w:hAnsi="Times New Roman" w:cs="Times New Roman"/>
          <w:color w:val="000000"/>
          <w:sz w:val="24"/>
          <w:szCs w:val="24"/>
        </w:rPr>
        <w:t>Chevron signed a VCP letter agreement and conducted the XPA.</w:t>
      </w:r>
    </w:p>
    <w:p w14:paraId="27CAA689" w14:textId="0344FF10" w:rsidR="00CA35E1" w:rsidRPr="003C3518" w:rsidRDefault="00CA35E1" w:rsidP="007424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C3518">
        <w:rPr>
          <w:rFonts w:ascii="Times New Roman" w:hAnsi="Times New Roman" w:cs="Times New Roman"/>
          <w:color w:val="000000"/>
          <w:sz w:val="24"/>
          <w:szCs w:val="24"/>
        </w:rPr>
        <w:t>2006. Chevron entered into a voluntary agreement with DEQ to perform an SCE for the entire Terminal.</w:t>
      </w:r>
    </w:p>
    <w:p w14:paraId="24639FCD" w14:textId="2F34BA70" w:rsidR="00CA35E1" w:rsidRPr="003C3518" w:rsidRDefault="00CA35E1" w:rsidP="007424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C3518">
        <w:rPr>
          <w:rFonts w:ascii="Times New Roman" w:hAnsi="Times New Roman" w:cs="Times New Roman"/>
          <w:color w:val="000000"/>
          <w:sz w:val="24"/>
          <w:szCs w:val="24"/>
        </w:rPr>
        <w:t>July 2010. DEQ issued an SCD for the Terminal</w:t>
      </w:r>
      <w:r w:rsidR="00EF27D6">
        <w:rPr>
          <w:rFonts w:ascii="Times New Roman" w:hAnsi="Times New Roman" w:cs="Times New Roman"/>
          <w:color w:val="000000"/>
          <w:sz w:val="24"/>
          <w:szCs w:val="24"/>
        </w:rPr>
        <w:t xml:space="preserve">. The SCD determined that stormwater and groundwater did not </w:t>
      </w:r>
      <w:r w:rsidR="007C5DE9">
        <w:rPr>
          <w:rFonts w:ascii="Times New Roman" w:hAnsi="Times New Roman" w:cs="Times New Roman"/>
          <w:color w:val="000000"/>
          <w:sz w:val="24"/>
          <w:szCs w:val="24"/>
        </w:rPr>
        <w:t xml:space="preserve">pose a significant risk to the Willamette River </w:t>
      </w:r>
      <w:r w:rsidR="0077012C">
        <w:rPr>
          <w:rFonts w:ascii="Times New Roman" w:hAnsi="Times New Roman" w:cs="Times New Roman"/>
          <w:color w:val="000000"/>
          <w:sz w:val="24"/>
          <w:szCs w:val="24"/>
        </w:rPr>
        <w:t>Superfund</w:t>
      </w:r>
      <w:r w:rsidR="007006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2D2F">
        <w:rPr>
          <w:rFonts w:ascii="Times New Roman" w:hAnsi="Times New Roman" w:cs="Times New Roman"/>
          <w:color w:val="000000"/>
          <w:sz w:val="24"/>
          <w:szCs w:val="24"/>
        </w:rPr>
        <w:t>Cleanup</w:t>
      </w:r>
      <w:r w:rsidR="007006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5D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F640A2" w14:textId="41CB7DB2" w:rsidR="00CA35E1" w:rsidRPr="003C3518" w:rsidRDefault="00CA35E1" w:rsidP="007424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C3518">
        <w:rPr>
          <w:rFonts w:ascii="Times New Roman" w:hAnsi="Times New Roman" w:cs="Times New Roman"/>
          <w:color w:val="000000"/>
          <w:sz w:val="24"/>
          <w:szCs w:val="24"/>
        </w:rPr>
        <w:t xml:space="preserve">July 2011. Paramount Petroleum reported a release of approximately 19,150 gallons of </w:t>
      </w:r>
      <w:r w:rsidR="007006AF">
        <w:rPr>
          <w:rFonts w:ascii="Times New Roman" w:hAnsi="Times New Roman" w:cs="Times New Roman"/>
          <w:color w:val="000000"/>
          <w:sz w:val="24"/>
          <w:szCs w:val="24"/>
        </w:rPr>
        <w:t>Light N</w:t>
      </w:r>
      <w:r w:rsidRPr="003C3518">
        <w:rPr>
          <w:rFonts w:ascii="Times New Roman" w:hAnsi="Times New Roman" w:cs="Times New Roman"/>
          <w:color w:val="000000"/>
          <w:sz w:val="24"/>
          <w:szCs w:val="24"/>
        </w:rPr>
        <w:t>aphtha</w:t>
      </w:r>
      <w:r w:rsidR="00783A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6F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6AF">
        <w:rPr>
          <w:rFonts w:ascii="Times New Roman" w:hAnsi="Times New Roman" w:cs="Times New Roman"/>
          <w:color w:val="000000"/>
          <w:sz w:val="24"/>
          <w:szCs w:val="24"/>
        </w:rPr>
        <w:t xml:space="preserve">Light </w:t>
      </w:r>
      <w:r w:rsidR="00246FAA">
        <w:rPr>
          <w:rFonts w:ascii="Times New Roman" w:hAnsi="Times New Roman" w:cs="Times New Roman"/>
          <w:color w:val="000000"/>
          <w:sz w:val="24"/>
          <w:szCs w:val="24"/>
        </w:rPr>
        <w:t xml:space="preserve">Naphtha </w:t>
      </w:r>
      <w:r w:rsidR="00FE5033">
        <w:rPr>
          <w:rFonts w:ascii="Times New Roman" w:hAnsi="Times New Roman" w:cs="Times New Roman"/>
          <w:color w:val="000000"/>
          <w:sz w:val="24"/>
          <w:szCs w:val="24"/>
        </w:rPr>
        <w:t xml:space="preserve">is a </w:t>
      </w:r>
      <w:r w:rsidR="00105A9F">
        <w:rPr>
          <w:rFonts w:ascii="Times New Roman" w:hAnsi="Times New Roman" w:cs="Times New Roman"/>
          <w:color w:val="000000"/>
          <w:sz w:val="24"/>
          <w:szCs w:val="24"/>
        </w:rPr>
        <w:t xml:space="preserve">complex combination of </w:t>
      </w:r>
      <w:r w:rsidR="00AA1362">
        <w:rPr>
          <w:rFonts w:ascii="Times New Roman" w:hAnsi="Times New Roman" w:cs="Times New Roman"/>
          <w:color w:val="000000"/>
          <w:sz w:val="24"/>
          <w:szCs w:val="24"/>
        </w:rPr>
        <w:t>hydrocarbons produced by the distillation of crude oil.</w:t>
      </w:r>
      <w:r w:rsidR="004729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298B" w:rsidRPr="00CA26F9">
        <w:rPr>
          <w:rFonts w:ascii="Times New Roman" w:hAnsi="Times New Roman" w:cs="Times New Roman"/>
          <w:color w:val="000000"/>
          <w:sz w:val="24"/>
          <w:szCs w:val="24"/>
        </w:rPr>
        <w:t xml:space="preserve">Light </w:t>
      </w:r>
      <w:r w:rsidR="001C56D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7298B" w:rsidRPr="00CA26F9">
        <w:rPr>
          <w:rFonts w:ascii="Times New Roman" w:hAnsi="Times New Roman" w:cs="Times New Roman"/>
          <w:color w:val="000000"/>
          <w:sz w:val="24"/>
          <w:szCs w:val="24"/>
        </w:rPr>
        <w:t xml:space="preserve">aphtha is rich in paraffin hydrocarbons and is commonly used as a feedstock for </w:t>
      </w:r>
      <w:r w:rsidR="001C56D0">
        <w:rPr>
          <w:rFonts w:ascii="Times New Roman" w:hAnsi="Times New Roman" w:cs="Times New Roman"/>
          <w:color w:val="000000"/>
          <w:sz w:val="24"/>
          <w:szCs w:val="24"/>
        </w:rPr>
        <w:t>making</w:t>
      </w:r>
      <w:r w:rsidR="0047298B" w:rsidRPr="00CA26F9">
        <w:rPr>
          <w:rFonts w:ascii="Times New Roman" w:hAnsi="Times New Roman" w:cs="Times New Roman"/>
          <w:color w:val="000000"/>
          <w:sz w:val="24"/>
          <w:szCs w:val="24"/>
        </w:rPr>
        <w:t xml:space="preserve"> petrochemicals, such as ethylene and propylene. It is also used as a solvent in the paint and coatings industry and as fuel for gasoline engines.</w:t>
      </w:r>
    </w:p>
    <w:p w14:paraId="2E1A536E" w14:textId="77777777" w:rsidR="00CA35E1" w:rsidRDefault="00CA35E1" w:rsidP="007424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C3518">
        <w:rPr>
          <w:rFonts w:ascii="Times New Roman" w:hAnsi="Times New Roman" w:cs="Times New Roman"/>
          <w:color w:val="000000"/>
          <w:sz w:val="24"/>
          <w:szCs w:val="24"/>
        </w:rPr>
        <w:t>DEQ and immediately began investigation and cleanup activities.</w:t>
      </w:r>
    </w:p>
    <w:p w14:paraId="4C42CD99" w14:textId="60BAF216" w:rsidR="00031024" w:rsidRPr="003C3518" w:rsidRDefault="009C28E2" w:rsidP="007424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January 2020. DEQ </w:t>
      </w:r>
      <w:r w:rsidR="002C7C98">
        <w:rPr>
          <w:rFonts w:ascii="Times New Roman" w:hAnsi="Times New Roman" w:cs="Times New Roman"/>
          <w:color w:val="000000"/>
          <w:sz w:val="24"/>
          <w:szCs w:val="24"/>
        </w:rPr>
        <w:t xml:space="preserve">provided a memo </w:t>
      </w:r>
      <w:r w:rsidR="00F1672E">
        <w:rPr>
          <w:rFonts w:ascii="Times New Roman" w:hAnsi="Times New Roman" w:cs="Times New Roman"/>
          <w:color w:val="000000"/>
          <w:sz w:val="24"/>
          <w:szCs w:val="24"/>
        </w:rPr>
        <w:t xml:space="preserve">supporting </w:t>
      </w:r>
      <w:r w:rsidR="002D0E97">
        <w:rPr>
          <w:rFonts w:ascii="Times New Roman" w:hAnsi="Times New Roman" w:cs="Times New Roman"/>
          <w:color w:val="000000"/>
          <w:sz w:val="24"/>
          <w:szCs w:val="24"/>
        </w:rPr>
        <w:t>the proposed infiltration from the new loading rack. (</w:t>
      </w:r>
      <w:r w:rsidR="006F543F">
        <w:rPr>
          <w:rFonts w:ascii="Times New Roman" w:hAnsi="Times New Roman" w:cs="Times New Roman"/>
          <w:color w:val="000000"/>
          <w:sz w:val="24"/>
          <w:szCs w:val="24"/>
        </w:rPr>
        <w:t xml:space="preserve">Attached Reference Link) </w:t>
      </w:r>
      <w:r w:rsidR="002D0E97">
        <w:rPr>
          <w:rFonts w:ascii="Times New Roman" w:hAnsi="Times New Roman" w:cs="Times New Roman"/>
          <w:color w:val="000000"/>
          <w:sz w:val="24"/>
          <w:szCs w:val="24"/>
        </w:rPr>
        <w:t>These findings were shared with DEQ Water Quality.</w:t>
      </w:r>
    </w:p>
    <w:p w14:paraId="0E5AF32C" w14:textId="5B334BF7" w:rsidR="00CA35E1" w:rsidRPr="00783A13" w:rsidRDefault="00CA35E1" w:rsidP="001A764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83A13">
        <w:rPr>
          <w:rFonts w:ascii="Times New Roman" w:hAnsi="Times New Roman" w:cs="Times New Roman"/>
          <w:color w:val="000000"/>
          <w:sz w:val="24"/>
          <w:szCs w:val="24"/>
        </w:rPr>
        <w:t>July 2011 through September 2022. Paramount Petroleum and subsequent owners implemented</w:t>
      </w:r>
      <w:r w:rsidR="00783A13" w:rsidRPr="00783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3A13">
        <w:rPr>
          <w:rFonts w:ascii="Times New Roman" w:hAnsi="Times New Roman" w:cs="Times New Roman"/>
          <w:color w:val="000000"/>
          <w:sz w:val="24"/>
          <w:szCs w:val="24"/>
        </w:rPr>
        <w:t>measures to address the Paramount 2011 naphtha release in coordination with the DEQ SPILLS</w:t>
      </w:r>
      <w:r w:rsidR="00783A13" w:rsidRPr="00783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3A13">
        <w:rPr>
          <w:rFonts w:ascii="Times New Roman" w:hAnsi="Times New Roman" w:cs="Times New Roman"/>
          <w:color w:val="000000"/>
          <w:sz w:val="24"/>
          <w:szCs w:val="24"/>
        </w:rPr>
        <w:t>program.</w:t>
      </w:r>
    </w:p>
    <w:p w14:paraId="0563326F" w14:textId="5CCD5050" w:rsidR="00CA35E1" w:rsidRPr="003C3518" w:rsidRDefault="00CA35E1" w:rsidP="003F397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C3518">
        <w:rPr>
          <w:rFonts w:ascii="Times New Roman" w:hAnsi="Times New Roman" w:cs="Times New Roman"/>
          <w:color w:val="000000"/>
          <w:sz w:val="24"/>
          <w:szCs w:val="24"/>
        </w:rPr>
        <w:t xml:space="preserve">October 2022. Zenith entered into an agreement with DEQ for enrollment in the VCP </w:t>
      </w:r>
      <w:r w:rsidR="008C53C9">
        <w:rPr>
          <w:rFonts w:ascii="Times New Roman" w:hAnsi="Times New Roman" w:cs="Times New Roman"/>
          <w:color w:val="000000"/>
          <w:sz w:val="24"/>
          <w:szCs w:val="24"/>
        </w:rPr>
        <w:t>to investigate and remediate</w:t>
      </w:r>
      <w:r w:rsidRPr="003C3518">
        <w:rPr>
          <w:rFonts w:ascii="Times New Roman" w:hAnsi="Times New Roman" w:cs="Times New Roman"/>
          <w:color w:val="000000"/>
          <w:sz w:val="24"/>
          <w:szCs w:val="24"/>
        </w:rPr>
        <w:t xml:space="preserve"> impacts resulting from the Paramount 2011 </w:t>
      </w:r>
      <w:r w:rsidR="00306776">
        <w:rPr>
          <w:rFonts w:ascii="Times New Roman" w:hAnsi="Times New Roman" w:cs="Times New Roman"/>
          <w:color w:val="000000"/>
          <w:sz w:val="24"/>
          <w:szCs w:val="24"/>
        </w:rPr>
        <w:t xml:space="preserve">light </w:t>
      </w:r>
      <w:r w:rsidRPr="003C3518">
        <w:rPr>
          <w:rFonts w:ascii="Times New Roman" w:hAnsi="Times New Roman" w:cs="Times New Roman"/>
          <w:color w:val="000000"/>
          <w:sz w:val="24"/>
          <w:szCs w:val="24"/>
        </w:rPr>
        <w:t>naphtha release.</w:t>
      </w:r>
    </w:p>
    <w:p w14:paraId="206C2845" w14:textId="77777777" w:rsidR="00B56980" w:rsidRPr="003C3518" w:rsidRDefault="00CA35E1" w:rsidP="007424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C3518">
        <w:rPr>
          <w:rFonts w:ascii="Times New Roman" w:hAnsi="Times New Roman" w:cs="Times New Roman"/>
          <w:color w:val="000000"/>
          <w:sz w:val="24"/>
          <w:szCs w:val="24"/>
        </w:rPr>
        <w:t>October 2023. At the request of DEQ, the October 2022 VCP agreement was terminated</w:t>
      </w:r>
      <w:r w:rsidR="00B56980" w:rsidRPr="003C3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850986" w14:textId="023782AC" w:rsidR="00CA35E1" w:rsidRPr="00783A13" w:rsidRDefault="00CA35E1" w:rsidP="00C5641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83A13">
        <w:rPr>
          <w:rFonts w:ascii="Times New Roman" w:hAnsi="Times New Roman" w:cs="Times New Roman"/>
          <w:color w:val="000000"/>
          <w:sz w:val="24"/>
          <w:szCs w:val="24"/>
        </w:rPr>
        <w:lastRenderedPageBreak/>
        <w:t>Zenith</w:t>
      </w:r>
      <w:r w:rsidR="00B56980" w:rsidRPr="00783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3A13">
        <w:rPr>
          <w:rFonts w:ascii="Times New Roman" w:hAnsi="Times New Roman" w:cs="Times New Roman"/>
          <w:color w:val="000000"/>
          <w:sz w:val="24"/>
          <w:szCs w:val="24"/>
        </w:rPr>
        <w:t xml:space="preserve">and DEQ entered into </w:t>
      </w:r>
      <w:r w:rsidR="005C74CB" w:rsidRPr="00783A13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783A13">
        <w:rPr>
          <w:rFonts w:ascii="Times New Roman" w:hAnsi="Times New Roman" w:cs="Times New Roman"/>
          <w:color w:val="000000"/>
          <w:sz w:val="24"/>
          <w:szCs w:val="24"/>
        </w:rPr>
        <w:t xml:space="preserve">Agreement for conditions related to the Paramount 2011 </w:t>
      </w:r>
      <w:r w:rsidR="00306776">
        <w:rPr>
          <w:rFonts w:ascii="Times New Roman" w:hAnsi="Times New Roman" w:cs="Times New Roman"/>
          <w:color w:val="000000"/>
          <w:sz w:val="24"/>
          <w:szCs w:val="24"/>
        </w:rPr>
        <w:t xml:space="preserve">light </w:t>
      </w:r>
      <w:r w:rsidRPr="00783A13">
        <w:rPr>
          <w:rFonts w:ascii="Times New Roman" w:hAnsi="Times New Roman" w:cs="Times New Roman"/>
          <w:color w:val="000000"/>
          <w:sz w:val="24"/>
          <w:szCs w:val="24"/>
        </w:rPr>
        <w:t>naphtha</w:t>
      </w:r>
      <w:r w:rsidR="00783A13" w:rsidRPr="00783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3A13">
        <w:rPr>
          <w:rFonts w:ascii="Times New Roman" w:hAnsi="Times New Roman" w:cs="Times New Roman"/>
          <w:color w:val="000000"/>
          <w:sz w:val="24"/>
          <w:szCs w:val="24"/>
        </w:rPr>
        <w:t>release.</w:t>
      </w:r>
    </w:p>
    <w:p w14:paraId="11517C35" w14:textId="77777777" w:rsidR="005C74CB" w:rsidRPr="003C3518" w:rsidRDefault="005C74CB" w:rsidP="009B3618">
      <w:pPr>
        <w:rPr>
          <w:rFonts w:ascii="Times New Roman" w:hAnsi="Times New Roman" w:cs="Times New Roman"/>
        </w:rPr>
      </w:pPr>
    </w:p>
    <w:p w14:paraId="134BDB68" w14:textId="12A4CAE3" w:rsidR="009B3618" w:rsidRPr="00943DB8" w:rsidRDefault="00A2154F" w:rsidP="009B3618">
      <w:pP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  <w:r w:rsidRPr="003C3518">
        <w:rPr>
          <w:rFonts w:ascii="Times New Roman" w:hAnsi="Times New Roman" w:cs="Times New Roman"/>
        </w:rPr>
        <w:t>Portland Harbor Source Control Decision</w:t>
      </w:r>
      <w:r w:rsidR="00EB5B8A" w:rsidRPr="003C3518">
        <w:rPr>
          <w:rFonts w:ascii="Times New Roman" w:hAnsi="Times New Roman" w:cs="Times New Roman"/>
        </w:rPr>
        <w:br/>
      </w:r>
      <w:r w:rsidR="009B3618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Chevron, a former owner and operator of this site, conducted a Portland Harbor Source Control Evaluation to assess potential impacts to the Willamette River. A program of stormwater monitoring and catch basin cleanout was established. After </w:t>
      </w:r>
      <w:r w:rsidR="004A2C7F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completing</w:t>
      </w:r>
      <w:r w:rsidR="009B3618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this work</w:t>
      </w:r>
      <w:r w:rsidR="008049BB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, DEQ issued a Source Control Decision (SCD) in 2010, documenting the agency's</w:t>
      </w:r>
      <w:r w:rsidR="009B3618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decision that the site does not pose a risk of </w:t>
      </w:r>
      <w:r w:rsidR="00B56980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recontamination</w:t>
      </w:r>
      <w:r w:rsidR="009B3618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</w:t>
      </w:r>
      <w:r w:rsidR="003B48C1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of </w:t>
      </w:r>
      <w:r w:rsidR="009B3618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future remedial actions in the Willamette River. </w:t>
      </w:r>
      <w:r w:rsidR="00404966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The </w:t>
      </w:r>
      <w:r w:rsidR="00D539BD" w:rsidRPr="00943DB8">
        <w:rPr>
          <w:rFonts w:ascii="Times New Roman" w:hAnsi="Times New Roman" w:cs="Times New Roman"/>
          <w:color w:val="000000"/>
        </w:rPr>
        <w:t xml:space="preserve">SCD included </w:t>
      </w:r>
      <w:r w:rsidR="008B6E75" w:rsidRPr="00943DB8">
        <w:rPr>
          <w:rFonts w:ascii="Times New Roman" w:hAnsi="Times New Roman" w:cs="Times New Roman"/>
          <w:color w:val="000000"/>
        </w:rPr>
        <w:t>so</w:t>
      </w:r>
      <w:r w:rsidR="009B3618" w:rsidRPr="00943DB8">
        <w:rPr>
          <w:rFonts w:ascii="Times New Roman" w:hAnsi="Times New Roman" w:cs="Times New Roman"/>
          <w:color w:val="000000"/>
        </w:rPr>
        <w:t>urce control measures and the basis for DEQ’s decision</w:t>
      </w:r>
      <w:r w:rsidR="009B3618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. The document was reviewed by partner agencies</w:t>
      </w:r>
      <w:r w:rsidR="000C0A46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, including the City of Portland and the US Environmental Protection Agency (US EPA),</w:t>
      </w:r>
      <w:r w:rsidR="009B3618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in accordance with established procedures detailed in the memorandum of understanding between US EPA and Oregon DEQ for Willamette River Source Control. DEQ finalized the decision in 201</w:t>
      </w:r>
      <w:r w:rsidR="00E46915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0</w:t>
      </w:r>
      <w:r w:rsidR="009B3618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after considering reviewer comments.</w:t>
      </w:r>
      <w:r w:rsidR="003F303D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(see link to SCD in References)</w:t>
      </w:r>
      <w:r w:rsidR="00906BE2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.</w:t>
      </w:r>
    </w:p>
    <w:p w14:paraId="602CDBDA" w14:textId="63FA5BFC" w:rsidR="009B3618" w:rsidRPr="00943DB8" w:rsidRDefault="009B3618" w:rsidP="009B3618">
      <w:pPr>
        <w:rPr>
          <w:rFonts w:ascii="Times New Roman" w:hAnsi="Times New Roman" w:cs="Times New Roman"/>
        </w:rPr>
      </w:pPr>
    </w:p>
    <w:p w14:paraId="2E361264" w14:textId="27EA7C83" w:rsidR="00A4223B" w:rsidRPr="00943DB8" w:rsidRDefault="00BB496A" w:rsidP="00A4223B">
      <w:pP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  <w:r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A release of approximately 19,150 gallons of naphtha in the northern portion of the Terminal was reported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</w:t>
      </w:r>
      <w:r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by Paramount Petroleum (Paramount) to DEQ in July 2011. Paramount and its successors, including but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</w:t>
      </w:r>
      <w:r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not limited to Zenith, have performed remediation and monitoring activities to address the naphtha release.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</w:t>
      </w:r>
      <w:r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These activities have resulted in the </w:t>
      </w:r>
      <w:r w:rsidR="00A9350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approximate </w:t>
      </w:r>
      <w:r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recovery of </w:t>
      </w:r>
      <w:r w:rsidR="00A4223B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approximately</w:t>
      </w:r>
      <w:r w:rsidR="007D4D54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</w:t>
      </w:r>
      <w:r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93 percent of the released naphtha. </w:t>
      </w:r>
      <w:r w:rsidR="00A4223B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The spill required cleanup by extracting vapor and water from soil and groundwater </w:t>
      </w:r>
      <w:r w:rsidR="00A4223B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near</w:t>
      </w:r>
      <w:r w:rsidR="00A4223B"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the spill. The extraction system was removed in 2013 because all free product were less than 0.1 feet at all monitoring wells. </w:t>
      </w:r>
    </w:p>
    <w:p w14:paraId="6B6C48A3" w14:textId="77777777" w:rsidR="00A4223B" w:rsidRPr="00943DB8" w:rsidRDefault="00A4223B" w:rsidP="00A4223B">
      <w:pP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</w:p>
    <w:p w14:paraId="6EF79B42" w14:textId="59EC41D5" w:rsidR="007D4D54" w:rsidRDefault="00A4223B" w:rsidP="00A4223B">
      <w:pP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  <w:r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The spill 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response </w:t>
      </w:r>
      <w:r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was moved into the Cleanup 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P</w:t>
      </w:r>
      <w:r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rogram from the Spills Unit. The requirements for product thickness were modified to achieve less than 0.01 feet of product. </w:t>
      </w:r>
      <w:r w:rsidR="00194A00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Monitoring well W-31 continued to have product levels greater than 0.01 feet</w:t>
      </w:r>
      <w:r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and an automatic skimmer was installed, recovering 100 gallons of product in 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the fourth quarter of 2024 and the first quarter of 2025</w:t>
      </w:r>
      <w:r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. Product monitoring and recovery will continue until product levels are below 0.01 feet and product recovery 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is</w:t>
      </w:r>
      <w:r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insignificant</w:t>
      </w:r>
      <w:r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. The site reports 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separate phase product (free product) </w:t>
      </w:r>
      <w:r w:rsidRPr="00943DB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monitoring results quarterly.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</w:t>
      </w:r>
      <w:r w:rsidR="00BB496A"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Zenith</w:t>
      </w:r>
      <w:r w:rsidR="00A300C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</w:t>
      </w:r>
      <w:r w:rsidR="00BB496A"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continues to coordinate with DEQ for 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the </w:t>
      </w:r>
      <w:r w:rsidR="00BB496A"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final closure of the naphtha release. </w:t>
      </w:r>
      <w:r w:rsidR="00E55793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The </w:t>
      </w:r>
      <w:r w:rsidR="00003B66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location of the spill area and monitoring wells are </w:t>
      </w:r>
      <w:r w:rsidR="00880EC3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shown </w:t>
      </w:r>
      <w:r w:rsidR="00003B66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on </w:t>
      </w:r>
      <w:r w:rsidR="00880EC3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Apex </w:t>
      </w:r>
      <w:r w:rsidR="00003B66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Figure 2</w:t>
      </w:r>
      <w:r w:rsidR="00BA37A0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.</w:t>
      </w:r>
    </w:p>
    <w:p w14:paraId="6779870B" w14:textId="77777777" w:rsidR="007D4D54" w:rsidRDefault="007D4D54" w:rsidP="00BB496A">
      <w:pPr>
        <w:autoSpaceDE w:val="0"/>
        <w:autoSpaceDN w:val="0"/>
        <w:adjustRightInd w:val="0"/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</w:p>
    <w:p w14:paraId="7F138C39" w14:textId="3B015EED" w:rsidR="009B3618" w:rsidRDefault="002F618A" w:rsidP="009B3618">
      <w:pP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Source Control Evaluation Reopening </w:t>
      </w:r>
    </w:p>
    <w:p w14:paraId="5A93CD7A" w14:textId="7AD6244B" w:rsidR="00BE1F43" w:rsidRPr="00BB496A" w:rsidRDefault="00BE1F43" w:rsidP="00BE1F43">
      <w:pPr>
        <w:autoSpaceDE w:val="0"/>
        <w:autoSpaceDN w:val="0"/>
        <w:adjustRightInd w:val="0"/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  <w:r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In 2023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, DEQ determined that the Paramount 2011 </w:t>
      </w:r>
      <w:r w:rsidR="008C53C9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light 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naphtha release constituted a change in conditions that may affect the conclusions of the 2010 SCD; therefore, DEQ requested a focused SCE to evaluate conditions related to the </w:t>
      </w:r>
      <w:r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Paramount 2011 </w:t>
      </w:r>
      <w:r w:rsidR="00F34626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light </w:t>
      </w:r>
      <w:r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naphtha release. As a first step for the DEQ required </w:t>
      </w: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the </w:t>
      </w:r>
      <w:r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development of </w:t>
      </w:r>
      <w:r w:rsidR="00915D1C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a</w:t>
      </w:r>
      <w:r w:rsidRPr="00BB496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Work</w:t>
      </w:r>
      <w:r w:rsidR="00CA7B3B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</w:t>
      </w:r>
      <w:r w:rsidR="00915D1C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Plan </w:t>
      </w:r>
      <w:r w:rsidR="00CA7B3B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that was submitted in May 2020.</w:t>
      </w:r>
    </w:p>
    <w:p w14:paraId="733EB18F" w14:textId="013CDBAF" w:rsidR="00BE1F43" w:rsidRDefault="00BE1F43" w:rsidP="00BE1F43">
      <w:pPr>
        <w:autoSpaceDE w:val="0"/>
        <w:autoSpaceDN w:val="0"/>
        <w:adjustRightInd w:val="0"/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</w:p>
    <w:p w14:paraId="0CD6FB39" w14:textId="59DA2009" w:rsidR="00241DCC" w:rsidRDefault="00CA7B3B" w:rsidP="00BE1F43">
      <w:pPr>
        <w:autoSpaceDE w:val="0"/>
        <w:autoSpaceDN w:val="0"/>
        <w:adjustRightInd w:val="0"/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lastRenderedPageBreak/>
        <w:t xml:space="preserve">The </w:t>
      </w:r>
      <w:r w:rsidR="00915D1C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Work Plan did not propose any additional </w:t>
      </w:r>
      <w:r w:rsidR="00BB7364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screening of the impact of the </w:t>
      </w:r>
      <w:r w:rsidR="008C53C9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light </w:t>
      </w:r>
      <w:r w:rsidR="00BB7364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naphtha </w:t>
      </w:r>
      <w:r w:rsidR="00241DCC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spill to groundwater. DEQ and EPA disagreed with the findings of the Work Plan</w:t>
      </w:r>
      <w:r w:rsidR="006F3F17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. DEQ will</w:t>
      </w:r>
      <w:r w:rsidR="00241DCC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propose additional </w:t>
      </w:r>
      <w:r w:rsidR="0048457E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groundwater screening of wells in the </w:t>
      </w:r>
      <w:r w:rsidR="008C53C9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Light </w:t>
      </w:r>
      <w:r w:rsidR="00D60160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Naptha</w:t>
      </w:r>
      <w:r w:rsidR="0048457E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</w:t>
      </w:r>
      <w:r w:rsidR="00FA03C4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spill area for petroleum hydrocarbons in the </w:t>
      </w:r>
      <w:r w:rsidR="006113DF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spill area to support a </w:t>
      </w:r>
      <w:r w:rsidR="00E45393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focused </w:t>
      </w:r>
      <w:r w:rsidR="006113DF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Source Control Decision</w:t>
      </w:r>
      <w:r w:rsidR="00E45393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(</w:t>
      </w:r>
      <w:r w:rsidR="007231FA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only </w:t>
      </w:r>
      <w:r w:rsidR="00393558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evaluation of groundwater impact from light naphtha</w:t>
      </w:r>
      <w:r w:rsidR="00472669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and metals</w:t>
      </w:r>
      <w:r w:rsidR="006113DF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.</w:t>
      </w:r>
    </w:p>
    <w:p w14:paraId="00883C6B" w14:textId="77777777" w:rsidR="00F326C4" w:rsidRDefault="00F326C4" w:rsidP="00BE1F43">
      <w:pPr>
        <w:autoSpaceDE w:val="0"/>
        <w:autoSpaceDN w:val="0"/>
        <w:adjustRightInd w:val="0"/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</w:p>
    <w:p w14:paraId="7B95F16D" w14:textId="0FC65C4E" w:rsidR="00F326C4" w:rsidRPr="00BB496A" w:rsidRDefault="009C64DE" w:rsidP="00BE1F43">
      <w:pPr>
        <w:autoSpaceDE w:val="0"/>
        <w:autoSpaceDN w:val="0"/>
        <w:adjustRightInd w:val="0"/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  <w:r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February 2025. DEQ will request groundwater monitoring of </w:t>
      </w:r>
      <w:r w:rsidR="002D6237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wells downgradient of the light naphtha spill for C10 to C-12 polynuclear hydrocarbons (light phase constituents) and </w:t>
      </w:r>
      <w:r w:rsidR="00651975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metals. The results of this monitoring will be screened </w:t>
      </w:r>
      <w:r w:rsidR="003F2C21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against Portland Harbor risk</w:t>
      </w:r>
      <w:r w:rsidR="00541EF5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levels</w:t>
      </w:r>
      <w:r w:rsidR="00B207EC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 xml:space="preserve"> to allow a source control </w:t>
      </w:r>
      <w:r w:rsidR="004A2C7F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decision</w:t>
      </w:r>
      <w:r w:rsidR="00541EF5"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  <w:t>.</w:t>
      </w:r>
    </w:p>
    <w:p w14:paraId="472EBEE6" w14:textId="77777777" w:rsidR="00BE1F43" w:rsidRPr="00BB496A" w:rsidRDefault="00BE1F43" w:rsidP="00BE1F43">
      <w:pPr>
        <w:autoSpaceDE w:val="0"/>
        <w:autoSpaceDN w:val="0"/>
        <w:adjustRightInd w:val="0"/>
        <w:rPr>
          <w:rFonts w:ascii="Times New Roman" w:hAnsi="Times New Roman" w:cs="Times New Roman"/>
          <w:bdr w:val="single" w:sz="8" w:space="0" w:color="FFFFFF" w:frame="1"/>
          <w:shd w:val="clear" w:color="auto" w:fill="FFFFFF"/>
        </w:rPr>
      </w:pPr>
    </w:p>
    <w:p w14:paraId="4F1F545A" w14:textId="77777777" w:rsidR="009B3618" w:rsidRPr="00943DB8" w:rsidRDefault="009B3618" w:rsidP="009B3618">
      <w:pPr>
        <w:rPr>
          <w:rFonts w:ascii="Times New Roman" w:hAnsi="Times New Roman" w:cs="Times New Roman"/>
        </w:rPr>
      </w:pPr>
    </w:p>
    <w:p w14:paraId="4C60922E" w14:textId="1FBAEE6A" w:rsidR="00A2154F" w:rsidRPr="00ED0BFF" w:rsidRDefault="00ED0BFF" w:rsidP="00517353">
      <w:pPr>
        <w:rPr>
          <w:rFonts w:ascii="Times New Roman" w:hAnsi="Times New Roman" w:cs="Times New Roman"/>
          <w:b/>
          <w:bCs/>
        </w:rPr>
      </w:pPr>
      <w:r w:rsidRPr="00ED0BFF">
        <w:rPr>
          <w:rFonts w:ascii="Times New Roman" w:hAnsi="Times New Roman" w:cs="Times New Roman"/>
          <w:b/>
          <w:bCs/>
        </w:rPr>
        <w:t xml:space="preserve">References </w:t>
      </w:r>
      <w:r w:rsidR="00A01024">
        <w:rPr>
          <w:rFonts w:ascii="Times New Roman" w:hAnsi="Times New Roman" w:cs="Times New Roman"/>
          <w:b/>
          <w:bCs/>
        </w:rPr>
        <w:t xml:space="preserve">Your DEQ Online </w:t>
      </w:r>
      <w:r w:rsidRPr="00ED0BFF">
        <w:rPr>
          <w:rFonts w:ascii="Times New Roman" w:hAnsi="Times New Roman" w:cs="Times New Roman"/>
          <w:b/>
          <w:bCs/>
        </w:rPr>
        <w:t>Links:</w:t>
      </w:r>
    </w:p>
    <w:p w14:paraId="0D8521D9" w14:textId="77777777" w:rsidR="00ED0BFF" w:rsidRDefault="00ED0BFF" w:rsidP="00517353">
      <w:pPr>
        <w:rPr>
          <w:rFonts w:ascii="Times New Roman" w:hAnsi="Times New Roman" w:cs="Times New Roman"/>
        </w:rPr>
      </w:pPr>
    </w:p>
    <w:p w14:paraId="221062CB" w14:textId="7C2B2BF2" w:rsidR="00637D1B" w:rsidRDefault="00BE4209" w:rsidP="00517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</w:t>
      </w:r>
      <w:r w:rsidR="004553FC">
        <w:rPr>
          <w:rFonts w:ascii="Times New Roman" w:hAnsi="Times New Roman" w:cs="Times New Roman"/>
        </w:rPr>
        <w:t>30, 2023 Naptha Release Area Status Report</w:t>
      </w:r>
    </w:p>
    <w:p w14:paraId="373E236C" w14:textId="1A4EEB6B" w:rsidR="00ED0BFF" w:rsidRDefault="00ED0BFF" w:rsidP="00517353">
      <w:pPr>
        <w:rPr>
          <w:rFonts w:ascii="Times New Roman" w:hAnsi="Times New Roman" w:cs="Times New Roman"/>
        </w:rPr>
      </w:pPr>
      <w:hyperlink r:id="rId5" w:history="1">
        <w:r w:rsidRPr="00122935">
          <w:rPr>
            <w:rStyle w:val="Hyperlink"/>
            <w:rFonts w:ascii="Times New Roman" w:hAnsi="Times New Roman" w:cs="Times New Roman"/>
          </w:rPr>
          <w:t>https://ormswd2.synergydcs.com/HPRMWebDrawer/Record/6307507</w:t>
        </w:r>
      </w:hyperlink>
    </w:p>
    <w:p w14:paraId="3C5F96E8" w14:textId="77777777" w:rsidR="00637D1B" w:rsidRDefault="00637D1B" w:rsidP="00517353">
      <w:pPr>
        <w:rPr>
          <w:rFonts w:ascii="Times New Roman" w:hAnsi="Times New Roman" w:cs="Times New Roman"/>
        </w:rPr>
      </w:pPr>
    </w:p>
    <w:p w14:paraId="6EB98D26" w14:textId="2535BD3A" w:rsidR="00637D1B" w:rsidRDefault="00E3601A" w:rsidP="00517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6, 2024 EPA Memo Comments for Zenith Focused SCE</w:t>
      </w:r>
    </w:p>
    <w:p w14:paraId="54074056" w14:textId="1C6FA126" w:rsidR="00637D1B" w:rsidRDefault="00637D1B" w:rsidP="00517353">
      <w:pPr>
        <w:rPr>
          <w:rFonts w:ascii="Times New Roman" w:hAnsi="Times New Roman" w:cs="Times New Roman"/>
        </w:rPr>
      </w:pPr>
      <w:hyperlink r:id="rId6" w:history="1">
        <w:r w:rsidRPr="00637D1B">
          <w:rPr>
            <w:rStyle w:val="Hyperlink"/>
            <w:rFonts w:ascii="Times New Roman" w:hAnsi="Times New Roman" w:cs="Times New Roman"/>
          </w:rPr>
          <w:t>https://ormswd2.synergydcs.com/HPRMWebDrawer/Record/6870593</w:t>
        </w:r>
      </w:hyperlink>
    </w:p>
    <w:p w14:paraId="6F8C7A87" w14:textId="77777777" w:rsidR="00F77AAF" w:rsidRDefault="00F77AAF" w:rsidP="00517353">
      <w:pPr>
        <w:rPr>
          <w:rFonts w:ascii="Times New Roman" w:hAnsi="Times New Roman" w:cs="Times New Roman"/>
        </w:rPr>
      </w:pPr>
    </w:p>
    <w:p w14:paraId="3548A738" w14:textId="621E7EE8" w:rsidR="00F77AAF" w:rsidRDefault="00464037" w:rsidP="00517353">
      <w:pPr>
        <w:rPr>
          <w:rFonts w:ascii="Times New Roman" w:hAnsi="Times New Roman" w:cs="Times New Roman"/>
        </w:rPr>
      </w:pPr>
      <w:bookmarkStart w:id="0" w:name="_Hlk190164873"/>
      <w:r>
        <w:rPr>
          <w:rFonts w:ascii="Times New Roman" w:hAnsi="Times New Roman" w:cs="Times New Roman"/>
        </w:rPr>
        <w:t xml:space="preserve">May 2009 Source Control </w:t>
      </w:r>
      <w:r w:rsidR="00D90E49">
        <w:rPr>
          <w:rFonts w:ascii="Times New Roman" w:hAnsi="Times New Roman" w:cs="Times New Roman"/>
        </w:rPr>
        <w:t xml:space="preserve">Evaluation </w:t>
      </w:r>
    </w:p>
    <w:bookmarkEnd w:id="0"/>
    <w:p w14:paraId="2AD70770" w14:textId="2F96253C" w:rsidR="00F77AAF" w:rsidRDefault="00464037" w:rsidP="00517353">
      <w:pPr>
        <w:rPr>
          <w:rFonts w:ascii="Times New Roman" w:hAnsi="Times New Roman" w:cs="Times New Roman"/>
        </w:rPr>
      </w:pPr>
      <w:r>
        <w:fldChar w:fldCharType="begin"/>
      </w:r>
      <w:r>
        <w:instrText>HYPERLINK "https://ormswd2.synergydcs.com/HPRMWebDrawer/Record/6720947"</w:instrText>
      </w:r>
      <w:r>
        <w:fldChar w:fldCharType="separate"/>
      </w:r>
      <w:r w:rsidRPr="00464037">
        <w:rPr>
          <w:rStyle w:val="Hyperlink"/>
          <w:rFonts w:ascii="Times New Roman" w:hAnsi="Times New Roman" w:cs="Times New Roman"/>
        </w:rPr>
        <w:t>https://ormswd2.synergydcs.com/HPRMWebDrawer/Record/6720947</w:t>
      </w:r>
      <w:r>
        <w:rPr>
          <w:rStyle w:val="Hyperlink"/>
          <w:rFonts w:ascii="Times New Roman" w:hAnsi="Times New Roman" w:cs="Times New Roman"/>
        </w:rPr>
        <w:fldChar w:fldCharType="end"/>
      </w:r>
    </w:p>
    <w:p w14:paraId="1C4D04FD" w14:textId="77777777" w:rsidR="00D90E49" w:rsidRDefault="00D90E49" w:rsidP="00517353">
      <w:pPr>
        <w:rPr>
          <w:rFonts w:ascii="Times New Roman" w:hAnsi="Times New Roman" w:cs="Times New Roman"/>
        </w:rPr>
      </w:pPr>
    </w:p>
    <w:p w14:paraId="107DD189" w14:textId="4582EAA2" w:rsidR="00D90E49" w:rsidRDefault="00E40AD9" w:rsidP="00517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1, 2020 DEQ Memo for Zenith Loading Rack Infiltration</w:t>
      </w:r>
    </w:p>
    <w:p w14:paraId="2C5C6F67" w14:textId="06E45C2F" w:rsidR="00D90E49" w:rsidRDefault="00D80E20" w:rsidP="00517353">
      <w:pPr>
        <w:rPr>
          <w:rStyle w:val="Hyperlink"/>
          <w:rFonts w:ascii="Times New Roman" w:hAnsi="Times New Roman" w:cs="Times New Roman"/>
        </w:rPr>
      </w:pPr>
      <w:hyperlink r:id="rId7" w:history="1">
        <w:r w:rsidRPr="00E40AD9">
          <w:rPr>
            <w:rStyle w:val="Hyperlink"/>
            <w:rFonts w:ascii="Times New Roman" w:hAnsi="Times New Roman" w:cs="Times New Roman"/>
          </w:rPr>
          <w:t>https://ormswd2.synergydcs.com/HPRMWebDrawer/Record/6307504</w:t>
        </w:r>
      </w:hyperlink>
    </w:p>
    <w:p w14:paraId="53102169" w14:textId="77777777" w:rsidR="00611493" w:rsidRDefault="00611493" w:rsidP="00517353">
      <w:pPr>
        <w:rPr>
          <w:rStyle w:val="Hyperlink"/>
          <w:rFonts w:ascii="Times New Roman" w:hAnsi="Times New Roman" w:cs="Times New Roman"/>
        </w:rPr>
      </w:pPr>
    </w:p>
    <w:p w14:paraId="1917EEDD" w14:textId="38708E1E" w:rsidR="00454BB2" w:rsidRDefault="00E50038" w:rsidP="00454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2010 </w:t>
      </w:r>
      <w:r w:rsidR="00454BB2">
        <w:rPr>
          <w:rFonts w:ascii="Times New Roman" w:hAnsi="Times New Roman" w:cs="Times New Roman"/>
        </w:rPr>
        <w:t xml:space="preserve">Source Control </w:t>
      </w:r>
      <w:r>
        <w:rPr>
          <w:rFonts w:ascii="Times New Roman" w:hAnsi="Times New Roman" w:cs="Times New Roman"/>
        </w:rPr>
        <w:t>Decision Text Only</w:t>
      </w:r>
    </w:p>
    <w:p w14:paraId="3A047A8B" w14:textId="6237FEA6" w:rsidR="00611493" w:rsidRPr="00943DB8" w:rsidRDefault="00611493" w:rsidP="00517353">
      <w:pPr>
        <w:rPr>
          <w:rFonts w:ascii="Times New Roman" w:hAnsi="Times New Roman" w:cs="Times New Roman"/>
        </w:rPr>
      </w:pPr>
      <w:hyperlink r:id="rId8" w:history="1">
        <w:r w:rsidRPr="00611493">
          <w:rPr>
            <w:rStyle w:val="Hyperlink"/>
            <w:rFonts w:ascii="Times New Roman" w:hAnsi="Times New Roman" w:cs="Times New Roman"/>
          </w:rPr>
          <w:t>https://ormswd2.synergydcs.com/HPRMWebDrawer/Record/6307503</w:t>
        </w:r>
      </w:hyperlink>
    </w:p>
    <w:sectPr w:rsidR="00611493" w:rsidRPr="0094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838" w:hanging="360"/>
      </w:pPr>
      <w:rPr>
        <w:rFonts w:ascii="Times New Roman" w:hAnsi="Times New Roman" w:cs="Times New Roman"/>
        <w:b w:val="0"/>
        <w:bCs w:val="0"/>
        <w:i w:val="0"/>
        <w:iCs w:val="0"/>
        <w:color w:val="1C1C1D"/>
        <w:spacing w:val="0"/>
        <w:w w:val="104"/>
        <w:sz w:val="23"/>
        <w:szCs w:val="23"/>
      </w:rPr>
    </w:lvl>
    <w:lvl w:ilvl="1">
      <w:numFmt w:val="bullet"/>
      <w:lvlText w:val="•"/>
      <w:lvlJc w:val="left"/>
      <w:pPr>
        <w:ind w:left="1708" w:hanging="360"/>
      </w:pPr>
    </w:lvl>
    <w:lvl w:ilvl="2">
      <w:numFmt w:val="bullet"/>
      <w:lvlText w:val="•"/>
      <w:lvlJc w:val="left"/>
      <w:pPr>
        <w:ind w:left="2577" w:hanging="360"/>
      </w:pPr>
    </w:lvl>
    <w:lvl w:ilvl="3">
      <w:numFmt w:val="bullet"/>
      <w:lvlText w:val="•"/>
      <w:lvlJc w:val="left"/>
      <w:pPr>
        <w:ind w:left="3446" w:hanging="360"/>
      </w:pPr>
    </w:lvl>
    <w:lvl w:ilvl="4">
      <w:numFmt w:val="bullet"/>
      <w:lvlText w:val="•"/>
      <w:lvlJc w:val="left"/>
      <w:pPr>
        <w:ind w:left="4315" w:hanging="360"/>
      </w:pPr>
    </w:lvl>
    <w:lvl w:ilvl="5">
      <w:numFmt w:val="bullet"/>
      <w:lvlText w:val="•"/>
      <w:lvlJc w:val="left"/>
      <w:pPr>
        <w:ind w:left="5184" w:hanging="360"/>
      </w:pPr>
    </w:lvl>
    <w:lvl w:ilvl="6">
      <w:numFmt w:val="bullet"/>
      <w:lvlText w:val="•"/>
      <w:lvlJc w:val="left"/>
      <w:pPr>
        <w:ind w:left="6053" w:hanging="360"/>
      </w:pPr>
    </w:lvl>
    <w:lvl w:ilvl="7">
      <w:numFmt w:val="bullet"/>
      <w:lvlText w:val="•"/>
      <w:lvlJc w:val="left"/>
      <w:pPr>
        <w:ind w:left="6922" w:hanging="360"/>
      </w:pPr>
    </w:lvl>
    <w:lvl w:ilvl="8">
      <w:numFmt w:val="bullet"/>
      <w:lvlText w:val="•"/>
      <w:lvlJc w:val="left"/>
      <w:pPr>
        <w:ind w:left="7791" w:hanging="360"/>
      </w:pPr>
    </w:lvl>
  </w:abstractNum>
  <w:abstractNum w:abstractNumId="1" w15:restartNumberingAfterBreak="0">
    <w:nsid w:val="2C574C1D"/>
    <w:multiLevelType w:val="hybridMultilevel"/>
    <w:tmpl w:val="7E4A4E7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5320707">
    <w:abstractNumId w:val="0"/>
  </w:num>
  <w:num w:numId="2" w16cid:durableId="49276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12"/>
    <w:rsid w:val="00003B66"/>
    <w:rsid w:val="00005E0D"/>
    <w:rsid w:val="00011BBD"/>
    <w:rsid w:val="00015EF0"/>
    <w:rsid w:val="00031024"/>
    <w:rsid w:val="000A5FB6"/>
    <w:rsid w:val="000B0C19"/>
    <w:rsid w:val="000C0A46"/>
    <w:rsid w:val="00105A9F"/>
    <w:rsid w:val="00122935"/>
    <w:rsid w:val="00160FD2"/>
    <w:rsid w:val="00194A00"/>
    <w:rsid w:val="001C56D0"/>
    <w:rsid w:val="001E0BAE"/>
    <w:rsid w:val="001E1ADC"/>
    <w:rsid w:val="00214982"/>
    <w:rsid w:val="0022315F"/>
    <w:rsid w:val="00223167"/>
    <w:rsid w:val="00241DCC"/>
    <w:rsid w:val="00246FAA"/>
    <w:rsid w:val="00254A99"/>
    <w:rsid w:val="00265D0E"/>
    <w:rsid w:val="00277721"/>
    <w:rsid w:val="0028188C"/>
    <w:rsid w:val="002C7C98"/>
    <w:rsid w:val="002D0E97"/>
    <w:rsid w:val="002D491C"/>
    <w:rsid w:val="002D6237"/>
    <w:rsid w:val="002F618A"/>
    <w:rsid w:val="002F7289"/>
    <w:rsid w:val="00306776"/>
    <w:rsid w:val="00357ED1"/>
    <w:rsid w:val="00377DC0"/>
    <w:rsid w:val="0039248A"/>
    <w:rsid w:val="00393558"/>
    <w:rsid w:val="00394A3F"/>
    <w:rsid w:val="003B48C1"/>
    <w:rsid w:val="003C3518"/>
    <w:rsid w:val="003F2C21"/>
    <w:rsid w:val="003F303D"/>
    <w:rsid w:val="00404966"/>
    <w:rsid w:val="00447231"/>
    <w:rsid w:val="004519D5"/>
    <w:rsid w:val="00454BB2"/>
    <w:rsid w:val="004553FC"/>
    <w:rsid w:val="00456D6A"/>
    <w:rsid w:val="00464037"/>
    <w:rsid w:val="00472669"/>
    <w:rsid w:val="0047298B"/>
    <w:rsid w:val="0048457E"/>
    <w:rsid w:val="00495E43"/>
    <w:rsid w:val="004A2C7F"/>
    <w:rsid w:val="004F30D2"/>
    <w:rsid w:val="005102E8"/>
    <w:rsid w:val="00517353"/>
    <w:rsid w:val="00541EF5"/>
    <w:rsid w:val="0055506F"/>
    <w:rsid w:val="005B2E82"/>
    <w:rsid w:val="005B72F6"/>
    <w:rsid w:val="005C74CB"/>
    <w:rsid w:val="005D2040"/>
    <w:rsid w:val="005E2989"/>
    <w:rsid w:val="005F6845"/>
    <w:rsid w:val="006113DF"/>
    <w:rsid w:val="00611493"/>
    <w:rsid w:val="00637D1B"/>
    <w:rsid w:val="00651975"/>
    <w:rsid w:val="00663B01"/>
    <w:rsid w:val="00681EF1"/>
    <w:rsid w:val="00695719"/>
    <w:rsid w:val="006A0413"/>
    <w:rsid w:val="006F3F17"/>
    <w:rsid w:val="006F49E7"/>
    <w:rsid w:val="006F543F"/>
    <w:rsid w:val="007006AF"/>
    <w:rsid w:val="00707328"/>
    <w:rsid w:val="00711C2C"/>
    <w:rsid w:val="00714E44"/>
    <w:rsid w:val="00716510"/>
    <w:rsid w:val="007231FA"/>
    <w:rsid w:val="00736F1C"/>
    <w:rsid w:val="007424C9"/>
    <w:rsid w:val="00766408"/>
    <w:rsid w:val="0077012C"/>
    <w:rsid w:val="00783A13"/>
    <w:rsid w:val="007C5DE9"/>
    <w:rsid w:val="007D4D54"/>
    <w:rsid w:val="008049BB"/>
    <w:rsid w:val="00815688"/>
    <w:rsid w:val="00863FF8"/>
    <w:rsid w:val="00880EC3"/>
    <w:rsid w:val="008A7069"/>
    <w:rsid w:val="008B6E75"/>
    <w:rsid w:val="008C53C9"/>
    <w:rsid w:val="008D4C59"/>
    <w:rsid w:val="008E3972"/>
    <w:rsid w:val="008F094D"/>
    <w:rsid w:val="008F2828"/>
    <w:rsid w:val="00906BE2"/>
    <w:rsid w:val="00915D1C"/>
    <w:rsid w:val="0094105B"/>
    <w:rsid w:val="00943DB8"/>
    <w:rsid w:val="00943DE9"/>
    <w:rsid w:val="0097589A"/>
    <w:rsid w:val="00991911"/>
    <w:rsid w:val="009B3618"/>
    <w:rsid w:val="009C28E2"/>
    <w:rsid w:val="009C64DE"/>
    <w:rsid w:val="00A00E30"/>
    <w:rsid w:val="00A01024"/>
    <w:rsid w:val="00A2154F"/>
    <w:rsid w:val="00A300C8"/>
    <w:rsid w:val="00A34E95"/>
    <w:rsid w:val="00A40E12"/>
    <w:rsid w:val="00A4223B"/>
    <w:rsid w:val="00A932CA"/>
    <w:rsid w:val="00A93508"/>
    <w:rsid w:val="00AA1362"/>
    <w:rsid w:val="00AC7E40"/>
    <w:rsid w:val="00B02488"/>
    <w:rsid w:val="00B1292F"/>
    <w:rsid w:val="00B207EC"/>
    <w:rsid w:val="00B34735"/>
    <w:rsid w:val="00B421E4"/>
    <w:rsid w:val="00B51504"/>
    <w:rsid w:val="00B55832"/>
    <w:rsid w:val="00B56980"/>
    <w:rsid w:val="00B75ACB"/>
    <w:rsid w:val="00B86161"/>
    <w:rsid w:val="00BA37A0"/>
    <w:rsid w:val="00BB496A"/>
    <w:rsid w:val="00BB7364"/>
    <w:rsid w:val="00BE1F43"/>
    <w:rsid w:val="00BE4209"/>
    <w:rsid w:val="00BE7D85"/>
    <w:rsid w:val="00C10B82"/>
    <w:rsid w:val="00C2195C"/>
    <w:rsid w:val="00C32D2F"/>
    <w:rsid w:val="00C74066"/>
    <w:rsid w:val="00C87047"/>
    <w:rsid w:val="00CA26F9"/>
    <w:rsid w:val="00CA35E1"/>
    <w:rsid w:val="00CA4096"/>
    <w:rsid w:val="00CA7B3B"/>
    <w:rsid w:val="00CE01FB"/>
    <w:rsid w:val="00D30A07"/>
    <w:rsid w:val="00D31D99"/>
    <w:rsid w:val="00D358CE"/>
    <w:rsid w:val="00D539BD"/>
    <w:rsid w:val="00D60160"/>
    <w:rsid w:val="00D80E20"/>
    <w:rsid w:val="00D868E2"/>
    <w:rsid w:val="00D90E49"/>
    <w:rsid w:val="00D94F79"/>
    <w:rsid w:val="00DA49A8"/>
    <w:rsid w:val="00DC05D2"/>
    <w:rsid w:val="00DC444E"/>
    <w:rsid w:val="00DD0E9F"/>
    <w:rsid w:val="00DD2A60"/>
    <w:rsid w:val="00DD5715"/>
    <w:rsid w:val="00DE14AD"/>
    <w:rsid w:val="00E3601A"/>
    <w:rsid w:val="00E40AD9"/>
    <w:rsid w:val="00E431A0"/>
    <w:rsid w:val="00E434F5"/>
    <w:rsid w:val="00E45393"/>
    <w:rsid w:val="00E46915"/>
    <w:rsid w:val="00E50038"/>
    <w:rsid w:val="00E55385"/>
    <w:rsid w:val="00E55793"/>
    <w:rsid w:val="00E73410"/>
    <w:rsid w:val="00EB018C"/>
    <w:rsid w:val="00EB5B8A"/>
    <w:rsid w:val="00ED0BFF"/>
    <w:rsid w:val="00EF27D6"/>
    <w:rsid w:val="00F1672E"/>
    <w:rsid w:val="00F27610"/>
    <w:rsid w:val="00F326C4"/>
    <w:rsid w:val="00F34626"/>
    <w:rsid w:val="00F37AFE"/>
    <w:rsid w:val="00F42BAA"/>
    <w:rsid w:val="00F517A8"/>
    <w:rsid w:val="00F614BC"/>
    <w:rsid w:val="00F77AAF"/>
    <w:rsid w:val="00FA03C4"/>
    <w:rsid w:val="00FE5033"/>
    <w:rsid w:val="00FF5635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495C4"/>
  <w15:chartTrackingRefBased/>
  <w15:docId w15:val="{D293EAC7-4809-4C1A-A756-FE69CD0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12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E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E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E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E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E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E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E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E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E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E1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40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E1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A40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E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E12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4735"/>
    <w:rPr>
      <w:rFonts w:ascii="Calibri" w:eastAsia="Times New Roman" w:hAnsi="Calibri" w:cstheme="minorBidi"/>
      <w:kern w:val="2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4735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1229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9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mswd2.synergydcs.com/HPRMWebDrawer/Record/63075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mswd2.synergydcs.com/HPRMWebDrawer/Record/63075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mswd2.synergydcs.com/HPRMWebDrawer/Record/6870593" TargetMode="External"/><Relationship Id="rId5" Type="http://schemas.openxmlformats.org/officeDocument/2006/relationships/hyperlink" Target="https://ormswd2.synergydcs.com/HPRMWebDrawer/Record/63075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3</Pages>
  <Words>1040</Words>
  <Characters>5963</Characters>
  <Application>Microsoft Office Word</Application>
  <DocSecurity>0</DocSecurity>
  <Lines>121</Lines>
  <Paragraphs>49</Paragraphs>
  <ScaleCrop>false</ScaleCrop>
  <Company>Oregon Department of Environmental Quality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 Jim * DEQ</dc:creator>
  <cp:keywords/>
  <dc:description/>
  <cp:lastModifiedBy>ORR Jim * DEQ</cp:lastModifiedBy>
  <cp:revision>172</cp:revision>
  <dcterms:created xsi:type="dcterms:W3CDTF">2025-02-04T16:41:00Z</dcterms:created>
  <dcterms:modified xsi:type="dcterms:W3CDTF">2025-02-11T19:19:00Z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0203f576-e401-479f-a56f-fc5e2450bf14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2024-06-27T15:24:31Z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e744b96d-96be-4652-b985-0ec8381afa41</vt:lpwstr>
  </property>
  <property fmtid="{D5CDD505-2E9C-101B-9397-08002B2CF9AE}" pid="9" name="MSIP_Label_09b73270-2993-4076-be47-9c78f42a1e84_ContentBits">
    <vt:lpwstr>0</vt:lpwstr>
  </property>
</Properties>
</file>