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76EA8" w:rsidP="00076EA8" w:rsidRDefault="00076EA8" w14:paraId="39D050CB" w14:textId="77777777">
      <w:pPr>
        <w:pStyle w:val="Heading2"/>
        <w:shd w:val="clear" w:color="auto" w:fill="FFFFFF"/>
        <w:spacing w:before="240" w:after="240"/>
        <w:rPr>
          <w:rFonts w:ascii="Open Sans" w:hAnsi="Open Sans" w:cs="Open Sans"/>
          <w:color w:val="212529"/>
          <w:sz w:val="34"/>
          <w:szCs w:val="34"/>
        </w:rPr>
      </w:pPr>
      <w:r>
        <w:rPr>
          <w:rFonts w:ascii="Open Sans" w:hAnsi="Open Sans" w:cs="Open Sans"/>
          <w:color w:val="212529"/>
          <w:sz w:val="34"/>
          <w:szCs w:val="34"/>
        </w:rPr>
        <w:t>Chapter 3.30</w:t>
      </w:r>
      <w:r>
        <w:rPr>
          <w:rFonts w:ascii="Open Sans" w:hAnsi="Open Sans" w:cs="Open Sans"/>
          <w:color w:val="212529"/>
          <w:sz w:val="34"/>
          <w:szCs w:val="34"/>
        </w:rPr>
        <w:br/>
      </w:r>
      <w:r>
        <w:rPr>
          <w:rFonts w:ascii="Open Sans" w:hAnsi="Open Sans" w:cs="Open Sans"/>
          <w:color w:val="212529"/>
          <w:sz w:val="34"/>
          <w:szCs w:val="34"/>
        </w:rPr>
        <w:t>PUBLIC SAFETY FEE</w:t>
      </w:r>
    </w:p>
    <w:p w:rsidR="00076EA8" w:rsidP="00076EA8" w:rsidRDefault="00076EA8" w14:paraId="07B846E7" w14:textId="77777777">
      <w:pPr>
        <w:pStyle w:val="digch"/>
        <w:shd w:val="clear" w:color="auto" w:fill="FFFFFF"/>
        <w:spacing w:before="240" w:beforeAutospacing="0" w:after="0" w:afterAutospacing="0"/>
        <w:textAlignment w:val="baseline"/>
        <w:rPr>
          <w:rFonts w:ascii="Open Sans" w:hAnsi="Open Sans" w:cs="Open Sans"/>
          <w:color w:val="212529"/>
          <w:sz w:val="21"/>
          <w:szCs w:val="21"/>
        </w:rPr>
      </w:pPr>
      <w:r>
        <w:rPr>
          <w:rFonts w:ascii="Open Sans" w:hAnsi="Open Sans" w:cs="Open Sans"/>
          <w:color w:val="212529"/>
          <w:sz w:val="21"/>
          <w:szCs w:val="21"/>
        </w:rPr>
        <w:t>Sections:</w:t>
      </w:r>
    </w:p>
    <w:p w:rsidR="00076EA8" w:rsidP="00076EA8" w:rsidRDefault="00076EA8" w14:paraId="4384C683" w14:textId="77777777">
      <w:pPr>
        <w:pStyle w:val="citetoc"/>
        <w:shd w:val="clear" w:color="auto" w:fill="FFFFFF"/>
        <w:spacing w:before="0" w:beforeAutospacing="0" w:after="0" w:afterAutospacing="0"/>
        <w:ind w:left="1680" w:hanging="1392"/>
        <w:textAlignment w:val="baseline"/>
        <w:rPr>
          <w:rFonts w:ascii="Open Sans" w:hAnsi="Open Sans" w:cs="Open Sans"/>
          <w:color w:val="212529"/>
          <w:sz w:val="21"/>
          <w:szCs w:val="21"/>
        </w:rPr>
      </w:pPr>
      <w:hyperlink w:history="1" w:anchor="!/Newberg03/Newberg0330.html#3.30.010" r:id="rId4">
        <w:r>
          <w:rPr>
            <w:rStyle w:val="Hyperlink"/>
            <w:rFonts w:ascii="Open Sans" w:hAnsi="Open Sans" w:cs="Open Sans" w:eastAsiaTheme="majorEastAsia"/>
            <w:b/>
            <w:bCs/>
            <w:color w:val="2E597B"/>
            <w:sz w:val="21"/>
            <w:szCs w:val="21"/>
          </w:rPr>
          <w:t>3.30.010    Enactment, process and order.</w:t>
        </w:r>
      </w:hyperlink>
    </w:p>
    <w:p w:rsidR="00076EA8" w:rsidP="00076EA8" w:rsidRDefault="00076EA8" w14:paraId="57C06B13" w14:textId="77777777">
      <w:pPr>
        <w:pStyle w:val="citetoc"/>
        <w:shd w:val="clear" w:color="auto" w:fill="FFFFFF"/>
        <w:spacing w:before="0" w:beforeAutospacing="0" w:after="0" w:afterAutospacing="0"/>
        <w:ind w:left="1680" w:hanging="1392"/>
        <w:textAlignment w:val="baseline"/>
        <w:rPr>
          <w:rFonts w:ascii="Open Sans" w:hAnsi="Open Sans" w:cs="Open Sans"/>
          <w:color w:val="212529"/>
          <w:sz w:val="21"/>
          <w:szCs w:val="21"/>
        </w:rPr>
      </w:pPr>
      <w:hyperlink w:history="1" w:anchor="!/Newberg03/Newberg0330.html#3.30.020" r:id="rId5">
        <w:r>
          <w:rPr>
            <w:rStyle w:val="Hyperlink"/>
            <w:rFonts w:ascii="Open Sans" w:hAnsi="Open Sans" w:cs="Open Sans" w:eastAsiaTheme="majorEastAsia"/>
            <w:b/>
            <w:bCs/>
            <w:color w:val="2E597B"/>
            <w:sz w:val="21"/>
            <w:szCs w:val="21"/>
          </w:rPr>
          <w:t>3.30.020    Administration and collection.</w:t>
        </w:r>
      </w:hyperlink>
    </w:p>
    <w:p w:rsidR="00076EA8" w:rsidP="00076EA8" w:rsidRDefault="00076EA8" w14:paraId="0BD8AFCB" w14:textId="77777777">
      <w:pPr>
        <w:pStyle w:val="citetoc"/>
        <w:shd w:val="clear" w:color="auto" w:fill="FFFFFF"/>
        <w:spacing w:before="0" w:beforeAutospacing="0" w:after="0" w:afterAutospacing="0"/>
        <w:ind w:left="1680" w:hanging="1392"/>
        <w:textAlignment w:val="baseline"/>
        <w:rPr>
          <w:rFonts w:ascii="Open Sans" w:hAnsi="Open Sans" w:cs="Open Sans"/>
          <w:color w:val="212529"/>
          <w:sz w:val="21"/>
          <w:szCs w:val="21"/>
        </w:rPr>
      </w:pPr>
      <w:hyperlink w:history="1" w:anchor="!/Newberg03/Newberg0330.html#3.30.030" r:id="rId6">
        <w:r>
          <w:rPr>
            <w:rStyle w:val="Hyperlink"/>
            <w:rFonts w:ascii="Open Sans" w:hAnsi="Open Sans" w:cs="Open Sans" w:eastAsiaTheme="majorEastAsia"/>
            <w:b/>
            <w:bCs/>
            <w:color w:val="2E597B"/>
            <w:sz w:val="21"/>
            <w:szCs w:val="21"/>
          </w:rPr>
          <w:t>3.30.030    Criteria.</w:t>
        </w:r>
      </w:hyperlink>
    </w:p>
    <w:p w:rsidR="00076EA8" w:rsidP="00076EA8" w:rsidRDefault="00076EA8" w14:paraId="12DCA3D7" w14:textId="77777777">
      <w:pPr>
        <w:pStyle w:val="citetoc"/>
        <w:shd w:val="clear" w:color="auto" w:fill="FFFFFF"/>
        <w:spacing w:before="0" w:beforeAutospacing="0" w:after="0" w:afterAutospacing="0"/>
        <w:ind w:left="1680" w:hanging="1392"/>
        <w:textAlignment w:val="baseline"/>
        <w:rPr>
          <w:rFonts w:ascii="Open Sans" w:hAnsi="Open Sans" w:cs="Open Sans"/>
          <w:color w:val="212529"/>
          <w:sz w:val="21"/>
          <w:szCs w:val="21"/>
        </w:rPr>
      </w:pPr>
      <w:hyperlink w:history="1" w:anchor="!/Newberg03/Newberg0330.html#3.30.040" r:id="rId7">
        <w:r>
          <w:rPr>
            <w:rStyle w:val="Hyperlink"/>
            <w:rFonts w:ascii="Open Sans" w:hAnsi="Open Sans" w:cs="Open Sans" w:eastAsiaTheme="majorEastAsia"/>
            <w:b/>
            <w:bCs/>
            <w:color w:val="2E597B"/>
            <w:sz w:val="21"/>
            <w:szCs w:val="21"/>
          </w:rPr>
          <w:t>3.30.040    Adjustment of existing public safety fee.</w:t>
        </w:r>
      </w:hyperlink>
    </w:p>
    <w:p w:rsidR="00076EA8" w:rsidP="00076EA8" w:rsidRDefault="00076EA8" w14:paraId="35861F36" w14:textId="77777777">
      <w:pPr>
        <w:pStyle w:val="Heading3"/>
        <w:pBdr>
          <w:left w:val="single" w:color="8C8C8C" w:sz="18" w:space="11"/>
        </w:pBdr>
        <w:shd w:val="clear" w:color="auto" w:fill="F7F7F7"/>
        <w:spacing w:before="240" w:after="240"/>
        <w:textAlignment w:val="baseline"/>
        <w:rPr>
          <w:rFonts w:ascii="Open Sans" w:hAnsi="Open Sans" w:cs="Open Sans"/>
          <w:color w:val="212529"/>
          <w:sz w:val="30"/>
          <w:szCs w:val="30"/>
        </w:rPr>
      </w:pPr>
      <w:bookmarkStart w:name="3.30.010" w:id="0"/>
      <w:r>
        <w:rPr>
          <w:rFonts w:ascii="Open Sans" w:hAnsi="Open Sans" w:cs="Open Sans"/>
          <w:color w:val="212529"/>
          <w:sz w:val="30"/>
          <w:szCs w:val="30"/>
        </w:rPr>
        <w:t>3.30.010</w:t>
      </w:r>
      <w:bookmarkEnd w:id="0"/>
      <w:r>
        <w:rPr>
          <w:rFonts w:ascii="Open Sans" w:hAnsi="Open Sans" w:cs="Open Sans"/>
          <w:color w:val="212529"/>
          <w:sz w:val="30"/>
          <w:szCs w:val="30"/>
        </w:rPr>
        <w:t> Enactment, process and order.</w:t>
      </w:r>
    </w:p>
    <w:p w:rsidR="00076EA8" w:rsidP="00076EA8" w:rsidRDefault="00076EA8" w14:paraId="7568259E"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A. Enactment. The city establishes and authorizes the levying of a public safety fee (PSF) to be used to support the police and fire departments in carrying out their respective missions and duties to protect the public. The city council is empowered to enact separate PSFs through the process established below.</w:t>
      </w:r>
    </w:p>
    <w:p w:rsidR="00076EA8" w:rsidP="00076EA8" w:rsidRDefault="00076EA8" w14:paraId="377817C8"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B. Process. The city will follow the process which provides the following:</w:t>
      </w:r>
    </w:p>
    <w:p w:rsidR="00076EA8" w:rsidP="00076EA8" w:rsidRDefault="00076EA8" w14:paraId="15353764"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1. Report from the administration that addresses:</w:t>
      </w:r>
    </w:p>
    <w:p w:rsidR="00076EA8" w:rsidP="00076EA8" w:rsidRDefault="00076EA8" w14:paraId="359AA1BD" w14:textId="77777777">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t>a. Specific purpose or use to be made of the revenue from each PSF.</w:t>
      </w:r>
    </w:p>
    <w:p w:rsidR="00076EA8" w:rsidP="00076EA8" w:rsidRDefault="00076EA8" w14:paraId="083BA229" w14:textId="77777777">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t>b. The estimated amount of revenue that the PSF would raise for the city.</w:t>
      </w:r>
    </w:p>
    <w:p w:rsidR="00076EA8" w:rsidP="00076EA8" w:rsidRDefault="00076EA8" w14:paraId="72C8B1D8" w14:textId="77777777">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t>c. The specific amount of the PSF and the method of determining the amount of the PSF.</w:t>
      </w:r>
    </w:p>
    <w:p w:rsidR="00076EA8" w:rsidP="00076EA8" w:rsidRDefault="00076EA8" w14:paraId="185B9917" w14:textId="77777777">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t xml:space="preserve">d. The group of citizens who would be </w:t>
      </w:r>
      <w:proofErr w:type="gramStart"/>
      <w:r>
        <w:rPr>
          <w:rFonts w:ascii="Open Sans" w:hAnsi="Open Sans" w:cs="Open Sans"/>
          <w:color w:val="212529"/>
          <w:sz w:val="21"/>
          <w:szCs w:val="21"/>
        </w:rPr>
        <w:t>charged</w:t>
      </w:r>
      <w:proofErr w:type="gramEnd"/>
      <w:r>
        <w:rPr>
          <w:rFonts w:ascii="Open Sans" w:hAnsi="Open Sans" w:cs="Open Sans"/>
          <w:color w:val="212529"/>
          <w:sz w:val="21"/>
          <w:szCs w:val="21"/>
        </w:rPr>
        <w:t xml:space="preserve"> the PSF.</w:t>
      </w:r>
    </w:p>
    <w:p w:rsidR="00076EA8" w:rsidP="00076EA8" w:rsidRDefault="00076EA8" w14:paraId="0D0CD74F" w14:textId="77777777">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t>e. The criteria established for determining the need for a PSF.</w:t>
      </w:r>
    </w:p>
    <w:p w:rsidR="00076EA8" w:rsidP="00076EA8" w:rsidRDefault="00076EA8" w14:paraId="40AC9DE8"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2. Public hearing at which the city council may receive from the public advice; input and comment concerning the PSF.</w:t>
      </w:r>
    </w:p>
    <w:p w:rsidR="00076EA8" w:rsidP="173D88DF" w:rsidRDefault="00076EA8" w14:paraId="3932AD91" w14:textId="77777777" w14:noSpellErr="1">
      <w:pPr>
        <w:pStyle w:val="p2"/>
        <w:shd w:val="clear" w:color="auto" w:fill="FFFFFF" w:themeFill="background1"/>
        <w:spacing w:before="0" w:beforeAutospacing="off" w:after="300" w:afterAutospacing="off"/>
        <w:ind w:left="552"/>
        <w:textAlignment w:val="baseline"/>
        <w:rPr>
          <w:rFonts w:ascii="Open Sans" w:hAnsi="Open Sans" w:cs="Open Sans"/>
          <w:color w:val="212529"/>
          <w:sz w:val="21"/>
          <w:szCs w:val="21"/>
        </w:rPr>
      </w:pPr>
      <w:commentRangeStart w:id="422411067"/>
      <w:r w:rsidRPr="173D88DF" w:rsidR="00076EA8">
        <w:rPr>
          <w:rFonts w:ascii="Open Sans" w:hAnsi="Open Sans" w:cs="Open Sans"/>
          <w:color w:val="212529"/>
          <w:sz w:val="21"/>
          <w:szCs w:val="21"/>
        </w:rPr>
        <w:t xml:space="preserve">3. Requirement that reporting be done at least annually to report the amount of revenue raised by the PSF, the expenditures from that revenue. This report may be incorporated in the </w:t>
      </w:r>
      <w:r w:rsidRPr="173D88DF" w:rsidR="00076EA8">
        <w:rPr>
          <w:rFonts w:ascii="Open Sans" w:hAnsi="Open Sans" w:cs="Open Sans"/>
          <w:strike w:val="1"/>
          <w:color w:val="212529"/>
          <w:sz w:val="21"/>
          <w:szCs w:val="21"/>
        </w:rPr>
        <w:t xml:space="preserve">annual </w:t>
      </w:r>
      <w:r w:rsidRPr="173D88DF" w:rsidR="00076EA8">
        <w:rPr>
          <w:rFonts w:ascii="Open Sans" w:hAnsi="Open Sans" w:cs="Open Sans"/>
          <w:color w:val="212529"/>
          <w:sz w:val="21"/>
          <w:szCs w:val="21"/>
        </w:rPr>
        <w:t>budget.</w:t>
      </w:r>
      <w:commentRangeEnd w:id="422411067"/>
      <w:r>
        <w:rPr>
          <w:rStyle w:val="CommentReference"/>
        </w:rPr>
        <w:commentReference w:id="422411067"/>
      </w:r>
    </w:p>
    <w:p w:rsidR="00076EA8" w:rsidP="00076EA8" w:rsidRDefault="00076EA8" w14:paraId="683956CF"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C. Order. The city council shall enact each specific PSF through the process set out above using the council’s quasi-judicial authority by enactment of an order. [Ord. </w:t>
      </w:r>
      <w:hyperlink w:tgtFrame="_top" w:history="1" r:id="rId8">
        <w:r>
          <w:rPr>
            <w:rStyle w:val="Hyperlink"/>
            <w:rFonts w:ascii="Open Sans" w:hAnsi="Open Sans" w:cs="Open Sans" w:eastAsiaTheme="majorEastAsia"/>
            <w:color w:val="2E597B"/>
            <w:sz w:val="21"/>
            <w:szCs w:val="21"/>
          </w:rPr>
          <w:t>2714</w:t>
        </w:r>
      </w:hyperlink>
      <w:r>
        <w:rPr>
          <w:rFonts w:ascii="Open Sans" w:hAnsi="Open Sans" w:cs="Open Sans"/>
          <w:color w:val="212529"/>
          <w:sz w:val="21"/>
          <w:szCs w:val="21"/>
        </w:rPr>
        <w:t> § 7 (</w:t>
      </w:r>
      <w:proofErr w:type="spellStart"/>
      <w:r>
        <w:rPr>
          <w:rFonts w:ascii="Open Sans" w:hAnsi="Open Sans" w:cs="Open Sans"/>
          <w:color w:val="212529"/>
          <w:sz w:val="21"/>
          <w:szCs w:val="21"/>
        </w:rPr>
        <w:t>Exh</w:t>
      </w:r>
      <w:proofErr w:type="spellEnd"/>
      <w:r>
        <w:rPr>
          <w:rFonts w:ascii="Open Sans" w:hAnsi="Open Sans" w:cs="Open Sans"/>
          <w:color w:val="212529"/>
          <w:sz w:val="21"/>
          <w:szCs w:val="21"/>
        </w:rPr>
        <w:t>. A), 2009. Code 2001 § 36.35.]</w:t>
      </w:r>
    </w:p>
    <w:p w:rsidR="00076EA8" w:rsidP="00076EA8" w:rsidRDefault="00076EA8" w14:paraId="7AC439CF" w14:textId="77777777">
      <w:pPr>
        <w:pStyle w:val="Heading3"/>
        <w:pBdr>
          <w:left w:val="single" w:color="8C8C8C" w:sz="18" w:space="11"/>
        </w:pBdr>
        <w:shd w:val="clear" w:color="auto" w:fill="F7F7F7"/>
        <w:spacing w:before="240" w:after="240"/>
        <w:textAlignment w:val="baseline"/>
        <w:rPr>
          <w:rFonts w:ascii="Open Sans" w:hAnsi="Open Sans" w:cs="Open Sans"/>
          <w:color w:val="212529"/>
          <w:sz w:val="30"/>
          <w:szCs w:val="30"/>
        </w:rPr>
      </w:pPr>
      <w:bookmarkStart w:name="3.30.020" w:id="1"/>
      <w:r>
        <w:rPr>
          <w:rFonts w:ascii="Open Sans" w:hAnsi="Open Sans" w:cs="Open Sans"/>
          <w:color w:val="212529"/>
          <w:sz w:val="30"/>
          <w:szCs w:val="30"/>
        </w:rPr>
        <w:t>3.30.020</w:t>
      </w:r>
      <w:bookmarkEnd w:id="1"/>
      <w:r>
        <w:rPr>
          <w:rFonts w:ascii="Open Sans" w:hAnsi="Open Sans" w:cs="Open Sans"/>
          <w:color w:val="212529"/>
          <w:sz w:val="30"/>
          <w:szCs w:val="30"/>
        </w:rPr>
        <w:t> Administration and collection.</w:t>
      </w:r>
    </w:p>
    <w:p w:rsidR="00076EA8" w:rsidP="173D88DF" w:rsidRDefault="00076EA8" w14:paraId="54EAA8A5" w14:textId="77777777">
      <w:pPr>
        <w:pStyle w:val="p1"/>
        <w:shd w:val="clear" w:color="auto" w:fill="FFFFFF" w:themeFill="background1"/>
        <w:spacing w:before="0" w:beforeAutospacing="off" w:after="300" w:afterAutospacing="off"/>
        <w:textAlignment w:val="baseline"/>
        <w:rPr>
          <w:rFonts w:ascii="Open Sans" w:hAnsi="Open Sans" w:cs="Open Sans"/>
          <w:color w:val="212529"/>
          <w:sz w:val="21"/>
          <w:szCs w:val="21"/>
        </w:rPr>
      </w:pPr>
      <w:commentRangeStart w:id="41662205"/>
      <w:r w:rsidRPr="173D88DF" w:rsidR="00076EA8">
        <w:rPr>
          <w:rFonts w:ascii="Open Sans" w:hAnsi="Open Sans" w:cs="Open Sans"/>
          <w:color w:val="212529"/>
          <w:sz w:val="21"/>
          <w:szCs w:val="21"/>
        </w:rPr>
        <w:t xml:space="preserve">The city administration will </w:t>
      </w:r>
      <w:r w:rsidRPr="173D88DF" w:rsidR="00076EA8">
        <w:rPr>
          <w:rFonts w:ascii="Open Sans" w:hAnsi="Open Sans" w:cs="Open Sans"/>
          <w:color w:val="212529"/>
          <w:sz w:val="21"/>
          <w:szCs w:val="21"/>
        </w:rPr>
        <w:t>be responsible for</w:t>
      </w:r>
      <w:r w:rsidRPr="173D88DF" w:rsidR="00076EA8">
        <w:rPr>
          <w:rFonts w:ascii="Open Sans" w:hAnsi="Open Sans" w:cs="Open Sans"/>
          <w:color w:val="212529"/>
          <w:sz w:val="21"/>
          <w:szCs w:val="21"/>
        </w:rPr>
        <w:t xml:space="preserve"> billing, collection, and reporting to the city council concerning each PSF. The PSFs may be billed and collected through the city’s utility billing system. The city budget will </w:t>
      </w:r>
      <w:r w:rsidRPr="173D88DF" w:rsidR="00076EA8">
        <w:rPr>
          <w:rFonts w:ascii="Open Sans" w:hAnsi="Open Sans" w:cs="Open Sans"/>
          <w:color w:val="212529"/>
          <w:sz w:val="21"/>
          <w:szCs w:val="21"/>
        </w:rPr>
        <w:t>contain</w:t>
      </w:r>
      <w:r w:rsidRPr="173D88DF" w:rsidR="00076EA8">
        <w:rPr>
          <w:rFonts w:ascii="Open Sans" w:hAnsi="Open Sans" w:cs="Open Sans"/>
          <w:color w:val="212529"/>
          <w:sz w:val="21"/>
          <w:szCs w:val="21"/>
        </w:rPr>
        <w:t xml:space="preserve"> information that clearly </w:t>
      </w:r>
      <w:r w:rsidRPr="173D88DF" w:rsidR="00076EA8">
        <w:rPr>
          <w:rFonts w:ascii="Open Sans" w:hAnsi="Open Sans" w:cs="Open Sans"/>
          <w:color w:val="212529"/>
          <w:sz w:val="21"/>
          <w:szCs w:val="21"/>
        </w:rPr>
        <w:t>indicates</w:t>
      </w:r>
      <w:r w:rsidRPr="173D88DF" w:rsidR="00076EA8">
        <w:rPr>
          <w:rFonts w:ascii="Open Sans" w:hAnsi="Open Sans" w:cs="Open Sans"/>
          <w:color w:val="212529"/>
          <w:sz w:val="21"/>
          <w:szCs w:val="21"/>
        </w:rPr>
        <w:t xml:space="preserve"> the amount of revenue that each PSF is estimated to collect and the proposed expenditures. </w:t>
      </w:r>
      <w:r w:rsidRPr="173D88DF" w:rsidR="00076EA8">
        <w:rPr>
          <w:rFonts w:ascii="Open Sans" w:hAnsi="Open Sans" w:cs="Open Sans"/>
          <w:color w:val="212529"/>
          <w:sz w:val="21"/>
          <w:szCs w:val="21"/>
        </w:rPr>
        <w:t>A</w:t>
      </w:r>
      <w:r w:rsidRPr="173D88DF" w:rsidR="00076EA8">
        <w:rPr>
          <w:rFonts w:ascii="Open Sans" w:hAnsi="Open Sans" w:cs="Open Sans"/>
          <w:strike w:val="1"/>
          <w:color w:val="212529"/>
          <w:sz w:val="21"/>
          <w:szCs w:val="21"/>
        </w:rPr>
        <w:t>n annual</w:t>
      </w:r>
      <w:r w:rsidRPr="173D88DF" w:rsidR="00076EA8">
        <w:rPr>
          <w:rFonts w:ascii="Open Sans" w:hAnsi="Open Sans" w:cs="Open Sans"/>
          <w:color w:val="212529"/>
          <w:sz w:val="21"/>
          <w:szCs w:val="21"/>
        </w:rPr>
        <w:t xml:space="preserve"> report will be made to the city council showing actual revenue collected and </w:t>
      </w:r>
      <w:r w:rsidRPr="173D88DF" w:rsidR="00076EA8">
        <w:rPr>
          <w:rFonts w:ascii="Open Sans" w:hAnsi="Open Sans" w:cs="Open Sans"/>
          <w:color w:val="212529"/>
          <w:sz w:val="21"/>
          <w:szCs w:val="21"/>
        </w:rPr>
        <w:t>expenditures</w:t>
      </w:r>
      <w:r w:rsidRPr="173D88DF" w:rsidR="00076EA8">
        <w:rPr>
          <w:rFonts w:ascii="Open Sans" w:hAnsi="Open Sans" w:cs="Open Sans"/>
          <w:color w:val="212529"/>
          <w:sz w:val="21"/>
          <w:szCs w:val="21"/>
        </w:rPr>
        <w:t xml:space="preserve"> made during the previous fiscal </w:t>
      </w:r>
      <w:r w:rsidRPr="173D88DF" w:rsidR="00076EA8">
        <w:rPr>
          <w:rFonts w:ascii="Open Sans" w:hAnsi="Open Sans" w:cs="Open Sans"/>
          <w:strike w:val="1"/>
          <w:color w:val="212529"/>
          <w:sz w:val="21"/>
          <w:szCs w:val="21"/>
        </w:rPr>
        <w:t>year</w:t>
      </w:r>
      <w:r w:rsidRPr="173D88DF" w:rsidR="00076EA8">
        <w:rPr>
          <w:rFonts w:ascii="Open Sans" w:hAnsi="Open Sans" w:cs="Open Sans"/>
          <w:color w:val="212529"/>
          <w:sz w:val="21"/>
          <w:szCs w:val="21"/>
        </w:rPr>
        <w:t xml:space="preserve"> </w:t>
      </w:r>
      <w:r w:rsidRPr="173D88DF" w:rsidR="00076EA8">
        <w:rPr>
          <w:rFonts w:ascii="Open Sans" w:hAnsi="Open Sans" w:cs="Open Sans"/>
          <w:color w:val="212529"/>
          <w:sz w:val="21"/>
          <w:szCs w:val="21"/>
          <w:u w:val="double"/>
        </w:rPr>
        <w:t>period.</w:t>
      </w:r>
      <w:r w:rsidRPr="173D88DF" w:rsidR="00076EA8">
        <w:rPr>
          <w:rFonts w:ascii="Open Sans" w:hAnsi="Open Sans" w:cs="Open Sans"/>
          <w:color w:val="212529"/>
          <w:sz w:val="21"/>
          <w:szCs w:val="21"/>
        </w:rPr>
        <w:t xml:space="preserve"> This report may be incorporated in the </w:t>
      </w:r>
      <w:r w:rsidRPr="173D88DF" w:rsidR="00076EA8">
        <w:rPr>
          <w:rFonts w:ascii="Open Sans" w:hAnsi="Open Sans" w:cs="Open Sans"/>
          <w:strike w:val="1"/>
          <w:color w:val="212529"/>
          <w:sz w:val="21"/>
          <w:szCs w:val="21"/>
        </w:rPr>
        <w:t>annual</w:t>
      </w:r>
      <w:r w:rsidRPr="173D88DF" w:rsidR="00076EA8">
        <w:rPr>
          <w:rFonts w:ascii="Open Sans" w:hAnsi="Open Sans" w:cs="Open Sans"/>
          <w:color w:val="212529"/>
          <w:sz w:val="21"/>
          <w:szCs w:val="21"/>
        </w:rPr>
        <w:t xml:space="preserve"> budget. [Ord. </w:t>
      </w:r>
      <w:hyperlink r:id="R9dec10696a494ddf">
        <w:r w:rsidRPr="173D88DF" w:rsidR="00076EA8">
          <w:rPr>
            <w:rStyle w:val="Hyperlink"/>
            <w:rFonts w:ascii="Open Sans" w:hAnsi="Open Sans" w:eastAsia="" w:cs="Open Sans" w:eastAsiaTheme="majorEastAsia"/>
            <w:color w:val="2E597B"/>
            <w:sz w:val="21"/>
            <w:szCs w:val="21"/>
          </w:rPr>
          <w:t>2714</w:t>
        </w:r>
      </w:hyperlink>
      <w:r w:rsidRPr="173D88DF" w:rsidR="00076EA8">
        <w:rPr>
          <w:rFonts w:ascii="Open Sans" w:hAnsi="Open Sans" w:cs="Open Sans"/>
          <w:color w:val="212529"/>
          <w:sz w:val="21"/>
          <w:szCs w:val="21"/>
        </w:rPr>
        <w:t> § 7 (</w:t>
      </w:r>
      <w:r w:rsidRPr="173D88DF" w:rsidR="00076EA8">
        <w:rPr>
          <w:rFonts w:ascii="Open Sans" w:hAnsi="Open Sans" w:cs="Open Sans"/>
          <w:color w:val="212529"/>
          <w:sz w:val="21"/>
          <w:szCs w:val="21"/>
        </w:rPr>
        <w:t>Exh</w:t>
      </w:r>
      <w:r w:rsidRPr="173D88DF" w:rsidR="00076EA8">
        <w:rPr>
          <w:rFonts w:ascii="Open Sans" w:hAnsi="Open Sans" w:cs="Open Sans"/>
          <w:color w:val="212529"/>
          <w:sz w:val="21"/>
          <w:szCs w:val="21"/>
        </w:rPr>
        <w:t>. A), 2009. Code 2001 § 36.36.]</w:t>
      </w:r>
      <w:commentRangeEnd w:id="41662205"/>
      <w:r>
        <w:rPr>
          <w:rStyle w:val="CommentReference"/>
        </w:rPr>
        <w:commentReference w:id="41662205"/>
      </w:r>
    </w:p>
    <w:p w:rsidR="0035499A" w:rsidRDefault="0035499A" w14:paraId="6076D556" w14:textId="77777777"/>
    <w:sectPr w:rsidR="0035499A">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WW" w:author="Will Worthey" w:date="2024-08-15T14:33:20" w:id="422411067">
    <w:p w:rsidR="173D88DF" w:rsidRDefault="173D88DF" w14:paraId="28DA9A37" w14:textId="7FEBF3FB">
      <w:pPr>
        <w:pStyle w:val="CommentText"/>
      </w:pPr>
      <w:r w:rsidR="173D88DF">
        <w:rPr/>
        <w:t>A change here.</w:t>
      </w:r>
      <w:r>
        <w:rPr>
          <w:rStyle w:val="CommentReference"/>
        </w:rPr>
        <w:annotationRef/>
      </w:r>
    </w:p>
  </w:comment>
  <w:comment w:initials="WW" w:author="Will Worthey" w:date="2024-08-15T14:33:55" w:id="41662205">
    <w:p w:rsidR="173D88DF" w:rsidRDefault="173D88DF" w14:paraId="2FF55D51" w14:textId="69440C87">
      <w:pPr>
        <w:pStyle w:val="CommentText"/>
      </w:pPr>
      <w:r w:rsidR="173D88DF">
        <w:rPr/>
        <w:t>Several changes here</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28DA9A37"/>
  <w15:commentEx w15:done="0" w15:paraId="2FF55D5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A820F78" w16cex:dateUtc="2024-08-15T21:33:20.897Z"/>
  <w16cex:commentExtensible w16cex:durableId="0507D83B" w16cex:dateUtc="2024-08-15T21:33:55.662Z"/>
</w16cex:commentsExtensible>
</file>

<file path=word/commentsIds.xml><?xml version="1.0" encoding="utf-8"?>
<w16cid:commentsIds xmlns:mc="http://schemas.openxmlformats.org/markup-compatibility/2006" xmlns:w16cid="http://schemas.microsoft.com/office/word/2016/wordml/cid" mc:Ignorable="w16cid">
  <w16cid:commentId w16cid:paraId="28DA9A37" w16cid:durableId="2A820F78"/>
  <w16cid:commentId w16cid:paraId="2FF55D51" w16cid:durableId="0507D83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people.xml><?xml version="1.0" encoding="utf-8"?>
<w15:people xmlns:mc="http://schemas.openxmlformats.org/markup-compatibility/2006" xmlns:w15="http://schemas.microsoft.com/office/word/2012/wordml" mc:Ignorable="w15">
  <w15:person w15:author="Will Worthey">
    <w15:presenceInfo w15:providerId="AD" w15:userId="S::worthey@newbergoregon.gov::7bf4e362-0a1f-4305-8c10-4bc6b6feec2b"/>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EA8"/>
    <w:rsid w:val="00076EA8"/>
    <w:rsid w:val="00354907"/>
    <w:rsid w:val="0035499A"/>
    <w:rsid w:val="003F4887"/>
    <w:rsid w:val="130655E5"/>
    <w:rsid w:val="173D8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6C5A"/>
  <w15:chartTrackingRefBased/>
  <w15:docId w15:val="{DD23439D-137E-4723-BCE7-B64C5E930B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76EA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6EA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76E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6E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6E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6E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E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E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EA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76EA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076EA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076EA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76EA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76EA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76EA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76EA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76EA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76EA8"/>
    <w:rPr>
      <w:rFonts w:eastAsiaTheme="majorEastAsia" w:cstheme="majorBidi"/>
      <w:color w:val="272727" w:themeColor="text1" w:themeTint="D8"/>
    </w:rPr>
  </w:style>
  <w:style w:type="paragraph" w:styleId="Title">
    <w:name w:val="Title"/>
    <w:basedOn w:val="Normal"/>
    <w:next w:val="Normal"/>
    <w:link w:val="TitleChar"/>
    <w:uiPriority w:val="10"/>
    <w:qFormat/>
    <w:rsid w:val="00076EA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76EA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76EA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76E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EA8"/>
    <w:pPr>
      <w:spacing w:before="160"/>
      <w:jc w:val="center"/>
    </w:pPr>
    <w:rPr>
      <w:i/>
      <w:iCs/>
      <w:color w:val="404040" w:themeColor="text1" w:themeTint="BF"/>
    </w:rPr>
  </w:style>
  <w:style w:type="character" w:styleId="QuoteChar" w:customStyle="1">
    <w:name w:val="Quote Char"/>
    <w:basedOn w:val="DefaultParagraphFont"/>
    <w:link w:val="Quote"/>
    <w:uiPriority w:val="29"/>
    <w:rsid w:val="00076EA8"/>
    <w:rPr>
      <w:i/>
      <w:iCs/>
      <w:color w:val="404040" w:themeColor="text1" w:themeTint="BF"/>
    </w:rPr>
  </w:style>
  <w:style w:type="paragraph" w:styleId="ListParagraph">
    <w:name w:val="List Paragraph"/>
    <w:basedOn w:val="Normal"/>
    <w:uiPriority w:val="34"/>
    <w:qFormat/>
    <w:rsid w:val="00076EA8"/>
    <w:pPr>
      <w:ind w:left="720"/>
      <w:contextualSpacing/>
    </w:pPr>
  </w:style>
  <w:style w:type="character" w:styleId="IntenseEmphasis">
    <w:name w:val="Intense Emphasis"/>
    <w:basedOn w:val="DefaultParagraphFont"/>
    <w:uiPriority w:val="21"/>
    <w:qFormat/>
    <w:rsid w:val="00076EA8"/>
    <w:rPr>
      <w:i/>
      <w:iCs/>
      <w:color w:val="0F4761" w:themeColor="accent1" w:themeShade="BF"/>
    </w:rPr>
  </w:style>
  <w:style w:type="paragraph" w:styleId="IntenseQuote">
    <w:name w:val="Intense Quote"/>
    <w:basedOn w:val="Normal"/>
    <w:next w:val="Normal"/>
    <w:link w:val="IntenseQuoteChar"/>
    <w:uiPriority w:val="30"/>
    <w:qFormat/>
    <w:rsid w:val="00076EA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76EA8"/>
    <w:rPr>
      <w:i/>
      <w:iCs/>
      <w:color w:val="0F4761" w:themeColor="accent1" w:themeShade="BF"/>
    </w:rPr>
  </w:style>
  <w:style w:type="character" w:styleId="IntenseReference">
    <w:name w:val="Intense Reference"/>
    <w:basedOn w:val="DefaultParagraphFont"/>
    <w:uiPriority w:val="32"/>
    <w:qFormat/>
    <w:rsid w:val="00076EA8"/>
    <w:rPr>
      <w:b/>
      <w:bCs/>
      <w:smallCaps/>
      <w:color w:val="0F4761" w:themeColor="accent1" w:themeShade="BF"/>
      <w:spacing w:val="5"/>
    </w:rPr>
  </w:style>
  <w:style w:type="paragraph" w:styleId="p1" w:customStyle="1">
    <w:name w:val="p1"/>
    <w:basedOn w:val="Normal"/>
    <w:rsid w:val="00076EA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076EA8"/>
    <w:rPr>
      <w:color w:val="0000FF"/>
      <w:u w:val="single"/>
    </w:rPr>
  </w:style>
  <w:style w:type="paragraph" w:styleId="p2" w:customStyle="1">
    <w:name w:val="p2"/>
    <w:basedOn w:val="Normal"/>
    <w:rsid w:val="00076EA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digch" w:customStyle="1">
    <w:name w:val="digch"/>
    <w:basedOn w:val="Normal"/>
    <w:rsid w:val="00076EA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citetoc" w:customStyle="1">
    <w:name w:val="citetoc"/>
    <w:basedOn w:val="Normal"/>
    <w:rsid w:val="00076EA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p3" w:customStyle="1">
    <w:name w:val="p3"/>
    <w:basedOn w:val="Normal"/>
    <w:rsid w:val="00076EA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depublishing.com/OR/Newberg/html/ords/Ord2714.pdf" TargetMode="External" Id="rId8" /><Relationship Type="http://schemas.openxmlformats.org/officeDocument/2006/relationships/customXml" Target="../customXml/item2.xml" Id="rId13" /><Relationship Type="http://schemas.openxmlformats.org/officeDocument/2006/relationships/webSettings" Target="webSettings.xml" Id="rId3" /><Relationship Type="http://schemas.openxmlformats.org/officeDocument/2006/relationships/hyperlink" Target="https://www.codepublishing.com/OR/Newberg/" TargetMode="External" Id="rId7" /><Relationship Type="http://schemas.openxmlformats.org/officeDocument/2006/relationships/customXml" Target="../customXml/item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codepublishing.com/OR/Newberg/" TargetMode="External" Id="rId6" /><Relationship Type="http://schemas.openxmlformats.org/officeDocument/2006/relationships/theme" Target="theme/theme1.xml" Id="rId11" /><Relationship Type="http://schemas.openxmlformats.org/officeDocument/2006/relationships/hyperlink" Target="https://www.codepublishing.com/OR/Newberg/" TargetMode="External" Id="rId5" /><Relationship Type="http://schemas.openxmlformats.org/officeDocument/2006/relationships/fontTable" Target="fontTable.xml" Id="rId10" /><Relationship Type="http://schemas.openxmlformats.org/officeDocument/2006/relationships/hyperlink" Target="https://www.codepublishing.com/OR/Newberg/" TargetMode="External" Id="rId4" /><Relationship Type="http://schemas.openxmlformats.org/officeDocument/2006/relationships/customXml" Target="../customXml/item3.xml" Id="rId14" /><Relationship Type="http://schemas.openxmlformats.org/officeDocument/2006/relationships/comments" Target="comments.xml" Id="R98f66dd63bc84090" /><Relationship Type="http://schemas.microsoft.com/office/2011/relationships/people" Target="people.xml" Id="R6e592856830e49b4" /><Relationship Type="http://schemas.microsoft.com/office/2011/relationships/commentsExtended" Target="commentsExtended.xml" Id="Rd0d541ac314b4c22" /><Relationship Type="http://schemas.microsoft.com/office/2016/09/relationships/commentsIds" Target="commentsIds.xml" Id="Ra3db864c2b3c4a82" /><Relationship Type="http://schemas.microsoft.com/office/2018/08/relationships/commentsExtensible" Target="commentsExtensible.xml" Id="R3acc5cb6e6b443cf" /><Relationship Type="http://schemas.openxmlformats.org/officeDocument/2006/relationships/hyperlink" Target="https://www.codepublishing.com/OR/Newberg/html/ords/Ord2714.pdf" TargetMode="External" Id="R9dec10696a494d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092462148A9F4B89D199242A34CE01" ma:contentTypeVersion="4" ma:contentTypeDescription="Create a new document." ma:contentTypeScope="" ma:versionID="554a3a5a74c6ca087a8ca6c78541c580">
  <xsd:schema xmlns:xsd="http://www.w3.org/2001/XMLSchema" xmlns:xs="http://www.w3.org/2001/XMLSchema" xmlns:p="http://schemas.microsoft.com/office/2006/metadata/properties" xmlns:ns2="e2133fb3-2a98-4961-a60e-9a235118b1ef" targetNamespace="http://schemas.microsoft.com/office/2006/metadata/properties" ma:root="true" ma:fieldsID="f2ad47347f3fdb0cedba7e5d13268e1c" ns2:_="">
    <xsd:import namespace="e2133fb3-2a98-4961-a60e-9a235118b1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33fb3-2a98-4961-a60e-9a235118b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338B2A-08D7-41DD-A36D-8D699027CBCD}"/>
</file>

<file path=customXml/itemProps2.xml><?xml version="1.0" encoding="utf-8"?>
<ds:datastoreItem xmlns:ds="http://schemas.openxmlformats.org/officeDocument/2006/customXml" ds:itemID="{42E6820B-ABE8-4BE5-976B-249D6C9C1714}"/>
</file>

<file path=customXml/itemProps3.xml><?xml version="1.0" encoding="utf-8"?>
<ds:datastoreItem xmlns:ds="http://schemas.openxmlformats.org/officeDocument/2006/customXml" ds:itemID="{9E35129A-C80E-4B3A-93F8-34013BDDA23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Morris</dc:creator>
  <keywords/>
  <dc:description/>
  <lastModifiedBy>Will Worthey</lastModifiedBy>
  <revision>2</revision>
  <dcterms:created xsi:type="dcterms:W3CDTF">2024-08-14T17:42:00.0000000Z</dcterms:created>
  <dcterms:modified xsi:type="dcterms:W3CDTF">2024-08-15T21:34:04.0967541Z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0x01010097092462148A9F4B89D199242A34CE01</vt:lpwstr>
  </property>
</Properties>
</file>