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FB20" w14:textId="77777777" w:rsidR="00292D50" w:rsidRPr="0061269A" w:rsidRDefault="00292D50" w:rsidP="0061269A">
      <w:pPr>
        <w:pStyle w:val="Banner"/>
        <w:sectPr w:rsidR="00292D50" w:rsidRPr="0061269A" w:rsidSect="00565A5C">
          <w:headerReference w:type="first" r:id="rId8"/>
          <w:footerReference w:type="first" r:id="rId9"/>
          <w:pgSz w:w="12240" w:h="15840" w:code="1"/>
          <w:pgMar w:top="720" w:right="1080" w:bottom="720" w:left="1080" w:header="720" w:footer="432" w:gutter="0"/>
          <w:cols w:space="720"/>
          <w:titlePg/>
          <w:docGrid w:linePitch="360"/>
        </w:sectPr>
      </w:pPr>
    </w:p>
    <w:p w14:paraId="06D58067" w14:textId="413DBC91" w:rsidR="00ED3C14" w:rsidRDefault="00E236F5" w:rsidP="00ED3C14">
      <w:pPr>
        <w:spacing w:after="240"/>
      </w:pPr>
      <w:r>
        <w:t>September 4</w:t>
      </w:r>
      <w:r w:rsidR="00ED3C14">
        <w:t>, 2024</w:t>
      </w:r>
    </w:p>
    <w:p w14:paraId="47ABAB10" w14:textId="77777777" w:rsidR="00ED3C14" w:rsidRDefault="00ED3C14" w:rsidP="00ED3C14">
      <w:pPr>
        <w:spacing w:before="0"/>
      </w:pPr>
      <w:r>
        <w:t>Sarah Miller</w:t>
      </w:r>
    </w:p>
    <w:p w14:paraId="1FCE4EC5" w14:textId="77777777" w:rsidR="00ED3C14" w:rsidRDefault="00ED3C14" w:rsidP="00ED3C14">
      <w:pPr>
        <w:spacing w:before="0"/>
      </w:pPr>
      <w:r>
        <w:t>Heidi Nelson</w:t>
      </w:r>
    </w:p>
    <w:p w14:paraId="48B099C2" w14:textId="77777777" w:rsidR="00ED3C14" w:rsidRPr="00D51330" w:rsidRDefault="00ED3C14" w:rsidP="00ED3C14">
      <w:pPr>
        <w:spacing w:before="0"/>
      </w:pPr>
      <w:r>
        <w:t xml:space="preserve">Rebecca </w:t>
      </w:r>
      <w:proofErr w:type="spellStart"/>
      <w:r>
        <w:t>Digiustino</w:t>
      </w:r>
      <w:proofErr w:type="spellEnd"/>
    </w:p>
    <w:p w14:paraId="3A07782D" w14:textId="77777777" w:rsidR="00ED3C14" w:rsidRPr="00D51330" w:rsidRDefault="00ED3C14" w:rsidP="00ED3C14">
      <w:pPr>
        <w:spacing w:before="0"/>
      </w:pPr>
      <w:r w:rsidRPr="00D51330">
        <w:t>Oregon Department of Environmental Quality</w:t>
      </w:r>
    </w:p>
    <w:p w14:paraId="4B9A21E0" w14:textId="77777777" w:rsidR="00ED3C14" w:rsidRPr="00D51330" w:rsidRDefault="00ED3C14" w:rsidP="00ED3C14">
      <w:pPr>
        <w:spacing w:before="0"/>
      </w:pPr>
      <w:r>
        <w:t>700 NE Multnomah St., Suite 600</w:t>
      </w:r>
    </w:p>
    <w:p w14:paraId="73126BCF" w14:textId="77777777" w:rsidR="00ED3C14" w:rsidRDefault="00ED3C14" w:rsidP="00ED3C14">
      <w:pPr>
        <w:spacing w:before="0" w:after="240"/>
      </w:pPr>
      <w:r>
        <w:t>Portland, Oregon 97232</w:t>
      </w:r>
    </w:p>
    <w:p w14:paraId="24BED172" w14:textId="77777777" w:rsidR="00ED3C14" w:rsidRPr="00D51330" w:rsidRDefault="00ED3C14" w:rsidP="00ED3C14">
      <w:pPr>
        <w:tabs>
          <w:tab w:val="left" w:pos="540"/>
        </w:tabs>
        <w:spacing w:before="0"/>
        <w:rPr>
          <w:b/>
        </w:rPr>
      </w:pPr>
      <w:r w:rsidRPr="00D51330">
        <w:rPr>
          <w:b/>
        </w:rPr>
        <w:t xml:space="preserve">Re: </w:t>
      </w:r>
      <w:r>
        <w:rPr>
          <w:b/>
        </w:rPr>
        <w:tab/>
      </w:r>
      <w:r w:rsidRPr="00D51330">
        <w:rPr>
          <w:b/>
        </w:rPr>
        <w:t>Transmittal</w:t>
      </w:r>
    </w:p>
    <w:p w14:paraId="5F5EBA17" w14:textId="38F5C053" w:rsidR="00ED3C14" w:rsidRDefault="00ED3C14" w:rsidP="00E236F5">
      <w:pPr>
        <w:tabs>
          <w:tab w:val="left" w:pos="540"/>
        </w:tabs>
        <w:spacing w:before="0"/>
        <w:ind w:left="540"/>
        <w:rPr>
          <w:b/>
        </w:rPr>
      </w:pPr>
      <w:r>
        <w:rPr>
          <w:b/>
          <w:iCs/>
        </w:rPr>
        <w:t xml:space="preserve">DEQ Review and Approval of </w:t>
      </w:r>
      <w:r w:rsidR="00E236F5">
        <w:rPr>
          <w:b/>
          <w:iCs/>
        </w:rPr>
        <w:t>Stormwater Treatment Designs for Outfall Basins 57, 58, 65, and 73A</w:t>
      </w:r>
    </w:p>
    <w:p w14:paraId="5015FFD6" w14:textId="77777777" w:rsidR="00ED3C14" w:rsidRDefault="00ED3C14" w:rsidP="00ED3C14">
      <w:pPr>
        <w:spacing w:after="160"/>
        <w:jc w:val="both"/>
      </w:pPr>
      <w:r w:rsidRPr="00D51330">
        <w:t xml:space="preserve">Dear </w:t>
      </w:r>
      <w:r>
        <w:t>Sarah, Heidi, and Rebecca</w:t>
      </w:r>
      <w:r w:rsidRPr="00D51330">
        <w:t>:</w:t>
      </w:r>
    </w:p>
    <w:p w14:paraId="3164E626" w14:textId="52248566" w:rsidR="00BA7D5A" w:rsidRDefault="00E236F5" w:rsidP="005F573C">
      <w:r>
        <w:t xml:space="preserve">This letter </w:t>
      </w:r>
      <w:r w:rsidR="00452CA7">
        <w:t>provides</w:t>
      </w:r>
      <w:r>
        <w:t xml:space="preserve"> an overview and background for the transmittal of stormwater treatment design plans for </w:t>
      </w:r>
      <w:r w:rsidR="00452CA7">
        <w:t xml:space="preserve">the City of Portland’s </w:t>
      </w:r>
      <w:r w:rsidR="009C5F8B">
        <w:t xml:space="preserve">(City’s) </w:t>
      </w:r>
      <w:r w:rsidR="00452CA7">
        <w:t xml:space="preserve">municipal stormwater </w:t>
      </w:r>
      <w:r>
        <w:t>Outfall Basins 57, 58, 65, and 73A</w:t>
      </w:r>
      <w:r w:rsidR="00452CA7">
        <w:t xml:space="preserve">. </w:t>
      </w:r>
      <w:r>
        <w:t>A synopsis of the treatment design</w:t>
      </w:r>
      <w:r w:rsidR="009C5F8B">
        <w:t>, design phase,</w:t>
      </w:r>
      <w:r>
        <w:t xml:space="preserve"> and associated engineer</w:t>
      </w:r>
      <w:r w:rsidR="00A71C8C">
        <w:t>ed</w:t>
      </w:r>
      <w:r>
        <w:t xml:space="preserve"> design drawings </w:t>
      </w:r>
      <w:r w:rsidR="00452CA7">
        <w:t xml:space="preserve">for </w:t>
      </w:r>
      <w:r w:rsidR="00CD4059">
        <w:t>each of the four basins will be sent in separate technical memorandums</w:t>
      </w:r>
      <w:r>
        <w:t>.</w:t>
      </w:r>
      <w:r w:rsidR="00452CA7">
        <w:t xml:space="preserve"> </w:t>
      </w:r>
      <w:r w:rsidR="009C5F8B">
        <w:t>As part of previous intergovernmental agreements (IGAs) between the City and the Oregon Department of Environmental Quality, the City agreed to work cooperatively</w:t>
      </w:r>
      <w:r w:rsidR="00452CA7">
        <w:t xml:space="preserve"> </w:t>
      </w:r>
      <w:r w:rsidR="009C5F8B">
        <w:t>to identify and treat stormwater runoff from selected City-owned roadways in accordance with the City’s Stormwater Management Manual</w:t>
      </w:r>
      <w:r w:rsidR="0011062D">
        <w:t xml:space="preserve"> (SWMM)</w:t>
      </w:r>
      <w:r w:rsidR="009C5F8B">
        <w:t>. In December 2013, BES completed the Final Columbia Slough Outfalls Pre-Design document that identified stormwater treatment facilities that will reduce pollutants</w:t>
      </w:r>
      <w:r w:rsidR="0011062D">
        <w:t xml:space="preserve"> entering the Slough from select City roadways and included identification of stormwater treatment priorities. Based on priorities identified by the City and DEQ, the City</w:t>
      </w:r>
      <w:r w:rsidR="00860EE9">
        <w:t>-</w:t>
      </w:r>
      <w:r w:rsidR="0011062D">
        <w:t xml:space="preserve">approved </w:t>
      </w:r>
      <w:r w:rsidR="00860EE9">
        <w:t>C</w:t>
      </w:r>
      <w:r w:rsidR="0011062D">
        <w:t xml:space="preserve">apital </w:t>
      </w:r>
      <w:r w:rsidR="00860EE9">
        <w:t>I</w:t>
      </w:r>
      <w:r w:rsidR="0011062D">
        <w:t xml:space="preserve">mprovement </w:t>
      </w:r>
      <w:r w:rsidR="00860EE9">
        <w:t>P</w:t>
      </w:r>
      <w:r w:rsidR="0011062D">
        <w:t>rogram (CIP) funds for construction of stormwater treatment facilities in select City municipal stormwater Outfall Basins including Basins 57, 58, 65, and 73A which were identified to have high traffic volumes, serve commercial/industrial land use, discharge near a DEQ-identified sediment area of potential concern (AOPC), or for other reasons, are likely to have elevated</w:t>
      </w:r>
      <w:r w:rsidR="00FF6454">
        <w:t xml:space="preserve"> pollutant loads</w:t>
      </w:r>
      <w:r w:rsidR="0011062D">
        <w:t>.</w:t>
      </w:r>
    </w:p>
    <w:p w14:paraId="299E12A6" w14:textId="5E2800D0" w:rsidR="0011062D" w:rsidRDefault="0011062D" w:rsidP="005F573C">
      <w:r>
        <w:t xml:space="preserve">In May 2024, the City and DEQ </w:t>
      </w:r>
      <w:r w:rsidR="00FF6454">
        <w:t xml:space="preserve">entered into a settlement agreement </w:t>
      </w:r>
      <w:r w:rsidR="00380B6B">
        <w:t>to address environmental contamination and improve watershed health in the Columbia Slough. The agreement, entered into Multnomah County Circuit Court in the form of a Consent Judgment, provided a Scope of Work and associated work plans, including a work plan for completing construction of 15 stormwater treatment facilities in City municipal stormwater Outfall Basins</w:t>
      </w:r>
      <w:r w:rsidR="00380B6B" w:rsidRPr="00380B6B">
        <w:rPr>
          <w:rFonts w:ascii="BookAntiqua" w:hAnsi="BookAntiqua" w:cs="BookAntiqua"/>
          <w:szCs w:val="22"/>
        </w:rPr>
        <w:t xml:space="preserve"> </w:t>
      </w:r>
      <w:r w:rsidR="00380B6B" w:rsidRPr="00380B6B">
        <w:t xml:space="preserve">56C, 57, 58, 59, 60, 61, 61A (a.k.a., CS-253), 62, 62A, 63, 64, 65, </w:t>
      </w:r>
      <w:r w:rsidR="00380B6B" w:rsidRPr="00380B6B">
        <w:lastRenderedPageBreak/>
        <w:t>65A, 73A, and CS-614.</w:t>
      </w:r>
      <w:r w:rsidR="00380B6B">
        <w:t xml:space="preserve"> </w:t>
      </w:r>
      <w:r w:rsidR="00BE2475">
        <w:t xml:space="preserve">As detailed in Section 4.2.1 of the Columbia Slough Basin Stormwater Treatment Projects Work Plan, the City’s Columbia Slough Sediment Program has committed to “provide updates to DEQ on each project on a regular basis through the Semiannual Status Reports, meetings or emails during the development of the 30% Design documents to facilitate a timely review.” Or, </w:t>
      </w:r>
      <w:proofErr w:type="gramStart"/>
      <w:r w:rsidR="00BE2475">
        <w:t>in the event that</w:t>
      </w:r>
      <w:proofErr w:type="gramEnd"/>
      <w:r w:rsidR="00BE2475">
        <w:t xml:space="preserve"> the City adopts an exped</w:t>
      </w:r>
      <w:r w:rsidR="00C6739E">
        <w:t>ited CIP project delivery model, “DEQ’s review and approval may occur at the 60% Design or based on other mutually agreed upon documents.”</w:t>
      </w:r>
    </w:p>
    <w:p w14:paraId="6424B8F4" w14:textId="571CA564" w:rsidR="00C6739E" w:rsidRDefault="00C6739E" w:rsidP="005F573C">
      <w:r>
        <w:t>At the time of Consent Judgment entry, engineering design for Outfall Basins 57, 58, and 65 were already past 30% and design for 73A was in the process of being expedited since these four projects had begun in previous years</w:t>
      </w:r>
      <w:r w:rsidR="00776793">
        <w:rPr>
          <w:rStyle w:val="FootnoteReference"/>
        </w:rPr>
        <w:footnoteReference w:id="1"/>
      </w:r>
      <w:r>
        <w:t>. Accordingly, DEQ’s review of the engineering design will occur after the 30% design. Specifically, the four projects are in the following phases of design or construction:</w:t>
      </w:r>
    </w:p>
    <w:p w14:paraId="7AB2B5E5" w14:textId="4C9CDD90" w:rsidR="00C6739E" w:rsidRDefault="00C6739E" w:rsidP="005F573C">
      <w:r w:rsidRPr="00C6739E">
        <w:rPr>
          <w:b/>
          <w:bCs/>
        </w:rPr>
        <w:t>Outfall Basin 57:</w:t>
      </w:r>
      <w:r>
        <w:t xml:space="preserve">  The 60% Design has been completed, but some modifications are being proposed to reduce scope in low traffic residential areas of the basin in the </w:t>
      </w:r>
      <w:r w:rsidR="00A71C8C">
        <w:t>10</w:t>
      </w:r>
      <w:r>
        <w:t>0% design as discussed with DEQ in</w:t>
      </w:r>
      <w:r w:rsidR="00860EE9">
        <w:t xml:space="preserve"> a</w:t>
      </w:r>
      <w:r>
        <w:t xml:space="preserve"> September 3, </w:t>
      </w:r>
      <w:proofErr w:type="gramStart"/>
      <w:r>
        <w:t>2024</w:t>
      </w:r>
      <w:proofErr w:type="gramEnd"/>
      <w:r>
        <w:t xml:space="preserve"> meeting. </w:t>
      </w:r>
    </w:p>
    <w:p w14:paraId="3619C594" w14:textId="2F83F8A7" w:rsidR="00C6739E" w:rsidRDefault="00C6739E" w:rsidP="005F573C">
      <w:r w:rsidRPr="00C6739E">
        <w:rPr>
          <w:b/>
          <w:bCs/>
        </w:rPr>
        <w:t>Outfall Basin 58:</w:t>
      </w:r>
      <w:r>
        <w:t xml:space="preserve">  Final Design has been completed, and construction which includes a downstream filter vault is currently under construction.</w:t>
      </w:r>
    </w:p>
    <w:p w14:paraId="5A967362" w14:textId="06896F3E" w:rsidR="00C6739E" w:rsidRDefault="00C6739E" w:rsidP="005F573C">
      <w:r w:rsidRPr="002C0B0E">
        <w:rPr>
          <w:b/>
          <w:bCs/>
        </w:rPr>
        <w:t>Outfall Basin 65:</w:t>
      </w:r>
      <w:r w:rsidR="002C0B0E">
        <w:t xml:space="preserve">  Final Design has been completed, and construction which includes a sedimentation maintenance hole and filter vault is currently under construction.</w:t>
      </w:r>
    </w:p>
    <w:p w14:paraId="3D7FB788" w14:textId="750A2CA3" w:rsidR="002C0B0E" w:rsidRDefault="002C0B0E" w:rsidP="005F573C">
      <w:r w:rsidRPr="00776793">
        <w:rPr>
          <w:b/>
          <w:bCs/>
        </w:rPr>
        <w:t>Outfall Basin 73A:</w:t>
      </w:r>
      <w:r>
        <w:t xml:space="preserve"> The project </w:t>
      </w:r>
      <w:r w:rsidR="00E24F48">
        <w:t xml:space="preserve">is part of a local improvement district (LID) approved by City Council in September 2023, is </w:t>
      </w:r>
      <w:r w:rsidR="00776793">
        <w:t>currently being expedited</w:t>
      </w:r>
      <w:r w:rsidR="00E24F48">
        <w:t xml:space="preserve"> in its implementation,</w:t>
      </w:r>
      <w:r w:rsidR="00776793">
        <w:t xml:space="preserve"> </w:t>
      </w:r>
      <w:r w:rsidR="00E24F48">
        <w:t>and has recently reached the</w:t>
      </w:r>
      <w:r w:rsidR="00776793">
        <w:t xml:space="preserve"> 60% design</w:t>
      </w:r>
      <w:r w:rsidR="00E24F48">
        <w:t xml:space="preserve"> milestone</w:t>
      </w:r>
      <w:r w:rsidR="00776793">
        <w:t>.</w:t>
      </w:r>
    </w:p>
    <w:p w14:paraId="2B6DA696" w14:textId="564A66D4" w:rsidR="00776793" w:rsidRDefault="00776793" w:rsidP="005F573C">
      <w:r>
        <w:t>Although these projects ha</w:t>
      </w:r>
      <w:r w:rsidR="00E96B78">
        <w:t>ve</w:t>
      </w:r>
      <w:r>
        <w:t xml:space="preserve"> moved beyond 30% design at the time of the Consent Judgment entry, the Columbia Slough Sediment Program would like to provide the latest design drawings and status reports to DEQ for</w:t>
      </w:r>
      <w:r w:rsidR="00E96B78">
        <w:t xml:space="preserve"> formal</w:t>
      </w:r>
      <w:r>
        <w:t xml:space="preserve"> review and approval. All projec</w:t>
      </w:r>
      <w:r w:rsidR="00E96B78">
        <w:t xml:space="preserve">t designs, including modifications to designs for Basin 57, comply with provisions outlined in the City’s SWMM, the scope of work outlined in the May 2024 Consent Judgment, and the Columbia Slough Basin Stormwater Treatment Projects Work Plan. </w:t>
      </w:r>
    </w:p>
    <w:p w14:paraId="622A583F" w14:textId="521F9CD9" w:rsidR="00E96B78" w:rsidRDefault="00E96B78" w:rsidP="005F573C">
      <w:r>
        <w:t>Please let us know if you have any questions or concerns for these select projects. Moving forward, the City and the City’s Columbia Slough Sediment Program will provide 30% stormwater treatment design reviews for remaining CIP treatment projects in accordance with the approved work plan.</w:t>
      </w:r>
    </w:p>
    <w:p w14:paraId="6B511D21" w14:textId="77777777" w:rsidR="00E96B78" w:rsidRDefault="00E96B78" w:rsidP="00E96B78"/>
    <w:p w14:paraId="526BADAD" w14:textId="21D108F3" w:rsidR="00E96B78" w:rsidRDefault="00E96B78" w:rsidP="00E96B78">
      <w:pPr>
        <w:spacing w:before="120"/>
      </w:pPr>
      <w:r>
        <w:t>Sincerely,</w:t>
      </w:r>
    </w:p>
    <w:p w14:paraId="5F819C72" w14:textId="77777777" w:rsidR="00E96B78" w:rsidRDefault="00E96B78" w:rsidP="00E96B78">
      <w:pPr>
        <w:spacing w:before="120"/>
      </w:pPr>
    </w:p>
    <w:p w14:paraId="04FB710C" w14:textId="77777777" w:rsidR="00E96B78" w:rsidRPr="00D51330" w:rsidRDefault="00E96B78" w:rsidP="00E96B78">
      <w:pPr>
        <w:spacing w:before="0"/>
      </w:pPr>
      <w:r>
        <w:t>Andrew Davidson</w:t>
      </w:r>
    </w:p>
    <w:p w14:paraId="3D2C9DFF" w14:textId="77777777" w:rsidR="00E96B78" w:rsidRDefault="00E96B78" w:rsidP="00E96B78">
      <w:pPr>
        <w:spacing w:before="0"/>
      </w:pPr>
      <w:r>
        <w:t>C</w:t>
      </w:r>
      <w:r w:rsidRPr="00D51330">
        <w:t>o</w:t>
      </w:r>
      <w:r>
        <w:t>lumbia Slough Sediment Program Manager</w:t>
      </w:r>
    </w:p>
    <w:p w14:paraId="73B601CC" w14:textId="77777777" w:rsidR="00E96B78" w:rsidRPr="004C242C" w:rsidRDefault="00E96B78" w:rsidP="00E96B78">
      <w:pPr>
        <w:spacing w:before="0"/>
        <w:rPr>
          <w:sz w:val="18"/>
          <w:szCs w:val="18"/>
        </w:rPr>
      </w:pPr>
    </w:p>
    <w:p w14:paraId="286FD7DC" w14:textId="77777777" w:rsidR="00E96B78" w:rsidRDefault="00E96B78" w:rsidP="00E96B78">
      <w:pPr>
        <w:tabs>
          <w:tab w:val="left" w:pos="540"/>
        </w:tabs>
        <w:spacing w:before="0"/>
        <w:rPr>
          <w:sz w:val="20"/>
          <w:szCs w:val="20"/>
        </w:rPr>
      </w:pPr>
      <w:r w:rsidRPr="00F66B19">
        <w:rPr>
          <w:sz w:val="20"/>
          <w:szCs w:val="20"/>
        </w:rPr>
        <w:t xml:space="preserve">Cc: </w:t>
      </w:r>
      <w:r w:rsidRPr="00F66B19">
        <w:rPr>
          <w:sz w:val="20"/>
          <w:szCs w:val="20"/>
        </w:rPr>
        <w:tab/>
      </w:r>
    </w:p>
    <w:p w14:paraId="30BFD5AE" w14:textId="6C897C06" w:rsidR="00E96B78" w:rsidRDefault="00E96B78" w:rsidP="00E96B78">
      <w:pPr>
        <w:tabs>
          <w:tab w:val="left" w:pos="540"/>
        </w:tabs>
        <w:spacing w:before="0"/>
        <w:rPr>
          <w:b/>
          <w:bCs/>
          <w:sz w:val="20"/>
          <w:szCs w:val="20"/>
        </w:rPr>
      </w:pPr>
      <w:r>
        <w:rPr>
          <w:sz w:val="20"/>
          <w:szCs w:val="20"/>
        </w:rPr>
        <w:tab/>
      </w:r>
      <w:r w:rsidR="00A71C8C">
        <w:rPr>
          <w:sz w:val="20"/>
          <w:szCs w:val="20"/>
        </w:rPr>
        <w:t xml:space="preserve">J. </w:t>
      </w:r>
      <w:r>
        <w:rPr>
          <w:sz w:val="20"/>
          <w:szCs w:val="20"/>
        </w:rPr>
        <w:t>Ruben Gonzalez, PE</w:t>
      </w:r>
      <w:r w:rsidRPr="00E96B78">
        <w:rPr>
          <w:sz w:val="20"/>
          <w:szCs w:val="20"/>
        </w:rPr>
        <w:t>, MSc.</w:t>
      </w:r>
    </w:p>
    <w:p w14:paraId="2A9FE046" w14:textId="0A5B9F61" w:rsidR="00E96B78" w:rsidRPr="002C0B0E" w:rsidRDefault="00E96B78" w:rsidP="00E96B78">
      <w:pPr>
        <w:tabs>
          <w:tab w:val="left" w:pos="540"/>
        </w:tabs>
        <w:spacing w:before="0"/>
      </w:pPr>
      <w:r>
        <w:rPr>
          <w:sz w:val="20"/>
          <w:szCs w:val="20"/>
        </w:rPr>
        <w:tab/>
        <w:t>Libby Smith</w:t>
      </w:r>
      <w:r w:rsidRPr="00F66B19">
        <w:rPr>
          <w:sz w:val="20"/>
          <w:szCs w:val="20"/>
        </w:rPr>
        <w:t>, GSI Water Solutions, Inc.</w:t>
      </w:r>
    </w:p>
    <w:sectPr w:rsidR="00E96B78" w:rsidRPr="002C0B0E" w:rsidSect="00565A5C">
      <w:type w:val="continuous"/>
      <w:pgSz w:w="12240" w:h="15840" w:code="1"/>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9077" w14:textId="77777777" w:rsidR="00ED3C14" w:rsidRDefault="00ED3C14">
      <w:r>
        <w:separator/>
      </w:r>
    </w:p>
  </w:endnote>
  <w:endnote w:type="continuationSeparator" w:id="0">
    <w:p w14:paraId="7CCE7E2C" w14:textId="77777777" w:rsidR="00ED3C14" w:rsidRDefault="00ED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D6F" w14:textId="77777777" w:rsidR="0077204A" w:rsidRDefault="00D60ABB" w:rsidP="00D60ABB">
    <w:pPr>
      <w:pStyle w:val="Footer"/>
      <w:pBdr>
        <w:top w:val="single" w:sz="4" w:space="3" w:color="auto"/>
      </w:pBdr>
      <w:jc w:val="center"/>
    </w:pPr>
    <w:r w:rsidRPr="00AD3471">
      <w:rPr>
        <w:rFonts w:ascii="Calibri" w:hAnsi="Calibri" w:cs="Calibri"/>
        <w:sz w:val="20"/>
        <w:szCs w:val="20"/>
      </w:rPr>
      <w:t>Ph: 503-823-7740</w:t>
    </w:r>
    <w:r w:rsidR="00992B7C">
      <w:rPr>
        <w:rFonts w:ascii="Calibri" w:hAnsi="Calibri" w:cs="Calibri"/>
        <w:sz w:val="20"/>
        <w:szCs w:val="21"/>
      </w:rPr>
      <w:t xml:space="preserve"> </w:t>
    </w:r>
    <w:r w:rsidR="00992B7C" w:rsidRPr="00AD3471">
      <w:rPr>
        <w:rFonts w:ascii="Calibri" w:hAnsi="Calibri" w:cs="Calibri"/>
        <w:sz w:val="20"/>
        <w:szCs w:val="21"/>
      </w:rPr>
      <w:t xml:space="preserve">  </w:t>
    </w:r>
    <w:r w:rsidR="00992B7C" w:rsidRPr="00992B7C">
      <w:rPr>
        <w:rFonts w:ascii="Wingdings" w:hAnsi="Wingdings"/>
        <w:sz w:val="15"/>
        <w:szCs w:val="16"/>
      </w:rPr>
      <w:t>n</w:t>
    </w:r>
    <w:r w:rsidR="00992B7C" w:rsidRPr="00AD3471">
      <w:rPr>
        <w:rFonts w:ascii="Calibri" w:hAnsi="Calibri" w:cs="Calibri"/>
        <w:sz w:val="21"/>
        <w:szCs w:val="22"/>
      </w:rPr>
      <w:t xml:space="preserve">  </w:t>
    </w:r>
    <w:r w:rsidR="00992B7C">
      <w:rPr>
        <w:rFonts w:ascii="Calibri" w:hAnsi="Calibri" w:cs="Calibri"/>
        <w:sz w:val="21"/>
        <w:szCs w:val="22"/>
      </w:rPr>
      <w:t xml:space="preserve"> </w:t>
    </w:r>
    <w:r w:rsidRPr="00AD3471">
      <w:rPr>
        <w:rFonts w:ascii="Calibri" w:hAnsi="Calibri" w:cs="Calibri"/>
        <w:sz w:val="20"/>
        <w:szCs w:val="21"/>
      </w:rPr>
      <w:t>Fax: 503-823-</w:t>
    </w:r>
    <w:r w:rsidR="00AA697F" w:rsidRPr="00AD3471">
      <w:rPr>
        <w:rFonts w:ascii="Calibri" w:hAnsi="Calibri" w:cs="Calibri"/>
        <w:sz w:val="20"/>
        <w:szCs w:val="21"/>
      </w:rPr>
      <w:t>6995</w:t>
    </w:r>
    <w:r w:rsidR="00992B7C">
      <w:rPr>
        <w:rFonts w:ascii="Calibri" w:hAnsi="Calibri" w:cs="Calibri"/>
        <w:sz w:val="20"/>
        <w:szCs w:val="21"/>
      </w:rPr>
      <w:t xml:space="preserve"> </w:t>
    </w:r>
    <w:r w:rsidRPr="00AD3471">
      <w:rPr>
        <w:rFonts w:ascii="Calibri" w:hAnsi="Calibri" w:cs="Calibri"/>
        <w:sz w:val="20"/>
        <w:szCs w:val="21"/>
      </w:rPr>
      <w:t xml:space="preserve">  </w:t>
    </w:r>
    <w:r w:rsidRPr="00992B7C">
      <w:rPr>
        <w:rFonts w:ascii="Wingdings" w:hAnsi="Wingdings"/>
        <w:sz w:val="15"/>
        <w:szCs w:val="16"/>
      </w:rPr>
      <w:t>n</w:t>
    </w:r>
    <w:r w:rsidRPr="00AD3471">
      <w:rPr>
        <w:rFonts w:ascii="Calibri" w:hAnsi="Calibri" w:cs="Calibri"/>
        <w:sz w:val="21"/>
        <w:szCs w:val="22"/>
      </w:rPr>
      <w:t xml:space="preserve">  </w:t>
    </w:r>
    <w:r w:rsidR="00992B7C">
      <w:rPr>
        <w:rFonts w:ascii="Calibri" w:hAnsi="Calibri" w:cs="Calibri"/>
        <w:sz w:val="21"/>
        <w:szCs w:val="22"/>
      </w:rPr>
      <w:t xml:space="preserve"> </w:t>
    </w:r>
    <w:r w:rsidRPr="00AD3471">
      <w:rPr>
        <w:rFonts w:ascii="Calibri" w:hAnsi="Calibri" w:cs="Calibri"/>
        <w:sz w:val="20"/>
        <w:szCs w:val="21"/>
      </w:rPr>
      <w:t>portland.gov/</w:t>
    </w:r>
    <w:proofErr w:type="spellStart"/>
    <w:r w:rsidRPr="00AD3471">
      <w:rPr>
        <w:rFonts w:ascii="Calibri" w:hAnsi="Calibri" w:cs="Calibri"/>
        <w:sz w:val="20"/>
        <w:szCs w:val="21"/>
      </w:rPr>
      <w:t>bes</w:t>
    </w:r>
    <w:proofErr w:type="spellEnd"/>
    <w:r w:rsidRPr="00AD3471">
      <w:rPr>
        <w:rFonts w:ascii="Calibri" w:hAnsi="Calibri" w:cs="Calibri"/>
        <w:sz w:val="20"/>
        <w:szCs w:val="21"/>
      </w:rPr>
      <w:t xml:space="preserve"> </w:t>
    </w:r>
    <w:r w:rsidR="00992B7C">
      <w:rPr>
        <w:rFonts w:ascii="Calibri" w:hAnsi="Calibri" w:cs="Calibri"/>
        <w:sz w:val="20"/>
        <w:szCs w:val="21"/>
      </w:rPr>
      <w:t xml:space="preserve"> </w:t>
    </w:r>
    <w:r w:rsidRPr="00AD3471">
      <w:rPr>
        <w:rFonts w:ascii="Calibri" w:hAnsi="Calibri" w:cs="Calibri"/>
        <w:sz w:val="20"/>
        <w:szCs w:val="21"/>
      </w:rPr>
      <w:t xml:space="preserve"> </w:t>
    </w:r>
    <w:r w:rsidRPr="00992B7C">
      <w:rPr>
        <w:rFonts w:ascii="Wingdings" w:hAnsi="Wingdings"/>
        <w:sz w:val="15"/>
        <w:szCs w:val="16"/>
      </w:rPr>
      <w:t>n</w:t>
    </w:r>
    <w:r w:rsidRPr="00AD3471">
      <w:rPr>
        <w:rFonts w:ascii="Calibri" w:hAnsi="Calibri" w:cs="Calibri"/>
        <w:sz w:val="21"/>
        <w:szCs w:val="22"/>
      </w:rPr>
      <w:t xml:space="preserve"> </w:t>
    </w:r>
    <w:r w:rsidR="00992B7C">
      <w:rPr>
        <w:rFonts w:ascii="Calibri" w:hAnsi="Calibri" w:cs="Calibri"/>
        <w:sz w:val="21"/>
        <w:szCs w:val="22"/>
      </w:rPr>
      <w:t xml:space="preserve"> </w:t>
    </w:r>
    <w:r w:rsidRPr="00AD3471">
      <w:rPr>
        <w:rFonts w:ascii="Calibri" w:hAnsi="Calibri" w:cs="Calibri"/>
        <w:sz w:val="21"/>
        <w:szCs w:val="22"/>
      </w:rPr>
      <w:t xml:space="preserve"> </w:t>
    </w:r>
    <w:r w:rsidRPr="00AD3471">
      <w:rPr>
        <w:rFonts w:ascii="Calibri" w:hAnsi="Calibri" w:cs="Calibri"/>
        <w:sz w:val="20"/>
        <w:szCs w:val="21"/>
      </w:rPr>
      <w:t>An Equal Opportunity Employer</w:t>
    </w:r>
  </w:p>
  <w:p w14:paraId="52478F5C" w14:textId="77777777" w:rsidR="00D60ABB" w:rsidRPr="00697239" w:rsidRDefault="00D60ABB" w:rsidP="00D60ABB">
    <w:pPr>
      <w:pStyle w:val="Footer"/>
      <w:jc w:val="center"/>
      <w:rPr>
        <w:rFonts w:asciiTheme="minorHAnsi" w:hAnsiTheme="minorHAnsi" w:cstheme="minorHAnsi"/>
        <w:sz w:val="16"/>
        <w:szCs w:val="18"/>
      </w:rPr>
    </w:pPr>
    <w:r w:rsidRPr="00697239">
      <w:rPr>
        <w:rFonts w:asciiTheme="minorHAnsi" w:hAnsiTheme="minorHAnsi" w:cstheme="minorHAnsi"/>
        <w:sz w:val="16"/>
        <w:szCs w:val="18"/>
      </w:rPr>
      <w:t>The City of Portland ensures meaningful access to City programs, services, and activities to comply with Civil Rights Title VI and ADA Title II laws and reasonably provides: translation, interpretation, modifications, accommodations, alternative formats, auxiliary aids</w:t>
    </w:r>
    <w:r w:rsidR="00997960" w:rsidRPr="00697239">
      <w:rPr>
        <w:rFonts w:asciiTheme="minorHAnsi" w:hAnsiTheme="minorHAnsi" w:cstheme="minorHAnsi"/>
        <w:sz w:val="16"/>
        <w:szCs w:val="18"/>
      </w:rPr>
      <w:t xml:space="preserve"> </w:t>
    </w:r>
    <w:r w:rsidRPr="00697239">
      <w:rPr>
        <w:rFonts w:asciiTheme="minorHAnsi" w:hAnsiTheme="minorHAnsi" w:cstheme="minorHAnsi"/>
        <w:sz w:val="16"/>
        <w:szCs w:val="18"/>
      </w:rPr>
      <w:t>and services. To request</w:t>
    </w:r>
    <w:r w:rsidR="00AA697F">
      <w:rPr>
        <w:rFonts w:asciiTheme="minorHAnsi" w:hAnsiTheme="minorHAnsi" w:cstheme="minorHAnsi"/>
        <w:sz w:val="16"/>
        <w:szCs w:val="18"/>
      </w:rPr>
      <w:br/>
    </w:r>
    <w:r w:rsidRPr="00697239">
      <w:rPr>
        <w:rFonts w:asciiTheme="minorHAnsi" w:hAnsiTheme="minorHAnsi" w:cstheme="minorHAnsi"/>
        <w:sz w:val="16"/>
        <w:szCs w:val="18"/>
      </w:rPr>
      <w:t>these service</w:t>
    </w:r>
    <w:r w:rsidR="00697239" w:rsidRPr="00697239">
      <w:rPr>
        <w:rFonts w:asciiTheme="minorHAnsi" w:hAnsiTheme="minorHAnsi" w:cstheme="minorHAnsi"/>
        <w:sz w:val="16"/>
        <w:szCs w:val="18"/>
      </w:rPr>
      <w:t xml:space="preserve">s </w:t>
    </w:r>
    <w:r w:rsidRPr="00697239">
      <w:rPr>
        <w:rFonts w:asciiTheme="minorHAnsi" w:hAnsiTheme="minorHAnsi" w:cstheme="minorHAnsi"/>
        <w:sz w:val="16"/>
        <w:szCs w:val="18"/>
      </w:rPr>
      <w:t>or file a complaint of discrimination, contact 503-823-7740 or 311 (503-823-4000), for Relay Service and TTY: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0C76" w14:textId="77777777" w:rsidR="00ED3C14" w:rsidRDefault="00ED3C14">
      <w:r>
        <w:separator/>
      </w:r>
    </w:p>
  </w:footnote>
  <w:footnote w:type="continuationSeparator" w:id="0">
    <w:p w14:paraId="3DD7B3AB" w14:textId="77777777" w:rsidR="00ED3C14" w:rsidRDefault="00ED3C14">
      <w:r>
        <w:continuationSeparator/>
      </w:r>
    </w:p>
  </w:footnote>
  <w:footnote w:id="1">
    <w:p w14:paraId="0101D8B4" w14:textId="1D229517" w:rsidR="00776793" w:rsidRDefault="00776793">
      <w:pPr>
        <w:pStyle w:val="FootnoteText"/>
      </w:pPr>
      <w:r>
        <w:rPr>
          <w:rStyle w:val="FootnoteReference"/>
        </w:rPr>
        <w:footnoteRef/>
      </w:r>
      <w:r>
        <w:t xml:space="preserve"> Updates on the status of stormwater treatment projects in Basins 57, 58, 65, and 73A </w:t>
      </w:r>
      <w:r w:rsidR="00E96B78">
        <w:t>are</w:t>
      </w:r>
      <w:r>
        <w:t xml:space="preserve"> </w:t>
      </w:r>
      <w:r w:rsidR="00E96B78">
        <w:t>also</w:t>
      </w:r>
      <w:r>
        <w:t xml:space="preserve"> provided in the joint City &amp; DEQ Annual Reports for the Columbia Slough Sediment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20C7" w14:textId="77777777" w:rsidR="005F573C" w:rsidRPr="0061269A" w:rsidRDefault="005F573C" w:rsidP="0061269A">
    <w:pPr>
      <w:pStyle w:val="Banner"/>
    </w:pPr>
    <w:r w:rsidRPr="0061269A">
      <w:rPr>
        <w:noProof/>
      </w:rPr>
      <w:drawing>
        <wp:anchor distT="0" distB="0" distL="114300" distR="114300" simplePos="0" relativeHeight="251658240" behindDoc="1" locked="0" layoutInCell="1" allowOverlap="1" wp14:anchorId="447B1A6A" wp14:editId="41B13B9C">
          <wp:simplePos x="0" y="0"/>
          <wp:positionH relativeFrom="margin">
            <wp:posOffset>-452120</wp:posOffset>
          </wp:positionH>
          <wp:positionV relativeFrom="page">
            <wp:posOffset>181610</wp:posOffset>
          </wp:positionV>
          <wp:extent cx="7351776" cy="1207008"/>
          <wp:effectExtent l="0" t="0" r="1905" b="0"/>
          <wp:wrapTight wrapText="bothSides">
            <wp:wrapPolygon edited="0">
              <wp:start x="0" y="0"/>
              <wp:lineTo x="0" y="21373"/>
              <wp:lineTo x="21568" y="21373"/>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51776" cy="12070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AC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5E4D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C2E5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EC2B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C275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3AB1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7C90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1A1A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329E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269D42"/>
    <w:lvl w:ilvl="0">
      <w:start w:val="1"/>
      <w:numFmt w:val="bullet"/>
      <w:lvlText w:val=""/>
      <w:lvlJc w:val="left"/>
      <w:pPr>
        <w:tabs>
          <w:tab w:val="num" w:pos="360"/>
        </w:tabs>
        <w:ind w:left="360" w:hanging="360"/>
      </w:pPr>
      <w:rPr>
        <w:rFonts w:ascii="Symbol" w:hAnsi="Symbol" w:hint="default"/>
      </w:rPr>
    </w:lvl>
  </w:abstractNum>
  <w:num w:numId="1" w16cid:durableId="629364915">
    <w:abstractNumId w:val="0"/>
  </w:num>
  <w:num w:numId="2" w16cid:durableId="1730836279">
    <w:abstractNumId w:val="1"/>
  </w:num>
  <w:num w:numId="3" w16cid:durableId="1757166980">
    <w:abstractNumId w:val="2"/>
  </w:num>
  <w:num w:numId="4" w16cid:durableId="185873973">
    <w:abstractNumId w:val="3"/>
  </w:num>
  <w:num w:numId="5" w16cid:durableId="1339652116">
    <w:abstractNumId w:val="8"/>
  </w:num>
  <w:num w:numId="6" w16cid:durableId="821701017">
    <w:abstractNumId w:val="4"/>
  </w:num>
  <w:num w:numId="7" w16cid:durableId="2012946551">
    <w:abstractNumId w:val="5"/>
  </w:num>
  <w:num w:numId="8" w16cid:durableId="2027100898">
    <w:abstractNumId w:val="6"/>
  </w:num>
  <w:num w:numId="9" w16cid:durableId="1289120224">
    <w:abstractNumId w:val="7"/>
  </w:num>
  <w:num w:numId="10" w16cid:durableId="1445271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14"/>
    <w:rsid w:val="000277B2"/>
    <w:rsid w:val="00030BB1"/>
    <w:rsid w:val="000B3BD9"/>
    <w:rsid w:val="0011062D"/>
    <w:rsid w:val="00120E8C"/>
    <w:rsid w:val="001359D6"/>
    <w:rsid w:val="00171765"/>
    <w:rsid w:val="001963AD"/>
    <w:rsid w:val="00280E64"/>
    <w:rsid w:val="00292D50"/>
    <w:rsid w:val="002C0B0E"/>
    <w:rsid w:val="002C0ECD"/>
    <w:rsid w:val="002E0647"/>
    <w:rsid w:val="00363BFA"/>
    <w:rsid w:val="00380B6B"/>
    <w:rsid w:val="003B4B6A"/>
    <w:rsid w:val="003C536A"/>
    <w:rsid w:val="0044682C"/>
    <w:rsid w:val="00452CA7"/>
    <w:rsid w:val="004F6DD5"/>
    <w:rsid w:val="00565076"/>
    <w:rsid w:val="00565A5C"/>
    <w:rsid w:val="005A01B6"/>
    <w:rsid w:val="005A0E77"/>
    <w:rsid w:val="005C6EA1"/>
    <w:rsid w:val="005E39C1"/>
    <w:rsid w:val="005F573C"/>
    <w:rsid w:val="00600CF9"/>
    <w:rsid w:val="0061269A"/>
    <w:rsid w:val="00613E60"/>
    <w:rsid w:val="00633A5A"/>
    <w:rsid w:val="00697239"/>
    <w:rsid w:val="006C6A79"/>
    <w:rsid w:val="006F6533"/>
    <w:rsid w:val="00763623"/>
    <w:rsid w:val="0077204A"/>
    <w:rsid w:val="00776793"/>
    <w:rsid w:val="007B0313"/>
    <w:rsid w:val="0085334B"/>
    <w:rsid w:val="00860EE9"/>
    <w:rsid w:val="00896D22"/>
    <w:rsid w:val="00992B7C"/>
    <w:rsid w:val="00997960"/>
    <w:rsid w:val="009C5F8B"/>
    <w:rsid w:val="009F7101"/>
    <w:rsid w:val="00A24BF8"/>
    <w:rsid w:val="00A71C8C"/>
    <w:rsid w:val="00A817E4"/>
    <w:rsid w:val="00A81C78"/>
    <w:rsid w:val="00A8537D"/>
    <w:rsid w:val="00A96BD0"/>
    <w:rsid w:val="00A975F1"/>
    <w:rsid w:val="00AA697F"/>
    <w:rsid w:val="00AD3471"/>
    <w:rsid w:val="00AF64AB"/>
    <w:rsid w:val="00B1600C"/>
    <w:rsid w:val="00B22650"/>
    <w:rsid w:val="00B654DC"/>
    <w:rsid w:val="00BA7D5A"/>
    <w:rsid w:val="00BB5D3B"/>
    <w:rsid w:val="00BD20F3"/>
    <w:rsid w:val="00BE2475"/>
    <w:rsid w:val="00C07161"/>
    <w:rsid w:val="00C6739E"/>
    <w:rsid w:val="00C7226B"/>
    <w:rsid w:val="00C839DA"/>
    <w:rsid w:val="00CD4059"/>
    <w:rsid w:val="00D51BF6"/>
    <w:rsid w:val="00D60ABB"/>
    <w:rsid w:val="00DD06FF"/>
    <w:rsid w:val="00DD11F7"/>
    <w:rsid w:val="00E236F5"/>
    <w:rsid w:val="00E24F48"/>
    <w:rsid w:val="00E44122"/>
    <w:rsid w:val="00E53CD3"/>
    <w:rsid w:val="00E81CC9"/>
    <w:rsid w:val="00E940B0"/>
    <w:rsid w:val="00E96B78"/>
    <w:rsid w:val="00EC7BC2"/>
    <w:rsid w:val="00ED3C14"/>
    <w:rsid w:val="00EF74A1"/>
    <w:rsid w:val="00F11B3C"/>
    <w:rsid w:val="00F65155"/>
    <w:rsid w:val="00F727D4"/>
    <w:rsid w:val="00FB5524"/>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3FDC66"/>
  <w15:chartTrackingRefBased/>
  <w15:docId w15:val="{1D13985D-78EA-40A5-82E0-902E4B8D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C14"/>
    <w:pPr>
      <w:spacing w:before="240"/>
    </w:pPr>
    <w:rPr>
      <w:rFonts w:ascii="Book Antiqua" w:hAnsi="Book Antiqua"/>
      <w:sz w:val="22"/>
      <w:szCs w:val="24"/>
    </w:rPr>
  </w:style>
  <w:style w:type="paragraph" w:styleId="Heading1">
    <w:name w:val="heading 1"/>
    <w:basedOn w:val="Normal"/>
    <w:next w:val="Normal"/>
    <w:link w:val="Heading1Char"/>
    <w:qFormat/>
    <w:rsid w:val="0061269A"/>
    <w:pPr>
      <w:keepNext/>
      <w:keepLines/>
      <w:outlineLvl w:val="0"/>
    </w:pPr>
    <w:rPr>
      <w:rFonts w:ascii="Franklin Gothic Demi" w:eastAsiaTheme="majorEastAsia" w:hAnsi="Franklin Gothic Demi" w:cstheme="majorBidi"/>
      <w:color w:val="000000" w:themeColor="text1"/>
      <w:sz w:val="28"/>
      <w:szCs w:val="32"/>
    </w:rPr>
  </w:style>
  <w:style w:type="paragraph" w:styleId="Heading2">
    <w:name w:val="heading 2"/>
    <w:basedOn w:val="Normal"/>
    <w:next w:val="Normal"/>
    <w:link w:val="Heading2Char"/>
    <w:unhideWhenUsed/>
    <w:qFormat/>
    <w:rsid w:val="0061269A"/>
    <w:pPr>
      <w:keepNext/>
      <w:keepLines/>
      <w:spacing w:before="40"/>
      <w:outlineLvl w:val="1"/>
    </w:pPr>
    <w:rPr>
      <w:rFonts w:ascii="Franklin Gothic Demi" w:eastAsiaTheme="majorEastAsia" w:hAnsi="Franklin Gothic Demi"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2D50"/>
    <w:pPr>
      <w:tabs>
        <w:tab w:val="center" w:pos="4320"/>
        <w:tab w:val="right" w:pos="8640"/>
      </w:tabs>
    </w:pPr>
  </w:style>
  <w:style w:type="paragraph" w:styleId="Footer">
    <w:name w:val="footer"/>
    <w:basedOn w:val="Normal"/>
    <w:rsid w:val="00292D50"/>
    <w:pPr>
      <w:tabs>
        <w:tab w:val="center" w:pos="4320"/>
        <w:tab w:val="right" w:pos="8640"/>
      </w:tabs>
    </w:pPr>
  </w:style>
  <w:style w:type="character" w:customStyle="1" w:styleId="Heading1Char">
    <w:name w:val="Heading 1 Char"/>
    <w:basedOn w:val="DefaultParagraphFont"/>
    <w:link w:val="Heading1"/>
    <w:rsid w:val="0061269A"/>
    <w:rPr>
      <w:rFonts w:ascii="Franklin Gothic Demi" w:eastAsiaTheme="majorEastAsia" w:hAnsi="Franklin Gothic Demi" w:cstheme="majorBidi"/>
      <w:color w:val="000000" w:themeColor="text1"/>
      <w:sz w:val="28"/>
      <w:szCs w:val="32"/>
    </w:rPr>
  </w:style>
  <w:style w:type="character" w:customStyle="1" w:styleId="Heading2Char">
    <w:name w:val="Heading 2 Char"/>
    <w:basedOn w:val="DefaultParagraphFont"/>
    <w:link w:val="Heading2"/>
    <w:rsid w:val="0061269A"/>
    <w:rPr>
      <w:rFonts w:ascii="Franklin Gothic Demi" w:eastAsiaTheme="majorEastAsia" w:hAnsi="Franklin Gothic Demi" w:cstheme="majorBidi"/>
      <w:color w:val="000000" w:themeColor="text1"/>
      <w:sz w:val="24"/>
      <w:szCs w:val="26"/>
    </w:rPr>
  </w:style>
  <w:style w:type="paragraph" w:customStyle="1" w:styleId="AddressSignatureBlock">
    <w:name w:val="Address/Signature Block"/>
    <w:basedOn w:val="Normal"/>
    <w:qFormat/>
    <w:rsid w:val="00BD20F3"/>
    <w:pPr>
      <w:contextualSpacing/>
    </w:pPr>
  </w:style>
  <w:style w:type="paragraph" w:customStyle="1" w:styleId="Banner">
    <w:name w:val="Banner"/>
    <w:basedOn w:val="Normal"/>
    <w:qFormat/>
    <w:rsid w:val="0061269A"/>
    <w:pPr>
      <w:spacing w:before="0"/>
    </w:pPr>
  </w:style>
  <w:style w:type="paragraph" w:styleId="FootnoteText">
    <w:name w:val="footnote text"/>
    <w:basedOn w:val="Normal"/>
    <w:link w:val="FootnoteTextChar"/>
    <w:rsid w:val="00776793"/>
    <w:pPr>
      <w:spacing w:before="0"/>
    </w:pPr>
    <w:rPr>
      <w:sz w:val="20"/>
      <w:szCs w:val="20"/>
    </w:rPr>
  </w:style>
  <w:style w:type="character" w:customStyle="1" w:styleId="FootnoteTextChar">
    <w:name w:val="Footnote Text Char"/>
    <w:basedOn w:val="DefaultParagraphFont"/>
    <w:link w:val="FootnoteText"/>
    <w:rsid w:val="00776793"/>
    <w:rPr>
      <w:rFonts w:ascii="Book Antiqua" w:hAnsi="Book Antiqua"/>
    </w:rPr>
  </w:style>
  <w:style w:type="character" w:styleId="FootnoteReference">
    <w:name w:val="footnote reference"/>
    <w:basedOn w:val="DefaultParagraphFont"/>
    <w:rsid w:val="00776793"/>
    <w:rPr>
      <w:vertAlign w:val="superscript"/>
    </w:rPr>
  </w:style>
  <w:style w:type="paragraph" w:styleId="Revision">
    <w:name w:val="Revision"/>
    <w:hidden/>
    <w:uiPriority w:val="99"/>
    <w:semiHidden/>
    <w:rsid w:val="00A71C8C"/>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avidson\OneDrive%20-%20CITY%20OF%20PORTLAND,%20BUREAU%20OF%20TECH.%20SERVICES\Documents\bes-portland-bldg-letterhea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CF37-F816-48D9-8CF4-12996436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bes-portland-bldg-letterhead_0</Template>
  <TotalTime>1</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Portland</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Andrew</dc:creator>
  <cp:keywords/>
  <dc:description/>
  <cp:lastModifiedBy>Davidson, Andrew</cp:lastModifiedBy>
  <cp:revision>2</cp:revision>
  <cp:lastPrinted>2024-06-30T22:38:00Z</cp:lastPrinted>
  <dcterms:created xsi:type="dcterms:W3CDTF">2024-09-18T20:09:00Z</dcterms:created>
  <dcterms:modified xsi:type="dcterms:W3CDTF">2024-09-18T20:09:00Z</dcterms:modified>
</cp:coreProperties>
</file>