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C6548" w14:textId="7BE21416" w:rsidR="00B45A68" w:rsidRPr="008025EF" w:rsidRDefault="00512BDD" w:rsidP="00B45A68">
      <w:pPr>
        <w:pStyle w:val="Heading1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September</w:t>
      </w:r>
      <w:r w:rsidR="000900AF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0900AF">
        <w:rPr>
          <w:sz w:val="22"/>
          <w:szCs w:val="22"/>
        </w:rPr>
        <w:t>, 2024</w:t>
      </w:r>
    </w:p>
    <w:p w14:paraId="5046591E" w14:textId="77777777" w:rsidR="00B45A68" w:rsidRPr="008025EF" w:rsidRDefault="00B45A68" w:rsidP="00B45A68">
      <w:pPr>
        <w:spacing w:line="264" w:lineRule="auto"/>
        <w:rPr>
          <w:sz w:val="22"/>
          <w:szCs w:val="22"/>
        </w:rPr>
      </w:pPr>
    </w:p>
    <w:p w14:paraId="03E7336B" w14:textId="77777777" w:rsidR="00512BDD" w:rsidRPr="00512BDD" w:rsidRDefault="00512BDD" w:rsidP="00512BDD">
      <w:pPr>
        <w:spacing w:line="264" w:lineRule="auto"/>
        <w:rPr>
          <w:sz w:val="22"/>
          <w:szCs w:val="22"/>
        </w:rPr>
      </w:pPr>
      <w:r w:rsidRPr="00512BDD">
        <w:rPr>
          <w:sz w:val="22"/>
          <w:szCs w:val="22"/>
        </w:rPr>
        <w:t>Nicole Utz</w:t>
      </w:r>
    </w:p>
    <w:p w14:paraId="70E9FF60" w14:textId="77777777" w:rsidR="00512BDD" w:rsidRPr="00512BDD" w:rsidRDefault="00512BDD" w:rsidP="00512BDD">
      <w:pPr>
        <w:rPr>
          <w:sz w:val="22"/>
          <w:szCs w:val="22"/>
        </w:rPr>
      </w:pPr>
      <w:r w:rsidRPr="00512BDD">
        <w:rPr>
          <w:sz w:val="22"/>
          <w:szCs w:val="22"/>
        </w:rPr>
        <w:t>Salem Housing Authority</w:t>
      </w:r>
    </w:p>
    <w:p w14:paraId="5BF70A46" w14:textId="77777777" w:rsidR="00512BDD" w:rsidRPr="00512BDD" w:rsidRDefault="00512BDD" w:rsidP="00512BDD">
      <w:pPr>
        <w:rPr>
          <w:sz w:val="22"/>
          <w:szCs w:val="22"/>
        </w:rPr>
      </w:pPr>
      <w:r w:rsidRPr="00512BDD">
        <w:rPr>
          <w:sz w:val="22"/>
          <w:szCs w:val="22"/>
        </w:rPr>
        <w:t>360 Church Street SE</w:t>
      </w:r>
    </w:p>
    <w:p w14:paraId="672E48EE" w14:textId="2F51F7C6" w:rsidR="00B45A68" w:rsidRDefault="00512BDD" w:rsidP="00512BDD">
      <w:pPr>
        <w:rPr>
          <w:sz w:val="22"/>
          <w:szCs w:val="22"/>
        </w:rPr>
      </w:pPr>
      <w:r w:rsidRPr="00512BDD">
        <w:rPr>
          <w:sz w:val="22"/>
          <w:szCs w:val="22"/>
        </w:rPr>
        <w:t>Salem, OR 97301</w:t>
      </w:r>
    </w:p>
    <w:p w14:paraId="2653BF90" w14:textId="77777777" w:rsidR="00512BDD" w:rsidRPr="008025EF" w:rsidRDefault="00512BDD" w:rsidP="00512BDD">
      <w:pPr>
        <w:rPr>
          <w:sz w:val="22"/>
          <w:szCs w:val="22"/>
        </w:rPr>
      </w:pPr>
    </w:p>
    <w:p w14:paraId="75B0CDA4" w14:textId="15AE59BA" w:rsidR="00B45A68" w:rsidRPr="008025EF" w:rsidRDefault="00B45A68" w:rsidP="00B45A68">
      <w:pPr>
        <w:ind w:left="720" w:hanging="720"/>
        <w:rPr>
          <w:sz w:val="22"/>
          <w:szCs w:val="22"/>
        </w:rPr>
      </w:pPr>
      <w:r w:rsidRPr="008025EF">
        <w:rPr>
          <w:sz w:val="22"/>
          <w:szCs w:val="22"/>
        </w:rPr>
        <w:t>RE:</w:t>
      </w:r>
      <w:r w:rsidRPr="008025EF">
        <w:rPr>
          <w:sz w:val="22"/>
          <w:szCs w:val="22"/>
        </w:rPr>
        <w:tab/>
        <w:t>No Further Action Determination</w:t>
      </w:r>
      <w:r w:rsidRPr="008025EF">
        <w:rPr>
          <w:sz w:val="22"/>
          <w:szCs w:val="22"/>
        </w:rPr>
        <w:br/>
        <w:t xml:space="preserve">for </w:t>
      </w:r>
      <w:r w:rsidR="00255F78">
        <w:rPr>
          <w:sz w:val="22"/>
          <w:szCs w:val="22"/>
        </w:rPr>
        <w:t>Sequioa Crossings</w:t>
      </w:r>
      <w:r w:rsidR="00BB2E26" w:rsidRPr="00BB2E26">
        <w:rPr>
          <w:sz w:val="22"/>
          <w:szCs w:val="22"/>
        </w:rPr>
        <w:t xml:space="preserve"> </w:t>
      </w:r>
      <w:r w:rsidR="00BB2E26">
        <w:rPr>
          <w:sz w:val="22"/>
          <w:szCs w:val="22"/>
        </w:rPr>
        <w:t>–</w:t>
      </w:r>
      <w:r w:rsidR="00BB2E26" w:rsidRPr="00BB2E26">
        <w:rPr>
          <w:sz w:val="22"/>
          <w:szCs w:val="22"/>
        </w:rPr>
        <w:t xml:space="preserve"> </w:t>
      </w:r>
      <w:r w:rsidR="00255F78">
        <w:rPr>
          <w:sz w:val="22"/>
          <w:szCs w:val="22"/>
        </w:rPr>
        <w:t>Salem</w:t>
      </w:r>
      <w:r w:rsidR="00BB2E26">
        <w:rPr>
          <w:sz w:val="22"/>
          <w:szCs w:val="22"/>
        </w:rPr>
        <w:t xml:space="preserve">, </w:t>
      </w:r>
    </w:p>
    <w:p w14:paraId="1ACDFE19" w14:textId="6AF2CF5C" w:rsidR="00B45A68" w:rsidRPr="008025EF" w:rsidRDefault="00B45A68" w:rsidP="00B45A68">
      <w:pPr>
        <w:ind w:firstLine="720"/>
        <w:rPr>
          <w:sz w:val="22"/>
          <w:szCs w:val="22"/>
        </w:rPr>
      </w:pPr>
      <w:r w:rsidRPr="00BB2E26">
        <w:rPr>
          <w:sz w:val="22"/>
          <w:szCs w:val="22"/>
        </w:rPr>
        <w:t>ECSI #</w:t>
      </w:r>
      <w:r w:rsidR="00255F78">
        <w:rPr>
          <w:sz w:val="22"/>
          <w:szCs w:val="22"/>
        </w:rPr>
        <w:t>6509</w:t>
      </w:r>
    </w:p>
    <w:p w14:paraId="6B99BFC0" w14:textId="77777777" w:rsidR="00B45A68" w:rsidRPr="008025EF" w:rsidRDefault="00B45A68" w:rsidP="00B45A68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14:paraId="045E0B36" w14:textId="6984DE5A" w:rsidR="00B45A68" w:rsidRPr="008025EF" w:rsidRDefault="00B45A68" w:rsidP="00B45A68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8025EF">
        <w:rPr>
          <w:sz w:val="22"/>
          <w:szCs w:val="22"/>
        </w:rPr>
        <w:t xml:space="preserve">Dear </w:t>
      </w:r>
      <w:r w:rsidR="00512BDD">
        <w:rPr>
          <w:sz w:val="22"/>
          <w:szCs w:val="22"/>
        </w:rPr>
        <w:t>Ms. Utz</w:t>
      </w:r>
      <w:r w:rsidRPr="008025EF">
        <w:rPr>
          <w:sz w:val="22"/>
          <w:szCs w:val="22"/>
        </w:rPr>
        <w:t>:</w:t>
      </w:r>
    </w:p>
    <w:p w14:paraId="26E0BDCE" w14:textId="77777777" w:rsidR="00B45A68" w:rsidRPr="008025EF" w:rsidRDefault="00B45A68" w:rsidP="00B45A68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14:paraId="2408B418" w14:textId="26753618" w:rsidR="00255F78" w:rsidRPr="00255F78" w:rsidRDefault="00B45A68" w:rsidP="00255F78">
      <w:pPr>
        <w:tabs>
          <w:tab w:val="left" w:pos="-720"/>
        </w:tabs>
        <w:suppressAutoHyphens/>
        <w:rPr>
          <w:sz w:val="22"/>
          <w:szCs w:val="22"/>
        </w:rPr>
      </w:pPr>
      <w:r w:rsidRPr="008025EF">
        <w:rPr>
          <w:sz w:val="22"/>
          <w:szCs w:val="22"/>
        </w:rPr>
        <w:t xml:space="preserve">The Oregon Department of Environmental Quality (DEQ) has completed a review of the available information </w:t>
      </w:r>
      <w:r w:rsidR="00081834">
        <w:rPr>
          <w:sz w:val="22"/>
          <w:szCs w:val="22"/>
        </w:rPr>
        <w:t xml:space="preserve">for the </w:t>
      </w:r>
      <w:r w:rsidR="00255F78">
        <w:rPr>
          <w:sz w:val="22"/>
          <w:szCs w:val="22"/>
        </w:rPr>
        <w:t>Sequioa Crossings</w:t>
      </w:r>
      <w:r w:rsidR="004D13A8">
        <w:rPr>
          <w:sz w:val="22"/>
          <w:szCs w:val="22"/>
        </w:rPr>
        <w:t xml:space="preserve"> </w:t>
      </w:r>
      <w:r w:rsidR="00081834">
        <w:rPr>
          <w:sz w:val="22"/>
          <w:szCs w:val="22"/>
        </w:rPr>
        <w:t>site/property, including the</w:t>
      </w:r>
      <w:r w:rsidR="00944D12">
        <w:rPr>
          <w:sz w:val="22"/>
          <w:szCs w:val="22"/>
        </w:rPr>
        <w:t xml:space="preserve"> </w:t>
      </w:r>
      <w:r w:rsidRPr="008025EF">
        <w:rPr>
          <w:sz w:val="22"/>
          <w:szCs w:val="22"/>
        </w:rPr>
        <w:t xml:space="preserve">closure report entitled </w:t>
      </w:r>
      <w:r w:rsidR="00255F78">
        <w:rPr>
          <w:sz w:val="22"/>
          <w:szCs w:val="22"/>
        </w:rPr>
        <w:t xml:space="preserve">Environmental Summary and Closure Report </w:t>
      </w:r>
      <w:r w:rsidRPr="008025EF">
        <w:rPr>
          <w:sz w:val="22"/>
          <w:szCs w:val="22"/>
        </w:rPr>
        <w:t xml:space="preserve">dated </w:t>
      </w:r>
      <w:r w:rsidR="00255F78">
        <w:rPr>
          <w:sz w:val="22"/>
          <w:szCs w:val="22"/>
        </w:rPr>
        <w:t>June 20, 2024</w:t>
      </w:r>
      <w:r w:rsidR="004D13A8">
        <w:rPr>
          <w:sz w:val="22"/>
          <w:szCs w:val="22"/>
        </w:rPr>
        <w:t>,</w:t>
      </w:r>
      <w:r w:rsidRPr="008025EF">
        <w:rPr>
          <w:sz w:val="22"/>
          <w:szCs w:val="22"/>
        </w:rPr>
        <w:t xml:space="preserve"> </w:t>
      </w:r>
      <w:r w:rsidR="0099214E">
        <w:rPr>
          <w:sz w:val="22"/>
          <w:szCs w:val="22"/>
        </w:rPr>
        <w:t>which was</w:t>
      </w:r>
      <w:r w:rsidR="0099214E" w:rsidRPr="008025EF">
        <w:rPr>
          <w:sz w:val="22"/>
          <w:szCs w:val="22"/>
        </w:rPr>
        <w:t xml:space="preserve"> </w:t>
      </w:r>
      <w:r w:rsidRPr="008025EF">
        <w:rPr>
          <w:sz w:val="22"/>
          <w:szCs w:val="22"/>
        </w:rPr>
        <w:t>submitted to DEQ</w:t>
      </w:r>
      <w:r w:rsidR="0099214E">
        <w:rPr>
          <w:sz w:val="22"/>
          <w:szCs w:val="22"/>
        </w:rPr>
        <w:t xml:space="preserve"> by </w:t>
      </w:r>
      <w:r w:rsidR="00255F78">
        <w:rPr>
          <w:sz w:val="22"/>
          <w:szCs w:val="22"/>
        </w:rPr>
        <w:t>NV5</w:t>
      </w:r>
      <w:r w:rsidR="004D13A8">
        <w:rPr>
          <w:sz w:val="22"/>
          <w:szCs w:val="22"/>
        </w:rPr>
        <w:t xml:space="preserve"> </w:t>
      </w:r>
      <w:r w:rsidR="00255F78">
        <w:rPr>
          <w:sz w:val="22"/>
          <w:szCs w:val="22"/>
        </w:rPr>
        <w:t>Consulting</w:t>
      </w:r>
      <w:r w:rsidR="004D13A8">
        <w:rPr>
          <w:sz w:val="22"/>
          <w:szCs w:val="22"/>
        </w:rPr>
        <w:t>,</w:t>
      </w:r>
      <w:r w:rsidRPr="008025EF">
        <w:rPr>
          <w:sz w:val="22"/>
          <w:szCs w:val="22"/>
        </w:rPr>
        <w:t xml:space="preserve"> on your behalf. The </w:t>
      </w:r>
      <w:r w:rsidR="00255F78">
        <w:rPr>
          <w:sz w:val="22"/>
          <w:szCs w:val="22"/>
        </w:rPr>
        <w:t>Sequioa Crossings</w:t>
      </w:r>
      <w:r w:rsidR="004D13A8">
        <w:rPr>
          <w:sz w:val="22"/>
          <w:szCs w:val="22"/>
        </w:rPr>
        <w:t xml:space="preserve"> </w:t>
      </w:r>
      <w:r w:rsidR="0064221F">
        <w:rPr>
          <w:sz w:val="22"/>
          <w:szCs w:val="22"/>
        </w:rPr>
        <w:t>i</w:t>
      </w:r>
      <w:r w:rsidRPr="008025EF">
        <w:rPr>
          <w:sz w:val="22"/>
          <w:szCs w:val="22"/>
        </w:rPr>
        <w:t xml:space="preserve">s </w:t>
      </w:r>
      <w:r w:rsidR="0064221F">
        <w:rPr>
          <w:sz w:val="22"/>
          <w:szCs w:val="22"/>
        </w:rPr>
        <w:t xml:space="preserve">located at </w:t>
      </w:r>
      <w:r w:rsidR="00255F78" w:rsidRPr="00255F78">
        <w:rPr>
          <w:sz w:val="22"/>
          <w:szCs w:val="22"/>
        </w:rPr>
        <w:t>2950 Broadway Street NE</w:t>
      </w:r>
      <w:r w:rsidR="004D13A8" w:rsidRPr="004D13A8">
        <w:rPr>
          <w:sz w:val="22"/>
          <w:szCs w:val="22"/>
        </w:rPr>
        <w:t>, Salem</w:t>
      </w:r>
      <w:r w:rsidRPr="008025EF">
        <w:rPr>
          <w:sz w:val="22"/>
          <w:szCs w:val="22"/>
        </w:rPr>
        <w:t xml:space="preserve">, </w:t>
      </w:r>
      <w:r w:rsidR="004D13A8" w:rsidRPr="004D13A8">
        <w:rPr>
          <w:sz w:val="22"/>
          <w:szCs w:val="22"/>
        </w:rPr>
        <w:t xml:space="preserve">Marion County Map </w:t>
      </w:r>
      <w:r w:rsidR="00255F78" w:rsidRPr="00255F78">
        <w:rPr>
          <w:sz w:val="22"/>
          <w:szCs w:val="22"/>
        </w:rPr>
        <w:t>The subject</w:t>
      </w:r>
      <w:r w:rsidR="00255F78">
        <w:rPr>
          <w:sz w:val="22"/>
          <w:szCs w:val="22"/>
        </w:rPr>
        <w:t xml:space="preserve"> </w:t>
      </w:r>
      <w:r w:rsidR="00255F78" w:rsidRPr="00255F78">
        <w:rPr>
          <w:sz w:val="22"/>
          <w:szCs w:val="22"/>
        </w:rPr>
        <w:t>property includes Tax Lot 4800 of Marion County Tax Map 073W11CC and consists of</w:t>
      </w:r>
    </w:p>
    <w:p w14:paraId="16DE619A" w14:textId="7CF1D56E" w:rsidR="00B45A68" w:rsidRPr="008025EF" w:rsidRDefault="00255F78" w:rsidP="00255F78">
      <w:pPr>
        <w:tabs>
          <w:tab w:val="left" w:pos="-720"/>
        </w:tabs>
        <w:suppressAutoHyphens/>
        <w:rPr>
          <w:spacing w:val="-3"/>
          <w:sz w:val="22"/>
          <w:szCs w:val="22"/>
        </w:rPr>
      </w:pPr>
      <w:r w:rsidRPr="00255F78">
        <w:rPr>
          <w:sz w:val="22"/>
          <w:szCs w:val="22"/>
        </w:rPr>
        <w:t xml:space="preserve">2.78 </w:t>
      </w:r>
      <w:proofErr w:type="gramStart"/>
      <w:r w:rsidRPr="00255F78">
        <w:rPr>
          <w:sz w:val="22"/>
          <w:szCs w:val="22"/>
        </w:rPr>
        <w:t>acres.</w:t>
      </w:r>
      <w:r w:rsidR="00B45A68" w:rsidRPr="008025EF">
        <w:rPr>
          <w:sz w:val="22"/>
          <w:szCs w:val="22"/>
        </w:rPr>
        <w:t>.</w:t>
      </w:r>
      <w:proofErr w:type="gramEnd"/>
      <w:r w:rsidR="00B45A68" w:rsidRPr="008025EF">
        <w:rPr>
          <w:sz w:val="22"/>
          <w:szCs w:val="22"/>
        </w:rPr>
        <w:t xml:space="preserve"> </w:t>
      </w:r>
    </w:p>
    <w:p w14:paraId="6C531BA5" w14:textId="77777777" w:rsidR="00B45A68" w:rsidRPr="008025EF" w:rsidRDefault="00B45A68" w:rsidP="00B45A68">
      <w:pPr>
        <w:tabs>
          <w:tab w:val="left" w:pos="-720"/>
        </w:tabs>
        <w:suppressAutoHyphens/>
        <w:ind w:right="432"/>
        <w:rPr>
          <w:sz w:val="22"/>
          <w:szCs w:val="22"/>
        </w:rPr>
      </w:pPr>
    </w:p>
    <w:p w14:paraId="4B588CD1" w14:textId="4D0F7AF8" w:rsidR="00B45A68" w:rsidRPr="008025EF" w:rsidRDefault="00B45A68" w:rsidP="00B45A68">
      <w:pPr>
        <w:tabs>
          <w:tab w:val="left" w:pos="-720"/>
          <w:tab w:val="left" w:pos="9360"/>
        </w:tabs>
        <w:suppressAutoHyphens/>
        <w:rPr>
          <w:sz w:val="22"/>
          <w:szCs w:val="22"/>
        </w:rPr>
      </w:pPr>
      <w:r w:rsidRPr="008025EF">
        <w:rPr>
          <w:sz w:val="22"/>
          <w:szCs w:val="22"/>
        </w:rPr>
        <w:t xml:space="preserve">DEQ has determined that remedial action to address environmental contamination at </w:t>
      </w:r>
      <w:r w:rsidR="00255F78" w:rsidRPr="00255F78">
        <w:rPr>
          <w:sz w:val="22"/>
          <w:szCs w:val="22"/>
        </w:rPr>
        <w:t xml:space="preserve">Sequioa Crossings </w:t>
      </w:r>
      <w:r w:rsidRPr="008025EF">
        <w:rPr>
          <w:sz w:val="22"/>
          <w:szCs w:val="22"/>
        </w:rPr>
        <w:t xml:space="preserve">is complete, and no further action is required. This determination is </w:t>
      </w:r>
      <w:r w:rsidR="0099214E" w:rsidRPr="0099214E">
        <w:rPr>
          <w:sz w:val="22"/>
          <w:szCs w:val="22"/>
        </w:rPr>
        <w:t xml:space="preserve">a result of our evaluation and judgment </w:t>
      </w:r>
      <w:r w:rsidRPr="008025EF">
        <w:rPr>
          <w:sz w:val="22"/>
          <w:szCs w:val="22"/>
        </w:rPr>
        <w:t>based on the DEQ regulations and the facts as we now understand them including the following</w:t>
      </w:r>
      <w:r w:rsidR="00DE632D">
        <w:rPr>
          <w:sz w:val="22"/>
          <w:szCs w:val="22"/>
        </w:rPr>
        <w:t xml:space="preserve">, and as more fully described in </w:t>
      </w:r>
      <w:r w:rsidR="00255F78">
        <w:rPr>
          <w:sz w:val="22"/>
          <w:szCs w:val="22"/>
        </w:rPr>
        <w:t>the NV5 Report dated June 20, 2024</w:t>
      </w:r>
      <w:r w:rsidRPr="008025EF">
        <w:rPr>
          <w:sz w:val="22"/>
          <w:szCs w:val="22"/>
        </w:rPr>
        <w:t>:</w:t>
      </w:r>
    </w:p>
    <w:p w14:paraId="1F1EFBC7" w14:textId="77777777" w:rsidR="00B45A68" w:rsidRPr="008025EF" w:rsidRDefault="00B45A68" w:rsidP="00B45A68">
      <w:pPr>
        <w:tabs>
          <w:tab w:val="left" w:pos="-720"/>
        </w:tabs>
        <w:suppressAutoHyphens/>
        <w:ind w:right="432"/>
        <w:rPr>
          <w:sz w:val="22"/>
          <w:szCs w:val="22"/>
        </w:rPr>
      </w:pPr>
    </w:p>
    <w:p w14:paraId="13ED8490" w14:textId="77777777" w:rsidR="000A5DF3" w:rsidRPr="000A5DF3" w:rsidRDefault="000A5DF3" w:rsidP="000A5DF3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 w:rsidRPr="000A5DF3">
        <w:rPr>
          <w:sz w:val="22"/>
          <w:szCs w:val="22"/>
        </w:rPr>
        <w:t>The primary source of contamination at the subject property was from former agricultural land</w:t>
      </w:r>
    </w:p>
    <w:p w14:paraId="1A03344C" w14:textId="395214C6" w:rsidR="000A5DF3" w:rsidRPr="000A5DF3" w:rsidRDefault="000A5DF3" w:rsidP="000A5DF3">
      <w:pPr>
        <w:tabs>
          <w:tab w:val="left" w:pos="-720"/>
        </w:tabs>
        <w:suppressAutoHyphens/>
        <w:spacing w:line="264" w:lineRule="auto"/>
        <w:ind w:left="360"/>
        <w:rPr>
          <w:sz w:val="22"/>
          <w:szCs w:val="22"/>
        </w:rPr>
      </w:pPr>
      <w:r w:rsidRPr="000A5DF3">
        <w:rPr>
          <w:sz w:val="22"/>
          <w:szCs w:val="22"/>
        </w:rPr>
        <w:t xml:space="preserve">use. </w:t>
      </w:r>
      <w:r w:rsidR="00CB4268">
        <w:rPr>
          <w:sz w:val="22"/>
          <w:szCs w:val="22"/>
        </w:rPr>
        <w:t>O</w:t>
      </w:r>
      <w:r w:rsidRPr="000A5DF3">
        <w:rPr>
          <w:sz w:val="22"/>
          <w:szCs w:val="22"/>
        </w:rPr>
        <w:t>n-site soil contains residual concentrations of the pesticides 4,4’-DDE, 4,4’-DDT, and</w:t>
      </w:r>
    </w:p>
    <w:p w14:paraId="07FA12FE" w14:textId="77777777" w:rsidR="000A5DF3" w:rsidRPr="000A5DF3" w:rsidRDefault="000A5DF3" w:rsidP="000A5DF3">
      <w:pPr>
        <w:tabs>
          <w:tab w:val="left" w:pos="-720"/>
        </w:tabs>
        <w:suppressAutoHyphens/>
        <w:spacing w:line="264" w:lineRule="auto"/>
        <w:ind w:left="360"/>
        <w:rPr>
          <w:sz w:val="22"/>
          <w:szCs w:val="22"/>
        </w:rPr>
      </w:pPr>
      <w:r w:rsidRPr="000A5DF3">
        <w:rPr>
          <w:sz w:val="22"/>
          <w:szCs w:val="22"/>
        </w:rPr>
        <w:t>heptachlor epoxide and the metal mercury at concentrations less than applicable DEQ RBCs but</w:t>
      </w:r>
    </w:p>
    <w:p w14:paraId="08E0295D" w14:textId="1FB74369" w:rsidR="00DF746B" w:rsidRDefault="000A5DF3" w:rsidP="000A5DF3">
      <w:pPr>
        <w:tabs>
          <w:tab w:val="left" w:pos="-720"/>
        </w:tabs>
        <w:suppressAutoHyphens/>
        <w:spacing w:line="264" w:lineRule="auto"/>
        <w:ind w:left="360"/>
        <w:rPr>
          <w:sz w:val="22"/>
          <w:szCs w:val="22"/>
        </w:rPr>
      </w:pPr>
      <w:r w:rsidRPr="000A5DF3">
        <w:rPr>
          <w:sz w:val="22"/>
          <w:szCs w:val="22"/>
        </w:rPr>
        <w:t>greater than the DEQ CFSLs</w:t>
      </w:r>
      <w:r w:rsidR="00B673CA" w:rsidRPr="00B673CA">
        <w:rPr>
          <w:sz w:val="22"/>
          <w:szCs w:val="22"/>
        </w:rPr>
        <w:t xml:space="preserve"> </w:t>
      </w:r>
    </w:p>
    <w:p w14:paraId="12BCF9AA" w14:textId="1CF3B76A" w:rsidR="000A5DF3" w:rsidRPr="00193AB7" w:rsidRDefault="000A5DF3" w:rsidP="00E037F1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 w:rsidRPr="00193AB7">
        <w:rPr>
          <w:sz w:val="22"/>
          <w:szCs w:val="22"/>
        </w:rPr>
        <w:t>The vertical extent of the pesticide and mercury-impacted soil at</w:t>
      </w:r>
      <w:r w:rsidR="00193AB7" w:rsidRPr="00193AB7">
        <w:rPr>
          <w:sz w:val="22"/>
          <w:szCs w:val="22"/>
        </w:rPr>
        <w:t xml:space="preserve"> </w:t>
      </w:r>
      <w:r w:rsidRPr="00193AB7">
        <w:rPr>
          <w:sz w:val="22"/>
          <w:szCs w:val="22"/>
        </w:rPr>
        <w:t>the subject property has been well defined, and generally did not extend past depths of 2 feet</w:t>
      </w:r>
      <w:r w:rsidR="00193AB7" w:rsidRPr="00193AB7">
        <w:rPr>
          <w:sz w:val="22"/>
          <w:szCs w:val="22"/>
        </w:rPr>
        <w:t xml:space="preserve"> </w:t>
      </w:r>
      <w:r w:rsidRPr="00193AB7">
        <w:rPr>
          <w:sz w:val="22"/>
          <w:szCs w:val="22"/>
        </w:rPr>
        <w:t>below the pre-development ground surface.</w:t>
      </w:r>
    </w:p>
    <w:p w14:paraId="0E295FBE" w14:textId="7D6E6C0C" w:rsidR="005F586D" w:rsidRPr="00193AB7" w:rsidRDefault="005F586D" w:rsidP="00EA3A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586D">
        <w:rPr>
          <w:sz w:val="22"/>
          <w:szCs w:val="22"/>
        </w:rPr>
        <w:t>Between November 29</w:t>
      </w:r>
      <w:r w:rsidRPr="00193AB7">
        <w:rPr>
          <w:sz w:val="22"/>
          <w:szCs w:val="22"/>
        </w:rPr>
        <w:t>,</w:t>
      </w:r>
      <w:r w:rsidR="001832ED" w:rsidRPr="00193AB7">
        <w:rPr>
          <w:sz w:val="22"/>
          <w:szCs w:val="22"/>
        </w:rPr>
        <w:t xml:space="preserve"> 2022</w:t>
      </w:r>
      <w:r w:rsidR="00193AB7">
        <w:rPr>
          <w:sz w:val="22"/>
          <w:szCs w:val="22"/>
        </w:rPr>
        <w:t>,</w:t>
      </w:r>
      <w:r w:rsidR="001832ED" w:rsidRPr="00193AB7">
        <w:rPr>
          <w:sz w:val="22"/>
          <w:szCs w:val="22"/>
        </w:rPr>
        <w:t xml:space="preserve"> and </w:t>
      </w:r>
      <w:r w:rsidR="001832ED" w:rsidRPr="005F586D">
        <w:rPr>
          <w:sz w:val="22"/>
          <w:szCs w:val="22"/>
        </w:rPr>
        <w:t>February 10, 2023</w:t>
      </w:r>
      <w:r w:rsidR="001832ED" w:rsidRPr="00193AB7">
        <w:rPr>
          <w:sz w:val="22"/>
          <w:szCs w:val="22"/>
        </w:rPr>
        <w:t xml:space="preserve">, </w:t>
      </w:r>
      <w:r w:rsidRPr="005F586D">
        <w:rPr>
          <w:sz w:val="22"/>
          <w:szCs w:val="22"/>
        </w:rPr>
        <w:t>pesticide and mercury</w:t>
      </w:r>
      <w:r w:rsidR="00193AB7" w:rsidRPr="00193AB7">
        <w:rPr>
          <w:sz w:val="22"/>
          <w:szCs w:val="22"/>
        </w:rPr>
        <w:t xml:space="preserve"> </w:t>
      </w:r>
      <w:r w:rsidRPr="005F586D">
        <w:rPr>
          <w:sz w:val="22"/>
          <w:szCs w:val="22"/>
        </w:rPr>
        <w:t>impacted soil for a total of 3,517.94 tons was</w:t>
      </w:r>
      <w:r w:rsidR="001832ED" w:rsidRPr="00193AB7">
        <w:rPr>
          <w:sz w:val="22"/>
          <w:szCs w:val="22"/>
        </w:rPr>
        <w:t xml:space="preserve"> </w:t>
      </w:r>
      <w:r w:rsidRPr="005F586D">
        <w:rPr>
          <w:sz w:val="22"/>
          <w:szCs w:val="22"/>
        </w:rPr>
        <w:t>transported to Republic Services’ Coffin Butte Landfill in Corvallis, Oregon, for disposal as</w:t>
      </w:r>
      <w:r w:rsidR="001832ED" w:rsidRPr="00193AB7">
        <w:rPr>
          <w:sz w:val="22"/>
          <w:szCs w:val="22"/>
        </w:rPr>
        <w:t xml:space="preserve"> </w:t>
      </w:r>
      <w:r w:rsidRPr="00193AB7">
        <w:rPr>
          <w:sz w:val="22"/>
          <w:szCs w:val="22"/>
        </w:rPr>
        <w:t>non-hazardous waste under contract number 41252214824</w:t>
      </w:r>
      <w:r w:rsidRPr="00193AB7">
        <w:rPr>
          <w:sz w:val="22"/>
          <w:szCs w:val="22"/>
        </w:rPr>
        <w:t>.</w:t>
      </w:r>
    </w:p>
    <w:p w14:paraId="6A4A975F" w14:textId="798129EE" w:rsidR="005F586D" w:rsidRPr="005F586D" w:rsidRDefault="001832ED" w:rsidP="005F586D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A total of</w:t>
      </w:r>
      <w:r w:rsidR="005F586D">
        <w:rPr>
          <w:sz w:val="22"/>
          <w:szCs w:val="22"/>
        </w:rPr>
        <w:t xml:space="preserve"> 2,760 cubic yards of soil meeting </w:t>
      </w:r>
      <w:r w:rsidR="005F586D" w:rsidRPr="005F586D">
        <w:rPr>
          <w:i/>
          <w:iCs/>
          <w:sz w:val="22"/>
          <w:szCs w:val="22"/>
        </w:rPr>
        <w:t>clean fill</w:t>
      </w:r>
      <w:r w:rsidR="005F586D">
        <w:rPr>
          <w:sz w:val="22"/>
          <w:szCs w:val="22"/>
        </w:rPr>
        <w:t xml:space="preserve"> criteria was disposed of at Riverbend Material</w:t>
      </w:r>
      <w:r>
        <w:rPr>
          <w:sz w:val="22"/>
          <w:szCs w:val="22"/>
        </w:rPr>
        <w:t>s and 630 cubic yards at Windsor Rock Products, Salem Oregon.</w:t>
      </w:r>
    </w:p>
    <w:p w14:paraId="7ED77C43" w14:textId="198D7C5A" w:rsidR="00060750" w:rsidRPr="00CB4268" w:rsidRDefault="000A5DF3" w:rsidP="005E128D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 w:rsidRPr="00CB4268">
        <w:rPr>
          <w:sz w:val="22"/>
          <w:szCs w:val="22"/>
        </w:rPr>
        <w:t>In 2008, a</w:t>
      </w:r>
      <w:r w:rsidR="00CB4268" w:rsidRPr="00CB4268">
        <w:rPr>
          <w:sz w:val="22"/>
          <w:szCs w:val="22"/>
        </w:rPr>
        <w:t xml:space="preserve"> </w:t>
      </w:r>
      <w:r w:rsidR="00060750" w:rsidRPr="00CB4268">
        <w:rPr>
          <w:sz w:val="22"/>
          <w:szCs w:val="22"/>
        </w:rPr>
        <w:t>687</w:t>
      </w:r>
      <w:r w:rsidR="00CB4268" w:rsidRPr="00CB4268">
        <w:rPr>
          <w:sz w:val="22"/>
          <w:szCs w:val="22"/>
        </w:rPr>
        <w:t>-</w:t>
      </w:r>
      <w:r w:rsidR="00060750" w:rsidRPr="00CB4268">
        <w:rPr>
          <w:sz w:val="22"/>
          <w:szCs w:val="22"/>
        </w:rPr>
        <w:t xml:space="preserve">gallon </w:t>
      </w:r>
      <w:r w:rsidRPr="00CB4268">
        <w:rPr>
          <w:sz w:val="22"/>
          <w:szCs w:val="22"/>
        </w:rPr>
        <w:t>underground heating oil tank was decommissioned by removal and</w:t>
      </w:r>
      <w:r w:rsidRPr="00CB4268">
        <w:rPr>
          <w:sz w:val="22"/>
          <w:szCs w:val="22"/>
        </w:rPr>
        <w:t xml:space="preserve"> a pocket </w:t>
      </w:r>
      <w:r w:rsidRPr="00CB4268">
        <w:rPr>
          <w:sz w:val="22"/>
          <w:szCs w:val="22"/>
        </w:rPr>
        <w:t>approximately 4 to 5 cubic yards of contaminated soil containing diesel, PAHs, and total xylenes</w:t>
      </w:r>
      <w:r w:rsidR="00060750" w:rsidRPr="00CB4268">
        <w:rPr>
          <w:sz w:val="22"/>
          <w:szCs w:val="22"/>
        </w:rPr>
        <w:t xml:space="preserve"> </w:t>
      </w:r>
      <w:r w:rsidRPr="00CB4268">
        <w:rPr>
          <w:sz w:val="22"/>
          <w:szCs w:val="22"/>
        </w:rPr>
        <w:t>remains in place at a depth of approximately 7 feet BGS.</w:t>
      </w:r>
      <w:r w:rsidRPr="00CB4268">
        <w:rPr>
          <w:sz w:val="22"/>
          <w:szCs w:val="22"/>
        </w:rPr>
        <w:t xml:space="preserve"> </w:t>
      </w:r>
      <w:r w:rsidR="00060750" w:rsidRPr="00CB4268">
        <w:rPr>
          <w:sz w:val="22"/>
          <w:szCs w:val="22"/>
        </w:rPr>
        <w:t>Based on</w:t>
      </w:r>
      <w:r w:rsidR="00CB4268" w:rsidRPr="00CB4268">
        <w:rPr>
          <w:sz w:val="22"/>
          <w:szCs w:val="22"/>
        </w:rPr>
        <w:t xml:space="preserve"> </w:t>
      </w:r>
      <w:r w:rsidR="00060750" w:rsidRPr="00060750">
        <w:rPr>
          <w:sz w:val="22"/>
          <w:szCs w:val="22"/>
        </w:rPr>
        <w:t xml:space="preserve">the </w:t>
      </w:r>
      <w:proofErr w:type="spellStart"/>
      <w:r w:rsidR="00060750" w:rsidRPr="00060750">
        <w:rPr>
          <w:sz w:val="22"/>
          <w:szCs w:val="22"/>
        </w:rPr>
        <w:t>GeoEngineers</w:t>
      </w:r>
      <w:proofErr w:type="spellEnd"/>
      <w:r w:rsidR="00060750" w:rsidRPr="00060750">
        <w:rPr>
          <w:sz w:val="22"/>
          <w:szCs w:val="22"/>
        </w:rPr>
        <w:t xml:space="preserve"> report certifying cleanup of the UST as a heating oil UST, DEQ registered the</w:t>
      </w:r>
      <w:r w:rsidR="00CB4268" w:rsidRPr="00CB4268">
        <w:rPr>
          <w:sz w:val="22"/>
          <w:szCs w:val="22"/>
        </w:rPr>
        <w:t xml:space="preserve"> </w:t>
      </w:r>
      <w:r w:rsidR="00060750" w:rsidRPr="00CB4268">
        <w:rPr>
          <w:sz w:val="22"/>
          <w:szCs w:val="22"/>
        </w:rPr>
        <w:t>report and closed its file on DEQ LUST File No. 24-08-0551 on July 21, 2008.</w:t>
      </w:r>
    </w:p>
    <w:p w14:paraId="52AF6AAB" w14:textId="01C2C9A4" w:rsidR="000A5DF3" w:rsidRPr="00060750" w:rsidRDefault="000A5DF3" w:rsidP="007E666C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 w:rsidRPr="00060750">
        <w:rPr>
          <w:sz w:val="22"/>
          <w:szCs w:val="22"/>
        </w:rPr>
        <w:t xml:space="preserve">The remaining </w:t>
      </w:r>
      <w:r w:rsidR="00060750">
        <w:rPr>
          <w:sz w:val="22"/>
          <w:szCs w:val="22"/>
        </w:rPr>
        <w:t xml:space="preserve">heating oil </w:t>
      </w:r>
      <w:r w:rsidRPr="00060750">
        <w:rPr>
          <w:sz w:val="22"/>
          <w:szCs w:val="22"/>
        </w:rPr>
        <w:t xml:space="preserve">pocket of contamination is 40 feet </w:t>
      </w:r>
      <w:r w:rsidR="00CB4268">
        <w:rPr>
          <w:sz w:val="22"/>
          <w:szCs w:val="22"/>
        </w:rPr>
        <w:t>away from</w:t>
      </w:r>
      <w:r w:rsidRPr="00060750">
        <w:rPr>
          <w:sz w:val="22"/>
          <w:szCs w:val="22"/>
        </w:rPr>
        <w:t xml:space="preserve"> the nearest apartment</w:t>
      </w:r>
      <w:r w:rsidR="004F283D" w:rsidRPr="00060750">
        <w:rPr>
          <w:sz w:val="22"/>
          <w:szCs w:val="22"/>
        </w:rPr>
        <w:t xml:space="preserve">, </w:t>
      </w:r>
      <w:r w:rsidR="00CB4268">
        <w:rPr>
          <w:sz w:val="22"/>
          <w:szCs w:val="22"/>
        </w:rPr>
        <w:t xml:space="preserve">located </w:t>
      </w:r>
      <w:r w:rsidR="004F283D" w:rsidRPr="00060750">
        <w:rPr>
          <w:sz w:val="22"/>
          <w:szCs w:val="22"/>
        </w:rPr>
        <w:t xml:space="preserve">beneath AC-parking lot/driveway. </w:t>
      </w:r>
      <w:r w:rsidR="001136D5" w:rsidRPr="00060750">
        <w:rPr>
          <w:sz w:val="22"/>
          <w:szCs w:val="22"/>
        </w:rPr>
        <w:t>Building code and EPA-recommended radon-resistant construction techniques were used in</w:t>
      </w:r>
      <w:r w:rsidR="001136D5" w:rsidRPr="00060750">
        <w:rPr>
          <w:sz w:val="22"/>
          <w:szCs w:val="22"/>
        </w:rPr>
        <w:t xml:space="preserve"> </w:t>
      </w:r>
      <w:r w:rsidR="001136D5" w:rsidRPr="00060750">
        <w:rPr>
          <w:sz w:val="22"/>
          <w:szCs w:val="22"/>
        </w:rPr>
        <w:t>construction of the apartment buildings.</w:t>
      </w:r>
      <w:r w:rsidR="001136D5" w:rsidRPr="00060750">
        <w:rPr>
          <w:sz w:val="22"/>
          <w:szCs w:val="22"/>
        </w:rPr>
        <w:t xml:space="preserve"> </w:t>
      </w:r>
      <w:r w:rsidR="004F283D" w:rsidRPr="00060750">
        <w:rPr>
          <w:sz w:val="22"/>
          <w:szCs w:val="22"/>
        </w:rPr>
        <w:t xml:space="preserve">The </w:t>
      </w:r>
      <w:r w:rsidR="00CB4268">
        <w:rPr>
          <w:sz w:val="22"/>
          <w:szCs w:val="22"/>
        </w:rPr>
        <w:t xml:space="preserve">vapor intrusion </w:t>
      </w:r>
      <w:r w:rsidR="004F283D" w:rsidRPr="00060750">
        <w:rPr>
          <w:sz w:val="22"/>
          <w:szCs w:val="22"/>
        </w:rPr>
        <w:t>pathway is considered incomplete.</w:t>
      </w:r>
      <w:r w:rsidR="00EE5DC3" w:rsidRPr="00060750">
        <w:rPr>
          <w:sz w:val="22"/>
          <w:szCs w:val="22"/>
        </w:rPr>
        <w:t xml:space="preserve"> </w:t>
      </w:r>
    </w:p>
    <w:p w14:paraId="1F8E1177" w14:textId="1B982018" w:rsidR="005F586D" w:rsidRPr="005F586D" w:rsidRDefault="00193AB7" w:rsidP="005F586D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Prior to</w:t>
      </w:r>
      <w:r w:rsidR="005F586D" w:rsidRPr="005F586D">
        <w:rPr>
          <w:sz w:val="22"/>
          <w:szCs w:val="22"/>
        </w:rPr>
        <w:t xml:space="preserve"> final cover </w:t>
      </w:r>
      <w:r>
        <w:rPr>
          <w:sz w:val="22"/>
          <w:szCs w:val="22"/>
        </w:rPr>
        <w:t>being</w:t>
      </w:r>
      <w:r w:rsidR="005F586D" w:rsidRPr="005F586D">
        <w:rPr>
          <w:sz w:val="22"/>
          <w:szCs w:val="22"/>
        </w:rPr>
        <w:t xml:space="preserve"> placed, previously excavated areas outside the building footprints</w:t>
      </w:r>
    </w:p>
    <w:p w14:paraId="2840C0DF" w14:textId="77777777" w:rsidR="005F586D" w:rsidRPr="005F586D" w:rsidRDefault="005F586D" w:rsidP="005F586D">
      <w:pPr>
        <w:tabs>
          <w:tab w:val="left" w:pos="-720"/>
        </w:tabs>
        <w:suppressAutoHyphens/>
        <w:spacing w:line="264" w:lineRule="auto"/>
        <w:ind w:left="360"/>
        <w:rPr>
          <w:sz w:val="22"/>
          <w:szCs w:val="22"/>
        </w:rPr>
      </w:pPr>
      <w:r w:rsidRPr="005F586D">
        <w:rPr>
          <w:sz w:val="22"/>
          <w:szCs w:val="22"/>
        </w:rPr>
        <w:lastRenderedPageBreak/>
        <w:t>were brought to grade with approximately 1,893 cubic yards of soil that were removed from</w:t>
      </w:r>
    </w:p>
    <w:p w14:paraId="5733FF28" w14:textId="77777777" w:rsidR="005F586D" w:rsidRPr="005F586D" w:rsidRDefault="005F586D" w:rsidP="005F586D">
      <w:pPr>
        <w:tabs>
          <w:tab w:val="left" w:pos="-720"/>
        </w:tabs>
        <w:suppressAutoHyphens/>
        <w:spacing w:line="264" w:lineRule="auto"/>
        <w:ind w:left="360"/>
        <w:rPr>
          <w:sz w:val="22"/>
          <w:szCs w:val="22"/>
        </w:rPr>
      </w:pPr>
      <w:r w:rsidRPr="005F586D">
        <w:rPr>
          <w:sz w:val="22"/>
          <w:szCs w:val="22"/>
        </w:rPr>
        <w:t>other areas excavated throughout the site. The areas outside the building footprints were</w:t>
      </w:r>
    </w:p>
    <w:p w14:paraId="00D07AB3" w14:textId="024AC321" w:rsidR="005F586D" w:rsidRPr="005F586D" w:rsidRDefault="005F586D" w:rsidP="005F586D">
      <w:pPr>
        <w:tabs>
          <w:tab w:val="left" w:pos="-720"/>
        </w:tabs>
        <w:suppressAutoHyphens/>
        <w:spacing w:line="264" w:lineRule="auto"/>
        <w:ind w:left="360"/>
        <w:rPr>
          <w:sz w:val="22"/>
          <w:szCs w:val="22"/>
        </w:rPr>
      </w:pPr>
      <w:r w:rsidRPr="005F586D">
        <w:rPr>
          <w:sz w:val="22"/>
          <w:szCs w:val="22"/>
        </w:rPr>
        <w:t xml:space="preserve">brought to grade with </w:t>
      </w:r>
      <w:r w:rsidR="00CB4268">
        <w:rPr>
          <w:sz w:val="22"/>
          <w:szCs w:val="22"/>
        </w:rPr>
        <w:t xml:space="preserve">clean </w:t>
      </w:r>
      <w:r w:rsidRPr="005F586D">
        <w:rPr>
          <w:sz w:val="22"/>
          <w:szCs w:val="22"/>
        </w:rPr>
        <w:t>imported AC pavement base material, AC pavement, concrete, pervious</w:t>
      </w:r>
    </w:p>
    <w:p w14:paraId="5D8A6B7B" w14:textId="6CF3E92B" w:rsidR="00EE5DC3" w:rsidRDefault="005F586D" w:rsidP="005F586D">
      <w:pPr>
        <w:tabs>
          <w:tab w:val="left" w:pos="-720"/>
        </w:tabs>
        <w:suppressAutoHyphens/>
        <w:spacing w:line="264" w:lineRule="auto"/>
        <w:ind w:left="360"/>
        <w:rPr>
          <w:sz w:val="22"/>
          <w:szCs w:val="22"/>
        </w:rPr>
      </w:pPr>
      <w:r w:rsidRPr="005F586D">
        <w:rPr>
          <w:sz w:val="22"/>
          <w:szCs w:val="22"/>
        </w:rPr>
        <w:t xml:space="preserve">concrete, gravel, and topsoil. </w:t>
      </w:r>
      <w:r w:rsidR="00193AB7">
        <w:rPr>
          <w:sz w:val="22"/>
          <w:szCs w:val="22"/>
        </w:rPr>
        <w:t>All soils were below the applicable RBCs.</w:t>
      </w:r>
    </w:p>
    <w:p w14:paraId="108E3AC1" w14:textId="04138C7F" w:rsidR="0081003C" w:rsidRPr="00CB4268" w:rsidRDefault="0081003C" w:rsidP="00CB4268">
      <w:pPr>
        <w:numPr>
          <w:ilvl w:val="0"/>
          <w:numId w:val="1"/>
        </w:numPr>
        <w:tabs>
          <w:tab w:val="left" w:pos="-720"/>
        </w:tabs>
        <w:suppressAutoHyphens/>
        <w:spacing w:line="264" w:lineRule="auto"/>
        <w:rPr>
          <w:sz w:val="22"/>
          <w:szCs w:val="22"/>
        </w:rPr>
      </w:pPr>
      <w:r w:rsidRPr="007359AA">
        <w:rPr>
          <w:sz w:val="22"/>
          <w:szCs w:val="22"/>
        </w:rPr>
        <w:t>The Department concurred with t</w:t>
      </w:r>
      <w:r w:rsidRPr="0081003C">
        <w:rPr>
          <w:sz w:val="22"/>
          <w:szCs w:val="22"/>
        </w:rPr>
        <w:t xml:space="preserve">he </w:t>
      </w:r>
      <w:r w:rsidR="000E03DE">
        <w:rPr>
          <w:sz w:val="22"/>
          <w:szCs w:val="22"/>
        </w:rPr>
        <w:t xml:space="preserve">findings of a </w:t>
      </w:r>
      <w:r w:rsidRPr="0081003C">
        <w:rPr>
          <w:sz w:val="22"/>
          <w:szCs w:val="22"/>
        </w:rPr>
        <w:t xml:space="preserve">2008 Phase II </w:t>
      </w:r>
      <w:r w:rsidR="00CB4268">
        <w:rPr>
          <w:sz w:val="22"/>
          <w:szCs w:val="22"/>
        </w:rPr>
        <w:t xml:space="preserve">Environmental </w:t>
      </w:r>
      <w:r w:rsidRPr="0081003C">
        <w:rPr>
          <w:sz w:val="22"/>
          <w:szCs w:val="22"/>
        </w:rPr>
        <w:t>S</w:t>
      </w:r>
      <w:r w:rsidR="00CB4268">
        <w:rPr>
          <w:sz w:val="22"/>
          <w:szCs w:val="22"/>
        </w:rPr>
        <w:t xml:space="preserve">ite </w:t>
      </w:r>
      <w:r w:rsidRPr="0081003C">
        <w:rPr>
          <w:sz w:val="22"/>
          <w:szCs w:val="22"/>
        </w:rPr>
        <w:t>A</w:t>
      </w:r>
      <w:r w:rsidR="00CB4268">
        <w:rPr>
          <w:sz w:val="22"/>
          <w:szCs w:val="22"/>
        </w:rPr>
        <w:t>ssessment (ESA)</w:t>
      </w:r>
      <w:r w:rsidRPr="0081003C">
        <w:rPr>
          <w:sz w:val="22"/>
          <w:szCs w:val="22"/>
        </w:rPr>
        <w:t xml:space="preserve"> conducted by </w:t>
      </w:r>
      <w:proofErr w:type="spellStart"/>
      <w:r w:rsidRPr="0081003C">
        <w:rPr>
          <w:sz w:val="22"/>
          <w:szCs w:val="22"/>
        </w:rPr>
        <w:t>GeoEngineers</w:t>
      </w:r>
      <w:proofErr w:type="spellEnd"/>
      <w:r w:rsidRPr="0081003C">
        <w:rPr>
          <w:sz w:val="22"/>
          <w:szCs w:val="22"/>
        </w:rPr>
        <w:t>, Inc. for the subject property</w:t>
      </w:r>
      <w:r w:rsidRPr="007359AA">
        <w:rPr>
          <w:sz w:val="22"/>
          <w:szCs w:val="22"/>
        </w:rPr>
        <w:t xml:space="preserve"> that</w:t>
      </w:r>
      <w:r w:rsidRPr="0081003C">
        <w:rPr>
          <w:sz w:val="22"/>
          <w:szCs w:val="22"/>
        </w:rPr>
        <w:t xml:space="preserve"> included a</w:t>
      </w:r>
      <w:r w:rsidRPr="007359AA">
        <w:rPr>
          <w:sz w:val="22"/>
          <w:szCs w:val="22"/>
        </w:rPr>
        <w:t xml:space="preserve"> </w:t>
      </w:r>
      <w:r w:rsidRPr="0081003C">
        <w:rPr>
          <w:sz w:val="22"/>
          <w:szCs w:val="22"/>
        </w:rPr>
        <w:t xml:space="preserve">Level I </w:t>
      </w:r>
      <w:proofErr w:type="gramStart"/>
      <w:r w:rsidRPr="0081003C">
        <w:rPr>
          <w:sz w:val="22"/>
          <w:szCs w:val="22"/>
        </w:rPr>
        <w:t>scoping</w:t>
      </w:r>
      <w:proofErr w:type="gramEnd"/>
      <w:r w:rsidRPr="0081003C">
        <w:rPr>
          <w:sz w:val="22"/>
          <w:szCs w:val="22"/>
        </w:rPr>
        <w:t xml:space="preserve"> ecological risk assessment that indicated there were no ecologically important</w:t>
      </w:r>
      <w:r w:rsidR="007359AA" w:rsidRPr="007359AA">
        <w:rPr>
          <w:sz w:val="22"/>
          <w:szCs w:val="22"/>
        </w:rPr>
        <w:t xml:space="preserve"> </w:t>
      </w:r>
      <w:r w:rsidRPr="007359AA">
        <w:rPr>
          <w:sz w:val="22"/>
          <w:szCs w:val="22"/>
        </w:rPr>
        <w:t>habitat or species on the subject property.</w:t>
      </w:r>
    </w:p>
    <w:p w14:paraId="552DBE8D" w14:textId="77777777" w:rsidR="00B45A68" w:rsidRPr="008025EF" w:rsidRDefault="00B45A68" w:rsidP="00B45A68">
      <w:pPr>
        <w:tabs>
          <w:tab w:val="left" w:pos="-720"/>
        </w:tabs>
        <w:suppressAutoHyphens/>
        <w:ind w:left="360"/>
        <w:rPr>
          <w:sz w:val="22"/>
          <w:szCs w:val="22"/>
        </w:rPr>
      </w:pPr>
    </w:p>
    <w:p w14:paraId="56F41B83" w14:textId="731A75D5" w:rsidR="00B45A68" w:rsidRPr="008025EF" w:rsidRDefault="00B45A68" w:rsidP="00B45A68">
      <w:pPr>
        <w:tabs>
          <w:tab w:val="left" w:pos="-720"/>
        </w:tabs>
        <w:suppressAutoHyphens/>
        <w:rPr>
          <w:sz w:val="22"/>
          <w:szCs w:val="22"/>
        </w:rPr>
      </w:pPr>
      <w:r w:rsidRPr="008025EF">
        <w:rPr>
          <w:sz w:val="22"/>
          <w:szCs w:val="22"/>
        </w:rPr>
        <w:t xml:space="preserve">Based on the available information, </w:t>
      </w:r>
      <w:r w:rsidR="00B673CA">
        <w:rPr>
          <w:sz w:val="22"/>
          <w:szCs w:val="22"/>
        </w:rPr>
        <w:t xml:space="preserve">soil and groundwater </w:t>
      </w:r>
      <w:r w:rsidR="00925732">
        <w:rPr>
          <w:sz w:val="22"/>
          <w:szCs w:val="22"/>
        </w:rPr>
        <w:t xml:space="preserve">conditions at </w:t>
      </w:r>
      <w:r w:rsidR="00EE0949" w:rsidRPr="00EE0949">
        <w:rPr>
          <w:sz w:val="22"/>
          <w:szCs w:val="22"/>
        </w:rPr>
        <w:t xml:space="preserve">Sequioa Crossings </w:t>
      </w:r>
      <w:r w:rsidR="00925732">
        <w:rPr>
          <w:sz w:val="22"/>
          <w:szCs w:val="22"/>
        </w:rPr>
        <w:t>are</w:t>
      </w:r>
      <w:r w:rsidR="00925732" w:rsidRPr="008025EF">
        <w:rPr>
          <w:sz w:val="22"/>
          <w:szCs w:val="22"/>
        </w:rPr>
        <w:t xml:space="preserve"> </w:t>
      </w:r>
      <w:r w:rsidRPr="008025EF">
        <w:rPr>
          <w:sz w:val="22"/>
          <w:szCs w:val="22"/>
        </w:rPr>
        <w:t xml:space="preserve">currently protective of public health and the </w:t>
      </w:r>
      <w:r w:rsidRPr="0027170E">
        <w:rPr>
          <w:sz w:val="22"/>
          <w:szCs w:val="22"/>
        </w:rPr>
        <w:t>environment</w:t>
      </w:r>
      <w:r w:rsidR="00925732">
        <w:rPr>
          <w:sz w:val="22"/>
          <w:szCs w:val="22"/>
        </w:rPr>
        <w:t xml:space="preserve"> in accordance with Oregon environmental cleanup law, </w:t>
      </w:r>
      <w:r w:rsidRPr="00C26FA4">
        <w:rPr>
          <w:sz w:val="22"/>
          <w:szCs w:val="22"/>
        </w:rPr>
        <w:t>ORS 465.200 et seq.</w:t>
      </w:r>
      <w:r w:rsidR="00C26FA4">
        <w:rPr>
          <w:sz w:val="22"/>
          <w:szCs w:val="22"/>
        </w:rPr>
        <w:t xml:space="preserve"> </w:t>
      </w:r>
      <w:r w:rsidR="00925732" w:rsidRPr="0027170E">
        <w:rPr>
          <w:sz w:val="22"/>
          <w:szCs w:val="22"/>
        </w:rPr>
        <w:t xml:space="preserve">The site requires no further action </w:t>
      </w:r>
      <w:r w:rsidRPr="0027170E">
        <w:rPr>
          <w:sz w:val="22"/>
          <w:szCs w:val="22"/>
        </w:rPr>
        <w:t xml:space="preserve">unless new or previously undisclosed information becomes available, or there are changes in site development or land and water uses, or more contamination is discovered. DEQ </w:t>
      </w:r>
      <w:r w:rsidR="00796188" w:rsidRPr="00C26FA4">
        <w:rPr>
          <w:sz w:val="22"/>
          <w:szCs w:val="22"/>
        </w:rPr>
        <w:t>has updated</w:t>
      </w:r>
      <w:r w:rsidRPr="00C26FA4">
        <w:rPr>
          <w:sz w:val="22"/>
          <w:szCs w:val="22"/>
        </w:rPr>
        <w:t xml:space="preserve"> the Environmental Cleanup Site Information System (ECSI)</w:t>
      </w:r>
      <w:r w:rsidRPr="008025EF">
        <w:rPr>
          <w:sz w:val="22"/>
          <w:szCs w:val="22"/>
        </w:rPr>
        <w:t xml:space="preserve"> database to reflect this decision. </w:t>
      </w:r>
    </w:p>
    <w:p w14:paraId="6DD05DD5" w14:textId="77777777" w:rsidR="00B45A68" w:rsidRPr="008025EF" w:rsidRDefault="00B45A68" w:rsidP="00B45A68">
      <w:pPr>
        <w:tabs>
          <w:tab w:val="left" w:pos="-720"/>
        </w:tabs>
        <w:suppressAutoHyphens/>
        <w:rPr>
          <w:sz w:val="22"/>
          <w:szCs w:val="22"/>
        </w:rPr>
      </w:pPr>
    </w:p>
    <w:p w14:paraId="6DACAE23" w14:textId="0DBF85F4" w:rsidR="00B45A68" w:rsidRPr="008025EF" w:rsidRDefault="00796188" w:rsidP="00B45A68">
      <w:pPr>
        <w:tabs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T</w:t>
      </w:r>
      <w:r w:rsidRPr="00796188">
        <w:rPr>
          <w:sz w:val="22"/>
          <w:szCs w:val="22"/>
        </w:rPr>
        <w:t xml:space="preserve">his letter only applies to </w:t>
      </w:r>
      <w:r w:rsidR="003A0C07">
        <w:rPr>
          <w:sz w:val="22"/>
          <w:szCs w:val="22"/>
        </w:rPr>
        <w:t xml:space="preserve">the </w:t>
      </w:r>
      <w:r w:rsidRPr="00796188">
        <w:rPr>
          <w:sz w:val="22"/>
          <w:szCs w:val="22"/>
        </w:rPr>
        <w:t>release</w:t>
      </w:r>
      <w:r w:rsidR="003A0C07">
        <w:rPr>
          <w:sz w:val="22"/>
          <w:szCs w:val="22"/>
        </w:rPr>
        <w:t>(</w:t>
      </w:r>
      <w:r w:rsidR="00925732">
        <w:rPr>
          <w:sz w:val="22"/>
          <w:szCs w:val="22"/>
        </w:rPr>
        <w:t>s</w:t>
      </w:r>
      <w:r w:rsidR="003A0C07">
        <w:rPr>
          <w:sz w:val="22"/>
          <w:szCs w:val="22"/>
        </w:rPr>
        <w:t>)</w:t>
      </w:r>
      <w:r w:rsidRPr="00796188">
        <w:rPr>
          <w:sz w:val="22"/>
          <w:szCs w:val="22"/>
        </w:rPr>
        <w:t xml:space="preserve"> discussed above.</w:t>
      </w:r>
      <w:r>
        <w:rPr>
          <w:sz w:val="22"/>
          <w:szCs w:val="22"/>
        </w:rPr>
        <w:t xml:space="preserve"> </w:t>
      </w:r>
      <w:r w:rsidR="00B45A68" w:rsidRPr="008025EF">
        <w:rPr>
          <w:sz w:val="22"/>
          <w:szCs w:val="22"/>
        </w:rPr>
        <w:t xml:space="preserve">If any contaminated </w:t>
      </w:r>
      <w:r w:rsidR="003A0C07">
        <w:rPr>
          <w:sz w:val="22"/>
          <w:szCs w:val="22"/>
        </w:rPr>
        <w:t>media</w:t>
      </w:r>
      <w:r w:rsidR="00B45A68" w:rsidRPr="008025EF">
        <w:rPr>
          <w:sz w:val="22"/>
          <w:szCs w:val="22"/>
        </w:rPr>
        <w:t xml:space="preserve"> is encountered in the future, it must be handled and disposed of in accordance with local, </w:t>
      </w:r>
      <w:r w:rsidR="003A3A3B" w:rsidRPr="008025EF">
        <w:rPr>
          <w:sz w:val="22"/>
          <w:szCs w:val="22"/>
        </w:rPr>
        <w:t>state,</w:t>
      </w:r>
      <w:r w:rsidR="00B45A68" w:rsidRPr="008025EF">
        <w:rPr>
          <w:sz w:val="22"/>
          <w:szCs w:val="22"/>
        </w:rPr>
        <w:t xml:space="preserve"> and federal regulations. </w:t>
      </w:r>
    </w:p>
    <w:p w14:paraId="14A15500" w14:textId="77777777" w:rsidR="00B45A68" w:rsidRPr="008025EF" w:rsidRDefault="00B45A68" w:rsidP="00B45A68">
      <w:pPr>
        <w:tabs>
          <w:tab w:val="left" w:pos="-720"/>
        </w:tabs>
        <w:suppressAutoHyphens/>
        <w:ind w:right="432"/>
        <w:rPr>
          <w:sz w:val="22"/>
          <w:szCs w:val="22"/>
        </w:rPr>
      </w:pPr>
    </w:p>
    <w:p w14:paraId="0C46A437" w14:textId="6B437145" w:rsidR="00B45A68" w:rsidRPr="0065282A" w:rsidRDefault="00B45A68" w:rsidP="00B45A68">
      <w:pPr>
        <w:tabs>
          <w:tab w:val="left" w:pos="-1440"/>
          <w:tab w:val="left" w:pos="-720"/>
        </w:tabs>
      </w:pPr>
      <w:r w:rsidRPr="008025EF">
        <w:rPr>
          <w:sz w:val="22"/>
          <w:szCs w:val="22"/>
        </w:rPr>
        <w:t xml:space="preserve">A copy of the </w:t>
      </w:r>
      <w:r w:rsidR="00D75115">
        <w:rPr>
          <w:sz w:val="22"/>
          <w:szCs w:val="22"/>
        </w:rPr>
        <w:t>NV5</w:t>
      </w:r>
      <w:r w:rsidR="003A3A3B" w:rsidRPr="003A3A3B">
        <w:rPr>
          <w:sz w:val="22"/>
          <w:szCs w:val="22"/>
        </w:rPr>
        <w:t xml:space="preserve"> </w:t>
      </w:r>
      <w:r w:rsidR="00EE0949">
        <w:rPr>
          <w:sz w:val="22"/>
          <w:szCs w:val="22"/>
        </w:rPr>
        <w:t>closure report entitled</w:t>
      </w:r>
      <w:r w:rsidR="003A3A3B" w:rsidRPr="003A3A3B">
        <w:rPr>
          <w:sz w:val="22"/>
          <w:szCs w:val="22"/>
        </w:rPr>
        <w:t xml:space="preserve"> </w:t>
      </w:r>
      <w:r w:rsidR="00D75115" w:rsidRPr="00EE0949">
        <w:rPr>
          <w:i/>
          <w:iCs/>
          <w:sz w:val="22"/>
          <w:szCs w:val="22"/>
        </w:rPr>
        <w:t>Environmental Summary and Closure Report</w:t>
      </w:r>
      <w:r w:rsidR="00D75115">
        <w:rPr>
          <w:sz w:val="22"/>
          <w:szCs w:val="22"/>
        </w:rPr>
        <w:t xml:space="preserve"> </w:t>
      </w:r>
      <w:r w:rsidRPr="008025EF">
        <w:rPr>
          <w:sz w:val="22"/>
          <w:szCs w:val="22"/>
        </w:rPr>
        <w:t xml:space="preserve">supporting this No Further Action decision can be viewed </w:t>
      </w:r>
      <w:r w:rsidRPr="0065282A">
        <w:rPr>
          <w:sz w:val="22"/>
          <w:szCs w:val="22"/>
        </w:rPr>
        <w:t>at</w:t>
      </w:r>
      <w:r w:rsidR="003A3A3B" w:rsidRPr="0065282A">
        <w:rPr>
          <w:sz w:val="22"/>
          <w:szCs w:val="22"/>
        </w:rPr>
        <w:t xml:space="preserve"> </w:t>
      </w:r>
      <w:proofErr w:type="spellStart"/>
      <w:r w:rsidR="00D75115">
        <w:t>xxxxxxxxxxxxxxxx</w:t>
      </w:r>
      <w:proofErr w:type="spellEnd"/>
      <w:r w:rsidR="00EE0949">
        <w:t>.</w:t>
      </w:r>
      <w:r w:rsidR="00D75115">
        <w:t xml:space="preserve"> </w:t>
      </w:r>
      <w:r w:rsidRPr="008025EF">
        <w:rPr>
          <w:sz w:val="22"/>
          <w:szCs w:val="22"/>
        </w:rPr>
        <w:t xml:space="preserve">DEQ recommends keeping a copy of </w:t>
      </w:r>
      <w:proofErr w:type="gramStart"/>
      <w:r w:rsidRPr="008025EF">
        <w:rPr>
          <w:sz w:val="22"/>
          <w:szCs w:val="22"/>
        </w:rPr>
        <w:t>all of</w:t>
      </w:r>
      <w:proofErr w:type="gramEnd"/>
      <w:r w:rsidRPr="008025EF">
        <w:rPr>
          <w:sz w:val="22"/>
          <w:szCs w:val="22"/>
        </w:rPr>
        <w:t xml:space="preserve"> the documentation associated with this remedial action with the permanent facility records. If you have any questions, please contact </w:t>
      </w:r>
      <w:r w:rsidR="00D75115">
        <w:rPr>
          <w:sz w:val="22"/>
          <w:szCs w:val="22"/>
        </w:rPr>
        <w:t>Bruce Scherzinger</w:t>
      </w:r>
      <w:r w:rsidRPr="008025EF">
        <w:rPr>
          <w:sz w:val="22"/>
          <w:szCs w:val="22"/>
        </w:rPr>
        <w:t>, or via email at</w:t>
      </w:r>
      <w:r w:rsidR="00C016AD">
        <w:rPr>
          <w:sz w:val="22"/>
          <w:szCs w:val="22"/>
        </w:rPr>
        <w:t xml:space="preserve"> </w:t>
      </w:r>
      <w:hyperlink r:id="rId7" w:history="1">
        <w:r w:rsidR="00D75115" w:rsidRPr="00753A70">
          <w:rPr>
            <w:rStyle w:val="Hyperlink"/>
            <w:sz w:val="22"/>
            <w:szCs w:val="22"/>
          </w:rPr>
          <w:t>bruce.scherzinger@deq.oregon.gov</w:t>
        </w:r>
      </w:hyperlink>
      <w:r w:rsidR="00C016AD">
        <w:rPr>
          <w:sz w:val="22"/>
          <w:szCs w:val="22"/>
        </w:rPr>
        <w:t>.</w:t>
      </w:r>
    </w:p>
    <w:p w14:paraId="0D1682D6" w14:textId="77777777" w:rsidR="00B45A68" w:rsidRPr="008025EF" w:rsidRDefault="00B45A68" w:rsidP="00B45A68">
      <w:pPr>
        <w:pStyle w:val="Closing"/>
        <w:ind w:left="0"/>
        <w:rPr>
          <w:sz w:val="22"/>
          <w:szCs w:val="22"/>
        </w:rPr>
      </w:pPr>
    </w:p>
    <w:p w14:paraId="33A60FB4" w14:textId="77777777" w:rsidR="00B45A68" w:rsidRPr="008025EF" w:rsidRDefault="00B45A68" w:rsidP="00B45A68">
      <w:pPr>
        <w:pStyle w:val="Closing"/>
        <w:spacing w:line="264" w:lineRule="auto"/>
        <w:ind w:left="0"/>
        <w:rPr>
          <w:sz w:val="22"/>
          <w:szCs w:val="22"/>
        </w:rPr>
      </w:pPr>
      <w:r w:rsidRPr="008025EF">
        <w:rPr>
          <w:sz w:val="22"/>
          <w:szCs w:val="22"/>
        </w:rPr>
        <w:t xml:space="preserve">Sincerely, </w:t>
      </w:r>
    </w:p>
    <w:p w14:paraId="04B53C91" w14:textId="77777777" w:rsidR="00B45A68" w:rsidRPr="008025EF" w:rsidRDefault="00B45A68" w:rsidP="00B45A68">
      <w:pPr>
        <w:pStyle w:val="Closing"/>
        <w:spacing w:line="264" w:lineRule="auto"/>
        <w:ind w:left="0"/>
        <w:rPr>
          <w:sz w:val="22"/>
          <w:szCs w:val="22"/>
        </w:rPr>
      </w:pPr>
    </w:p>
    <w:p w14:paraId="37E147CA" w14:textId="77777777" w:rsidR="00B45A68" w:rsidRPr="008025EF" w:rsidRDefault="00B45A68" w:rsidP="00B45A68">
      <w:pPr>
        <w:pStyle w:val="Closing"/>
        <w:spacing w:line="264" w:lineRule="auto"/>
        <w:ind w:left="0"/>
        <w:rPr>
          <w:sz w:val="22"/>
          <w:szCs w:val="22"/>
        </w:rPr>
      </w:pPr>
    </w:p>
    <w:p w14:paraId="588BE44D" w14:textId="77777777" w:rsidR="00B45A68" w:rsidRPr="008025EF" w:rsidRDefault="00B45A68" w:rsidP="00B45A68">
      <w:pPr>
        <w:pStyle w:val="Closing"/>
        <w:spacing w:line="264" w:lineRule="auto"/>
        <w:ind w:left="0"/>
        <w:rPr>
          <w:sz w:val="22"/>
          <w:szCs w:val="22"/>
        </w:rPr>
      </w:pPr>
    </w:p>
    <w:p w14:paraId="09C24899" w14:textId="22A5E533" w:rsidR="00B45A68" w:rsidRPr="008025EF" w:rsidRDefault="00C016AD" w:rsidP="00B45A68">
      <w:pPr>
        <w:pStyle w:val="Closing"/>
        <w:tabs>
          <w:tab w:val="left" w:pos="4680"/>
        </w:tabs>
        <w:spacing w:line="264" w:lineRule="auto"/>
        <w:ind w:left="0"/>
        <w:rPr>
          <w:sz w:val="22"/>
          <w:szCs w:val="22"/>
        </w:rPr>
      </w:pPr>
      <w:r>
        <w:rPr>
          <w:sz w:val="22"/>
          <w:szCs w:val="22"/>
        </w:rPr>
        <w:t>Brad Shul</w:t>
      </w:r>
      <w:r w:rsidR="00A62AE4">
        <w:rPr>
          <w:sz w:val="22"/>
          <w:szCs w:val="22"/>
        </w:rPr>
        <w:t>t</w:t>
      </w:r>
      <w:r>
        <w:rPr>
          <w:sz w:val="22"/>
          <w:szCs w:val="22"/>
        </w:rPr>
        <w:t>z</w:t>
      </w:r>
      <w:r w:rsidR="00B45A68" w:rsidRPr="008025EF">
        <w:rPr>
          <w:sz w:val="22"/>
          <w:szCs w:val="22"/>
        </w:rPr>
        <w:t>, Manager</w:t>
      </w:r>
    </w:p>
    <w:p w14:paraId="7D67DB43" w14:textId="1F5F57FE" w:rsidR="00B45A68" w:rsidRPr="008025EF" w:rsidRDefault="00C016AD" w:rsidP="00B45A68">
      <w:pPr>
        <w:pStyle w:val="Closing"/>
        <w:tabs>
          <w:tab w:val="left" w:pos="4680"/>
        </w:tabs>
        <w:spacing w:line="264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Western </w:t>
      </w:r>
      <w:r w:rsidR="00B45A68" w:rsidRPr="00C016AD">
        <w:rPr>
          <w:sz w:val="22"/>
          <w:szCs w:val="22"/>
        </w:rPr>
        <w:t>Region</w:t>
      </w:r>
      <w:r w:rsidR="00B45A68" w:rsidRPr="008025EF">
        <w:rPr>
          <w:sz w:val="22"/>
          <w:szCs w:val="22"/>
        </w:rPr>
        <w:t xml:space="preserve"> Cleanup Section</w:t>
      </w:r>
    </w:p>
    <w:p w14:paraId="145396B3" w14:textId="77777777" w:rsidR="00B45A68" w:rsidRPr="008025EF" w:rsidRDefault="00B45A68" w:rsidP="00B45A68">
      <w:pPr>
        <w:rPr>
          <w:sz w:val="22"/>
          <w:szCs w:val="22"/>
        </w:rPr>
      </w:pPr>
    </w:p>
    <w:p w14:paraId="09CE29E0" w14:textId="77777777" w:rsidR="00EF624F" w:rsidRDefault="00B45A68" w:rsidP="00B45A68">
      <w:pPr>
        <w:rPr>
          <w:sz w:val="22"/>
          <w:szCs w:val="22"/>
        </w:rPr>
      </w:pPr>
      <w:r w:rsidRPr="008025EF">
        <w:rPr>
          <w:sz w:val="22"/>
          <w:szCs w:val="22"/>
        </w:rPr>
        <w:t xml:space="preserve">Attachment: </w:t>
      </w:r>
      <w:r w:rsidRPr="008025EF">
        <w:rPr>
          <w:sz w:val="22"/>
          <w:szCs w:val="22"/>
        </w:rPr>
        <w:tab/>
      </w:r>
      <w:r w:rsidR="00EF624F">
        <w:rPr>
          <w:sz w:val="22"/>
          <w:szCs w:val="22"/>
        </w:rPr>
        <w:t>Figure 1</w:t>
      </w:r>
    </w:p>
    <w:p w14:paraId="65C90028" w14:textId="434A05D2" w:rsidR="00B45A68" w:rsidRDefault="00C016AD" w:rsidP="00EF624F">
      <w:pPr>
        <w:ind w:left="720" w:firstLine="720"/>
        <w:rPr>
          <w:sz w:val="22"/>
          <w:szCs w:val="22"/>
        </w:rPr>
      </w:pPr>
      <w:r w:rsidRPr="00A62AE4">
        <w:rPr>
          <w:sz w:val="22"/>
          <w:szCs w:val="22"/>
        </w:rPr>
        <w:t xml:space="preserve">Tax </w:t>
      </w:r>
      <w:r w:rsidR="00EF624F">
        <w:rPr>
          <w:sz w:val="22"/>
          <w:szCs w:val="22"/>
        </w:rPr>
        <w:t xml:space="preserve">Lot </w:t>
      </w:r>
      <w:r w:rsidR="00B45A68" w:rsidRPr="00A62AE4">
        <w:rPr>
          <w:sz w:val="22"/>
          <w:szCs w:val="22"/>
        </w:rPr>
        <w:t>Map</w:t>
      </w:r>
    </w:p>
    <w:p w14:paraId="31FEF74F" w14:textId="45DFA48A" w:rsidR="00810B1B" w:rsidRPr="008025EF" w:rsidRDefault="00810B1B" w:rsidP="00B45A6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1A7EE6F" w14:textId="77777777" w:rsidR="00B45A68" w:rsidRPr="008025EF" w:rsidRDefault="00B45A68" w:rsidP="00B45A68">
      <w:pPr>
        <w:rPr>
          <w:sz w:val="22"/>
          <w:szCs w:val="22"/>
        </w:rPr>
      </w:pPr>
    </w:p>
    <w:p w14:paraId="0F8D1DC0" w14:textId="23328821" w:rsidR="00B45A68" w:rsidRDefault="00A62AE4" w:rsidP="00D75115">
      <w:pPr>
        <w:pStyle w:val="Date"/>
        <w:spacing w:before="0"/>
        <w:ind w:left="36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 w:rsidR="00B45A68" w:rsidRPr="008025EF">
        <w:rPr>
          <w:sz w:val="22"/>
          <w:szCs w:val="22"/>
        </w:rPr>
        <w:t>cc</w:t>
      </w:r>
      <w:proofErr w:type="spellEnd"/>
      <w:r w:rsidR="00B45A68" w:rsidRPr="008025EF">
        <w:rPr>
          <w:sz w:val="22"/>
          <w:szCs w:val="22"/>
        </w:rPr>
        <w:t>:</w:t>
      </w:r>
      <w:r w:rsidR="00B45A68" w:rsidRPr="008025EF">
        <w:rPr>
          <w:sz w:val="22"/>
          <w:szCs w:val="22"/>
        </w:rPr>
        <w:tab/>
      </w:r>
      <w:r w:rsidR="00B45A68" w:rsidRPr="008025EF">
        <w:rPr>
          <w:sz w:val="22"/>
          <w:szCs w:val="22"/>
        </w:rPr>
        <w:tab/>
      </w:r>
      <w:r w:rsidR="00371A66">
        <w:rPr>
          <w:sz w:val="22"/>
          <w:szCs w:val="22"/>
        </w:rPr>
        <w:t>Bruce Scherzinger – Oregon DEQ</w:t>
      </w:r>
    </w:p>
    <w:p w14:paraId="20E7CC4F" w14:textId="7FE28A55" w:rsidR="00A62AE4" w:rsidRPr="00A62AE4" w:rsidRDefault="00A62AE4" w:rsidP="00A62AE4">
      <w:pPr>
        <w:rPr>
          <w:sz w:val="22"/>
          <w:szCs w:val="22"/>
        </w:rPr>
      </w:pPr>
      <w:r>
        <w:tab/>
      </w:r>
      <w:r w:rsidR="00D75115">
        <w:rPr>
          <w:sz w:val="22"/>
          <w:szCs w:val="22"/>
        </w:rPr>
        <w:t>Kyle Sattler</w:t>
      </w:r>
      <w:r w:rsidRPr="00A62AE4">
        <w:rPr>
          <w:sz w:val="22"/>
          <w:szCs w:val="22"/>
        </w:rPr>
        <w:t xml:space="preserve"> </w:t>
      </w:r>
      <w:r w:rsidR="00D75115">
        <w:rPr>
          <w:sz w:val="22"/>
          <w:szCs w:val="22"/>
        </w:rPr>
        <w:t>– NV5 Consulting</w:t>
      </w:r>
      <w:r w:rsidRPr="00A62AE4">
        <w:rPr>
          <w:sz w:val="22"/>
          <w:szCs w:val="22"/>
        </w:rPr>
        <w:t xml:space="preserve">  </w:t>
      </w:r>
    </w:p>
    <w:p w14:paraId="2A651BD2" w14:textId="0512E075" w:rsidR="00B45A68" w:rsidRPr="008025EF" w:rsidRDefault="00B45A68" w:rsidP="00B45A68">
      <w:pPr>
        <w:pStyle w:val="Date"/>
        <w:spacing w:before="0" w:line="264" w:lineRule="auto"/>
        <w:ind w:left="0" w:firstLine="720"/>
        <w:rPr>
          <w:sz w:val="22"/>
          <w:szCs w:val="22"/>
        </w:rPr>
      </w:pPr>
      <w:r w:rsidRPr="008025EF">
        <w:rPr>
          <w:sz w:val="22"/>
          <w:szCs w:val="22"/>
        </w:rPr>
        <w:t>ECSI #</w:t>
      </w:r>
      <w:r w:rsidR="00D75115">
        <w:rPr>
          <w:sz w:val="22"/>
          <w:szCs w:val="22"/>
        </w:rPr>
        <w:t>6509</w:t>
      </w:r>
      <w:r w:rsidRPr="008025EF">
        <w:rPr>
          <w:sz w:val="22"/>
          <w:szCs w:val="22"/>
        </w:rPr>
        <w:t xml:space="preserve"> File</w:t>
      </w:r>
    </w:p>
    <w:p w14:paraId="2CE64790" w14:textId="14A449C0" w:rsidR="005029D0" w:rsidRDefault="005029D0">
      <w:pPr>
        <w:widowControl w:val="0"/>
        <w:spacing w:before="120" w:after="80"/>
      </w:pPr>
    </w:p>
    <w:sectPr w:rsidR="005029D0" w:rsidSect="005029D0">
      <w:headerReference w:type="default" r:id="rId8"/>
      <w:headerReference w:type="first" r:id="rId9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BC2B3" w14:textId="77777777" w:rsidR="00F84D48" w:rsidRDefault="00F84D48">
      <w:r>
        <w:separator/>
      </w:r>
    </w:p>
  </w:endnote>
  <w:endnote w:type="continuationSeparator" w:id="0">
    <w:p w14:paraId="6BBF8600" w14:textId="77777777" w:rsidR="00F84D48" w:rsidRDefault="00F8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21E92" w14:textId="77777777" w:rsidR="00F84D48" w:rsidRDefault="00F84D48">
      <w:r>
        <w:separator/>
      </w:r>
    </w:p>
  </w:footnote>
  <w:footnote w:type="continuationSeparator" w:id="0">
    <w:p w14:paraId="70598A72" w14:textId="77777777" w:rsidR="00F84D48" w:rsidRDefault="00F8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338C" w14:textId="7886CD8B" w:rsidR="00B45A68" w:rsidRDefault="00B45A68" w:rsidP="00B45A68">
    <w:pPr>
      <w:ind w:left="2880" w:hanging="720"/>
      <w:jc w:val="right"/>
    </w:pPr>
    <w:r w:rsidRPr="0002692A">
      <w:t xml:space="preserve">No Further Action </w:t>
    </w:r>
  </w:p>
  <w:p w14:paraId="5F103988" w14:textId="57ABAC0D" w:rsidR="00B45A68" w:rsidRPr="0002692A" w:rsidRDefault="00255F78" w:rsidP="00B45A68">
    <w:pPr>
      <w:ind w:left="2880" w:hanging="720"/>
      <w:jc w:val="right"/>
    </w:pPr>
    <w:r>
      <w:rPr>
        <w:sz w:val="22"/>
        <w:szCs w:val="22"/>
      </w:rPr>
      <w:t>Sequoia Crossings</w:t>
    </w:r>
  </w:p>
  <w:p w14:paraId="0C7BEEAD" w14:textId="14FBF708" w:rsidR="00B45A68" w:rsidRPr="0002692A" w:rsidRDefault="00B45A68" w:rsidP="00B45A68">
    <w:pPr>
      <w:ind w:left="2880" w:hanging="720"/>
      <w:jc w:val="right"/>
    </w:pPr>
    <w:r w:rsidRPr="00C26FA4">
      <w:t>ECSI #</w:t>
    </w:r>
    <w:r w:rsidR="00255F78">
      <w:t>6509</w:t>
    </w:r>
  </w:p>
  <w:p w14:paraId="09801547" w14:textId="3F1BB496" w:rsidR="00B45A68" w:rsidRPr="0002692A" w:rsidRDefault="00255F78" w:rsidP="00B45A68">
    <w:pPr>
      <w:ind w:left="2160" w:firstLine="720"/>
      <w:jc w:val="right"/>
    </w:pPr>
    <w:r>
      <w:t>August</w:t>
    </w:r>
    <w:r w:rsidR="002650BD">
      <w:t xml:space="preserve"> </w:t>
    </w:r>
    <w:r>
      <w:t>20</w:t>
    </w:r>
    <w:r w:rsidR="002650BD">
      <w:t>, 2024</w:t>
    </w:r>
  </w:p>
  <w:p w14:paraId="11BD01A3" w14:textId="0BE288B8" w:rsidR="00B45A68" w:rsidRPr="0002692A" w:rsidRDefault="00B45A68" w:rsidP="00B45A68">
    <w:pPr>
      <w:tabs>
        <w:tab w:val="right" w:pos="9360"/>
      </w:tabs>
      <w:jc w:val="right"/>
      <w:rPr>
        <w:highlight w:val="yellow"/>
      </w:rPr>
    </w:pPr>
    <w:r w:rsidRPr="0002692A">
      <w:t xml:space="preserve">Page </w:t>
    </w:r>
    <w:r w:rsidR="004A5FF1" w:rsidRPr="0002692A">
      <w:rPr>
        <w:rStyle w:val="PageNumber"/>
      </w:rPr>
      <w:fldChar w:fldCharType="begin"/>
    </w:r>
    <w:r w:rsidRPr="0002692A">
      <w:rPr>
        <w:rStyle w:val="PageNumber"/>
      </w:rPr>
      <w:instrText xml:space="preserve"> PAGE </w:instrText>
    </w:r>
    <w:r w:rsidR="004A5FF1" w:rsidRPr="0002692A">
      <w:rPr>
        <w:rStyle w:val="PageNumber"/>
      </w:rPr>
      <w:fldChar w:fldCharType="separate"/>
    </w:r>
    <w:r w:rsidR="00493C40">
      <w:rPr>
        <w:rStyle w:val="PageNumber"/>
        <w:noProof/>
      </w:rPr>
      <w:t>2</w:t>
    </w:r>
    <w:r w:rsidR="004A5FF1" w:rsidRPr="0002692A">
      <w:rPr>
        <w:rStyle w:val="PageNumber"/>
      </w:rPr>
      <w:fldChar w:fldCharType="end"/>
    </w:r>
  </w:p>
  <w:p w14:paraId="1AF49093" w14:textId="77777777" w:rsidR="00B45A68" w:rsidRDefault="00B45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6264B" w14:textId="18BA4EF5" w:rsidR="005029D0" w:rsidRPr="00442032" w:rsidRDefault="001630E9">
    <w:pPr>
      <w:pStyle w:val="Header"/>
      <w:tabs>
        <w:tab w:val="clear" w:pos="4680"/>
        <w:tab w:val="clear" w:pos="9360"/>
        <w:tab w:val="right" w:pos="11016"/>
      </w:tabs>
      <w:ind w:right="90" w:hanging="990"/>
      <w:rPr>
        <w:color w:val="4B5B9F"/>
      </w:rPr>
    </w:pPr>
    <w:r w:rsidRPr="001630E9">
      <w:rPr>
        <w:noProof/>
        <w:color w:val="4B5B9F"/>
      </w:rPr>
      <w:drawing>
        <wp:anchor distT="0" distB="0" distL="114300" distR="114300" simplePos="0" relativeHeight="251657728" behindDoc="1" locked="0" layoutInCell="1" allowOverlap="1" wp14:anchorId="5E9D8769" wp14:editId="5C60A8C6">
          <wp:simplePos x="0" y="0"/>
          <wp:positionH relativeFrom="column">
            <wp:posOffset>-553444</wp:posOffset>
          </wp:positionH>
          <wp:positionV relativeFrom="paragraph">
            <wp:posOffset>32302</wp:posOffset>
          </wp:positionV>
          <wp:extent cx="890270" cy="882595"/>
          <wp:effectExtent l="19050" t="0" r="5439" b="0"/>
          <wp:wrapNone/>
          <wp:docPr id="3" name="Picture 3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911" cy="8859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492" w:rsidRPr="00442032">
      <w:rPr>
        <w:noProof/>
        <w:color w:val="4B5B9F"/>
      </w:rPr>
      <w:drawing>
        <wp:anchor distT="0" distB="0" distL="114300" distR="114300" simplePos="0" relativeHeight="251656704" behindDoc="1" locked="0" layoutInCell="1" allowOverlap="1" wp14:anchorId="0337A7C6" wp14:editId="092C035E">
          <wp:simplePos x="0" y="0"/>
          <wp:positionH relativeFrom="column">
            <wp:posOffset>429370</wp:posOffset>
          </wp:positionH>
          <wp:positionV relativeFrom="paragraph">
            <wp:posOffset>-15406</wp:posOffset>
          </wp:positionV>
          <wp:extent cx="6105967" cy="930303"/>
          <wp:effectExtent l="19050" t="0" r="9083" b="0"/>
          <wp:wrapNone/>
          <wp:docPr id="4" name="Picture 4" descr="LETTERHEA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2.jpg"/>
                  <pic:cNvPicPr/>
                </pic:nvPicPr>
                <pic:blipFill>
                  <a:blip r:embed="rId2"/>
                  <a:srcRect l="13379"/>
                  <a:stretch>
                    <a:fillRect/>
                  </a:stretch>
                </pic:blipFill>
                <pic:spPr>
                  <a:xfrm>
                    <a:off x="0" y="0"/>
                    <a:ext cx="6105967" cy="930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27EB29" w14:textId="7FB6B2F4" w:rsidR="005029D0" w:rsidRPr="00442032" w:rsidRDefault="000E2050">
    <w:pPr>
      <w:pStyle w:val="Header"/>
      <w:tabs>
        <w:tab w:val="left" w:pos="5760"/>
      </w:tabs>
      <w:spacing w:before="120"/>
      <w:ind w:right="-634"/>
      <w:jc w:val="right"/>
      <w:rPr>
        <w:b/>
        <w:color w:val="4B5B9F"/>
        <w:szCs w:val="18"/>
      </w:rPr>
    </w:pPr>
    <w:r>
      <w:rPr>
        <w:rFonts w:ascii="Palatino Linotype" w:hAnsi="Palatino Linotype"/>
        <w:b/>
        <w:noProof/>
        <w:color w:val="4B5B9F"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889D59C" wp14:editId="125C730F">
              <wp:simplePos x="0" y="0"/>
              <wp:positionH relativeFrom="column">
                <wp:posOffset>3689350</wp:posOffset>
              </wp:positionH>
              <wp:positionV relativeFrom="paragraph">
                <wp:posOffset>78105</wp:posOffset>
              </wp:positionV>
              <wp:extent cx="2774950" cy="231140"/>
              <wp:effectExtent l="3175" t="1905" r="317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F0675" id="Rectangle 1" o:spid="_x0000_s1026" style="position:absolute;margin-left:290.5pt;margin-top:6.15pt;width:218.5pt;height:18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" stroked="f"/>
          </w:pict>
        </mc:Fallback>
      </mc:AlternateContent>
    </w:r>
    <w:r w:rsidR="00ED61B6" w:rsidRPr="00442032">
      <w:rPr>
        <w:rFonts w:ascii="Palatino Linotype" w:hAnsi="Palatino Linotype"/>
        <w:b/>
        <w:color w:val="4B5B9F"/>
      </w:rPr>
      <w:t>Department of Environmental Quality</w:t>
    </w:r>
  </w:p>
  <w:p w14:paraId="2D752431" w14:textId="54A23E20" w:rsidR="005029D0" w:rsidRPr="00580B9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b/>
        <w:color w:val="4B5B9F"/>
        <w:sz w:val="18"/>
        <w:szCs w:val="18"/>
      </w:rPr>
    </w:pP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Pr="00442032">
      <w:rPr>
        <w:rFonts w:ascii="Palatino Linotype" w:hAnsi="Palatino Linotype"/>
        <w:b/>
        <w:color w:val="4B5B9F"/>
        <w:sz w:val="18"/>
        <w:szCs w:val="18"/>
      </w:rPr>
      <w:tab/>
    </w:r>
    <w:r w:rsidR="00B45A68" w:rsidRPr="00580B90">
      <w:rPr>
        <w:rFonts w:ascii="Palatino Linotype" w:hAnsi="Palatino Linotype"/>
        <w:b/>
        <w:color w:val="4B5B9F"/>
        <w:sz w:val="18"/>
        <w:szCs w:val="18"/>
      </w:rPr>
      <w:t>Western</w:t>
    </w:r>
    <w:r w:rsidR="00FF7ADF" w:rsidRPr="00580B90">
      <w:rPr>
        <w:rFonts w:ascii="Palatino Linotype" w:hAnsi="Palatino Linotype"/>
        <w:b/>
        <w:color w:val="4B5B9F"/>
        <w:sz w:val="18"/>
        <w:szCs w:val="18"/>
      </w:rPr>
      <w:t xml:space="preserve"> Region</w:t>
    </w:r>
  </w:p>
  <w:p w14:paraId="01FA2A4C" w14:textId="3CC3A27E" w:rsidR="005029D0" w:rsidRPr="00580B9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color w:val="4B5B9F"/>
        <w:sz w:val="18"/>
        <w:szCs w:val="18"/>
      </w:rPr>
    </w:pPr>
    <w:r w:rsidRPr="00580B90">
      <w:rPr>
        <w:rFonts w:ascii="Palatino Linotype" w:hAnsi="Palatino Linotype"/>
        <w:color w:val="4B5B9F"/>
        <w:sz w:val="18"/>
        <w:szCs w:val="18"/>
      </w:rPr>
      <w:tab/>
    </w:r>
    <w:r w:rsidRPr="00580B90">
      <w:rPr>
        <w:rFonts w:ascii="Palatino Linotype" w:hAnsi="Palatino Linotype"/>
        <w:color w:val="4B5B9F"/>
        <w:sz w:val="18"/>
        <w:szCs w:val="18"/>
      </w:rPr>
      <w:tab/>
    </w:r>
    <w:r w:rsidR="00580B90" w:rsidRPr="00580B90">
      <w:rPr>
        <w:rFonts w:ascii="Palatino Linotype" w:hAnsi="Palatino Linotype"/>
        <w:color w:val="4B5B9F"/>
        <w:sz w:val="18"/>
        <w:szCs w:val="18"/>
      </w:rPr>
      <w:t>165 East 7</w:t>
    </w:r>
    <w:r w:rsidR="00580B90" w:rsidRPr="00580B90">
      <w:rPr>
        <w:rFonts w:ascii="Palatino Linotype" w:hAnsi="Palatino Linotype"/>
        <w:color w:val="4B5B9F"/>
        <w:sz w:val="18"/>
        <w:szCs w:val="18"/>
        <w:vertAlign w:val="superscript"/>
      </w:rPr>
      <w:t>th</w:t>
    </w:r>
    <w:r w:rsidR="00580B90" w:rsidRPr="00580B90">
      <w:rPr>
        <w:rFonts w:ascii="Palatino Linotype" w:hAnsi="Palatino Linotype"/>
        <w:color w:val="4B5B9F"/>
        <w:sz w:val="18"/>
        <w:szCs w:val="18"/>
      </w:rPr>
      <w:t xml:space="preserve"> Avenue, Suite 100</w:t>
    </w:r>
  </w:p>
  <w:p w14:paraId="75355C74" w14:textId="39EBA908" w:rsidR="005029D0" w:rsidRPr="00580B9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right="-634"/>
      <w:rPr>
        <w:rFonts w:ascii="Palatino Linotype" w:hAnsi="Palatino Linotype"/>
        <w:color w:val="4B5B9F"/>
        <w:sz w:val="18"/>
        <w:szCs w:val="18"/>
      </w:rPr>
    </w:pPr>
    <w:r w:rsidRPr="00580B90">
      <w:rPr>
        <w:rFonts w:ascii="Palatino Linotype" w:hAnsi="Palatino Linotype"/>
        <w:color w:val="4B5B9F"/>
        <w:sz w:val="18"/>
        <w:szCs w:val="18"/>
      </w:rPr>
      <w:tab/>
    </w:r>
    <w:r w:rsidR="007A1C3E" w:rsidRPr="00580B90">
      <w:rPr>
        <w:rFonts w:ascii="Palatino Linotype" w:hAnsi="Palatino Linotype"/>
        <w:color w:val="4B5B9F"/>
        <w:sz w:val="18"/>
        <w:szCs w:val="18"/>
      </w:rPr>
      <w:t xml:space="preserve"> </w:t>
    </w:r>
    <w:r w:rsidR="00580B90" w:rsidRPr="00580B90">
      <w:rPr>
        <w:rFonts w:ascii="Palatino Linotype" w:hAnsi="Palatino Linotype"/>
        <w:color w:val="4B5B9F"/>
        <w:sz w:val="16"/>
        <w:szCs w:val="18"/>
      </w:rPr>
      <w:t>Tina Kotek</w:t>
    </w:r>
    <w:r w:rsidR="00934745" w:rsidRPr="00580B90">
      <w:rPr>
        <w:rFonts w:ascii="Palatino Linotype" w:hAnsi="Palatino Linotype"/>
        <w:color w:val="4B5B9F"/>
        <w:sz w:val="16"/>
        <w:szCs w:val="16"/>
      </w:rPr>
      <w:t xml:space="preserve">, </w:t>
    </w:r>
    <w:r w:rsidRPr="00580B90">
      <w:rPr>
        <w:rFonts w:ascii="Palatino Linotype" w:hAnsi="Palatino Linotype"/>
        <w:color w:val="4B5B9F"/>
        <w:sz w:val="16"/>
        <w:szCs w:val="18"/>
      </w:rPr>
      <w:t>Governor</w:t>
    </w:r>
    <w:r w:rsidRPr="00580B90">
      <w:rPr>
        <w:rFonts w:ascii="Palatino Linotype" w:hAnsi="Palatino Linotype"/>
        <w:color w:val="4B5B9F"/>
        <w:sz w:val="18"/>
        <w:szCs w:val="18"/>
      </w:rPr>
      <w:tab/>
    </w:r>
    <w:r w:rsidR="00580B90" w:rsidRPr="00580B90">
      <w:rPr>
        <w:rFonts w:ascii="Palatino Linotype" w:hAnsi="Palatino Linotype"/>
        <w:color w:val="4B5B9F"/>
        <w:sz w:val="18"/>
        <w:szCs w:val="18"/>
      </w:rPr>
      <w:t>Eugene</w:t>
    </w:r>
    <w:r w:rsidRPr="00580B90">
      <w:rPr>
        <w:rFonts w:ascii="Palatino Linotype" w:hAnsi="Palatino Linotype"/>
        <w:color w:val="4B5B9F"/>
        <w:sz w:val="18"/>
        <w:szCs w:val="18"/>
      </w:rPr>
      <w:t xml:space="preserve">, OR  </w:t>
    </w:r>
    <w:r w:rsidR="00580B90" w:rsidRPr="00580B90">
      <w:rPr>
        <w:rFonts w:ascii="Palatino Linotype" w:hAnsi="Palatino Linotype"/>
        <w:color w:val="4B5B9F"/>
        <w:sz w:val="18"/>
        <w:szCs w:val="18"/>
      </w:rPr>
      <w:t>97401</w:t>
    </w:r>
    <w:r w:rsidR="00AD5503">
      <w:rPr>
        <w:rFonts w:ascii="Palatino Linotype" w:hAnsi="Palatino Linotype"/>
        <w:color w:val="4B5B9F"/>
        <w:sz w:val="18"/>
        <w:szCs w:val="18"/>
      </w:rPr>
      <w:t>-3049</w:t>
    </w:r>
  </w:p>
  <w:p w14:paraId="1B28CCD9" w14:textId="2ED2CDC8" w:rsidR="005029D0" w:rsidRPr="00442032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  <w:rPr>
        <w:rFonts w:ascii="Palatino Linotype" w:hAnsi="Palatino Linotype"/>
        <w:color w:val="4B5B9F"/>
        <w:sz w:val="18"/>
        <w:szCs w:val="18"/>
      </w:rPr>
    </w:pPr>
    <w:r w:rsidRPr="00580B90">
      <w:rPr>
        <w:rFonts w:ascii="Palatino Linotype" w:hAnsi="Palatino Linotype"/>
        <w:color w:val="4B5B9F"/>
        <w:sz w:val="18"/>
        <w:szCs w:val="18"/>
      </w:rPr>
      <w:tab/>
    </w:r>
    <w:r w:rsidRPr="00580B90">
      <w:rPr>
        <w:rFonts w:ascii="Palatino Linotype" w:hAnsi="Palatino Linotype"/>
        <w:color w:val="4B5B9F"/>
        <w:sz w:val="18"/>
        <w:szCs w:val="18"/>
      </w:rPr>
      <w:tab/>
      <w:t>(</w:t>
    </w:r>
    <w:r w:rsidR="00580B90" w:rsidRPr="00580B90">
      <w:rPr>
        <w:rFonts w:ascii="Palatino Linotype" w:hAnsi="Palatino Linotype"/>
        <w:color w:val="4B5B9F"/>
        <w:sz w:val="18"/>
        <w:szCs w:val="18"/>
      </w:rPr>
      <w:t>541) 686-7838</w:t>
    </w:r>
  </w:p>
  <w:p w14:paraId="0747713C" w14:textId="77777777" w:rsidR="00B45A68" w:rsidRDefault="00ED61B6" w:rsidP="00B45A68">
    <w:pPr>
      <w:pStyle w:val="Header"/>
      <w:tabs>
        <w:tab w:val="clear" w:pos="4680"/>
        <w:tab w:val="clear" w:pos="9360"/>
        <w:tab w:val="left" w:pos="630"/>
        <w:tab w:val="right" w:pos="9990"/>
      </w:tabs>
      <w:ind w:right="-634"/>
    </w:pPr>
    <w:r w:rsidRPr="00442032">
      <w:rPr>
        <w:rFonts w:ascii="Palatino Linotype" w:hAnsi="Palatino Linotype"/>
        <w:color w:val="4B5B9F"/>
        <w:sz w:val="18"/>
        <w:szCs w:val="18"/>
      </w:rPr>
      <w:tab/>
    </w:r>
    <w:r w:rsidRPr="00442032">
      <w:rPr>
        <w:rFonts w:ascii="Palatino Linotype" w:hAnsi="Palatino Linotype"/>
        <w:color w:val="4B5B9F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D3C37"/>
    <w:multiLevelType w:val="hybridMultilevel"/>
    <w:tmpl w:val="6DB63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52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1"/>
    <w:rsid w:val="00060750"/>
    <w:rsid w:val="00081834"/>
    <w:rsid w:val="000900AF"/>
    <w:rsid w:val="000A5DF3"/>
    <w:rsid w:val="000C6492"/>
    <w:rsid w:val="000E03DE"/>
    <w:rsid w:val="000E2050"/>
    <w:rsid w:val="001136D5"/>
    <w:rsid w:val="001630E9"/>
    <w:rsid w:val="00174093"/>
    <w:rsid w:val="001832ED"/>
    <w:rsid w:val="00193141"/>
    <w:rsid w:val="00193AB7"/>
    <w:rsid w:val="001A2041"/>
    <w:rsid w:val="00252CF3"/>
    <w:rsid w:val="00255F78"/>
    <w:rsid w:val="002650BD"/>
    <w:rsid w:val="002F3933"/>
    <w:rsid w:val="00371A66"/>
    <w:rsid w:val="0038562B"/>
    <w:rsid w:val="003A0C07"/>
    <w:rsid w:val="003A3A3B"/>
    <w:rsid w:val="00442032"/>
    <w:rsid w:val="00444FCD"/>
    <w:rsid w:val="004759B7"/>
    <w:rsid w:val="00493C40"/>
    <w:rsid w:val="004A5FF1"/>
    <w:rsid w:val="004D13A8"/>
    <w:rsid w:val="004F283D"/>
    <w:rsid w:val="005029D0"/>
    <w:rsid w:val="00512BDD"/>
    <w:rsid w:val="00514E2A"/>
    <w:rsid w:val="00580B90"/>
    <w:rsid w:val="00586DDD"/>
    <w:rsid w:val="005A5A35"/>
    <w:rsid w:val="005B1920"/>
    <w:rsid w:val="005C3EB5"/>
    <w:rsid w:val="005F586D"/>
    <w:rsid w:val="00603802"/>
    <w:rsid w:val="006045C4"/>
    <w:rsid w:val="0064221F"/>
    <w:rsid w:val="00651959"/>
    <w:rsid w:val="0065282A"/>
    <w:rsid w:val="006C2AF4"/>
    <w:rsid w:val="006E11C2"/>
    <w:rsid w:val="006E2794"/>
    <w:rsid w:val="006E4885"/>
    <w:rsid w:val="007359AA"/>
    <w:rsid w:val="0074059B"/>
    <w:rsid w:val="00796188"/>
    <w:rsid w:val="007A0537"/>
    <w:rsid w:val="007A1C3E"/>
    <w:rsid w:val="007D28D6"/>
    <w:rsid w:val="0081003C"/>
    <w:rsid w:val="00810B1B"/>
    <w:rsid w:val="00834F72"/>
    <w:rsid w:val="00836198"/>
    <w:rsid w:val="00857BFC"/>
    <w:rsid w:val="00894FA6"/>
    <w:rsid w:val="008A7A15"/>
    <w:rsid w:val="008F7941"/>
    <w:rsid w:val="00916491"/>
    <w:rsid w:val="00925732"/>
    <w:rsid w:val="00934745"/>
    <w:rsid w:val="00944D12"/>
    <w:rsid w:val="009458DA"/>
    <w:rsid w:val="00950EB5"/>
    <w:rsid w:val="00957402"/>
    <w:rsid w:val="009917BF"/>
    <w:rsid w:val="0099214E"/>
    <w:rsid w:val="009F00E7"/>
    <w:rsid w:val="00A173B3"/>
    <w:rsid w:val="00A276C4"/>
    <w:rsid w:val="00A37814"/>
    <w:rsid w:val="00A62AE4"/>
    <w:rsid w:val="00AD5503"/>
    <w:rsid w:val="00B45A68"/>
    <w:rsid w:val="00B56B9D"/>
    <w:rsid w:val="00B673CA"/>
    <w:rsid w:val="00B8407D"/>
    <w:rsid w:val="00BA2157"/>
    <w:rsid w:val="00BB2E26"/>
    <w:rsid w:val="00BD2349"/>
    <w:rsid w:val="00BE561E"/>
    <w:rsid w:val="00C016AD"/>
    <w:rsid w:val="00C146FE"/>
    <w:rsid w:val="00C26FA4"/>
    <w:rsid w:val="00C6440B"/>
    <w:rsid w:val="00C66C4C"/>
    <w:rsid w:val="00C90B27"/>
    <w:rsid w:val="00CB0BC3"/>
    <w:rsid w:val="00CB4268"/>
    <w:rsid w:val="00CC7029"/>
    <w:rsid w:val="00D12AD7"/>
    <w:rsid w:val="00D35543"/>
    <w:rsid w:val="00D47E70"/>
    <w:rsid w:val="00D7173F"/>
    <w:rsid w:val="00D75115"/>
    <w:rsid w:val="00DC0101"/>
    <w:rsid w:val="00DE632D"/>
    <w:rsid w:val="00DF368C"/>
    <w:rsid w:val="00DF746B"/>
    <w:rsid w:val="00EC303C"/>
    <w:rsid w:val="00ED61B6"/>
    <w:rsid w:val="00EE0949"/>
    <w:rsid w:val="00EE5DC3"/>
    <w:rsid w:val="00EF624F"/>
    <w:rsid w:val="00F41F42"/>
    <w:rsid w:val="00F84D48"/>
    <w:rsid w:val="00FA17D0"/>
    <w:rsid w:val="00FF281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F5902"/>
  <w15:docId w15:val="{8D1715E5-33E0-4FC0-89A3-25D69B9C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68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45A6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5A68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A68"/>
  </w:style>
  <w:style w:type="character" w:customStyle="1" w:styleId="CommentTextChar">
    <w:name w:val="Comment Text Char"/>
    <w:basedOn w:val="DefaultParagraphFont"/>
    <w:link w:val="CommentText"/>
    <w:uiPriority w:val="99"/>
    <w:rsid w:val="00B45A68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BodyText"/>
    <w:next w:val="Normal"/>
    <w:link w:val="DateChar"/>
    <w:rsid w:val="00B45A68"/>
    <w:pPr>
      <w:spacing w:before="480" w:after="0"/>
      <w:ind w:left="3600"/>
    </w:pPr>
    <w:rPr>
      <w:sz w:val="24"/>
    </w:rPr>
  </w:style>
  <w:style w:type="character" w:customStyle="1" w:styleId="DateChar">
    <w:name w:val="Date Char"/>
    <w:basedOn w:val="DefaultParagraphFont"/>
    <w:link w:val="Date"/>
    <w:rsid w:val="00B45A68"/>
    <w:rPr>
      <w:rFonts w:ascii="Times New Roman" w:eastAsia="Times New Roman" w:hAnsi="Times New Roman" w:cs="Times New Roman"/>
      <w:sz w:val="24"/>
      <w:szCs w:val="20"/>
    </w:rPr>
  </w:style>
  <w:style w:type="paragraph" w:styleId="Closing">
    <w:name w:val="Closing"/>
    <w:basedOn w:val="BodyText"/>
    <w:link w:val="ClosingChar"/>
    <w:rsid w:val="00B45A68"/>
    <w:pPr>
      <w:keepNext/>
      <w:spacing w:after="0"/>
      <w:ind w:left="3600"/>
    </w:pPr>
    <w:rPr>
      <w:sz w:val="24"/>
    </w:rPr>
  </w:style>
  <w:style w:type="character" w:customStyle="1" w:styleId="ClosingChar">
    <w:name w:val="Closing Char"/>
    <w:basedOn w:val="DefaultParagraphFont"/>
    <w:link w:val="Closing"/>
    <w:rsid w:val="00B45A6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45A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5A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45A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7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101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3A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A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uce.scherzinger@deq.orego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Dietz</dc:creator>
  <cp:lastModifiedBy>SCHERZINGER Bruce * DEQ</cp:lastModifiedBy>
  <cp:revision>16</cp:revision>
  <cp:lastPrinted>2024-09-05T20:32:00Z</cp:lastPrinted>
  <dcterms:created xsi:type="dcterms:W3CDTF">2024-08-20T21:00:00Z</dcterms:created>
  <dcterms:modified xsi:type="dcterms:W3CDTF">2024-09-05T21:13:00Z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2024-01-09T19:30:53Z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be28b31d-1d86-4f84-931f-7142af4dc3ce</vt:lpwstr>
  </property>
  <property fmtid="{D5CDD505-2E9C-101B-9397-08002B2CF9AE}" pid="8" name="MSIP_Label_09b73270-2993-4076-be47-9c78f42a1e84_ContentBits">
    <vt:lpwstr>0</vt:lpwstr>
  </property>
</Properties>
</file>