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8"/>
        </w:rPr>
      </w:pPr>
    </w:p>
    <w:p>
      <w:pPr>
        <w:pStyle w:val="Heading2"/>
        <w:spacing w:before="56"/>
        <w:ind w:left="0" w:right="155"/>
        <w:jc w:val="right"/>
      </w:pPr>
      <w:r>
        <w:rPr/>
        <w:t>Friday</w:t>
      </w:r>
      <w:r>
        <w:rPr>
          <w:spacing w:val="-3"/>
        </w:rPr>
        <w:t> </w:t>
      </w:r>
      <w:r>
        <w:rPr/>
        <w:t>March</w:t>
      </w:r>
      <w:r>
        <w:rPr>
          <w:spacing w:val="-5"/>
        </w:rPr>
        <w:t> </w:t>
      </w:r>
      <w:r>
        <w:rPr/>
        <w:t>4,</w:t>
      </w:r>
      <w:r>
        <w:rPr>
          <w:spacing w:val="-5"/>
        </w:rPr>
        <w:t> </w:t>
      </w:r>
      <w:r>
        <w:rPr>
          <w:spacing w:val="-4"/>
        </w:rPr>
        <w:t>2022</w:t>
      </w:r>
    </w:p>
    <w:p>
      <w:pPr>
        <w:pStyle w:val="BodyText"/>
        <w:spacing w:before="1"/>
        <w:rPr>
          <w:b/>
          <w:sz w:val="15"/>
        </w:rPr>
      </w:pPr>
    </w:p>
    <w:p>
      <w:pPr>
        <w:spacing w:before="56"/>
        <w:ind w:left="340" w:right="0" w:firstLine="0"/>
        <w:jc w:val="both"/>
        <w:rPr>
          <w:b/>
          <w:sz w:val="22"/>
        </w:rPr>
      </w:pPr>
      <w:r>
        <w:rPr>
          <w:b/>
          <w:sz w:val="22"/>
        </w:rPr>
        <w:t>ESCO</w:t>
      </w:r>
      <w:r>
        <w:rPr>
          <w:b/>
          <w:spacing w:val="-5"/>
          <w:sz w:val="22"/>
        </w:rPr>
        <w:t> </w:t>
      </w:r>
      <w:r>
        <w:rPr>
          <w:b/>
          <w:sz w:val="22"/>
        </w:rPr>
        <w:t>Comments</w:t>
      </w:r>
      <w:r>
        <w:rPr>
          <w:b/>
          <w:spacing w:val="-3"/>
          <w:sz w:val="22"/>
        </w:rPr>
        <w:t> </w:t>
      </w:r>
      <w:r>
        <w:rPr>
          <w:b/>
          <w:sz w:val="22"/>
        </w:rPr>
        <w:t>from</w:t>
      </w:r>
      <w:r>
        <w:rPr>
          <w:b/>
          <w:spacing w:val="-5"/>
          <w:sz w:val="22"/>
        </w:rPr>
        <w:t> </w:t>
      </w:r>
      <w:r>
        <w:rPr>
          <w:b/>
          <w:sz w:val="22"/>
        </w:rPr>
        <w:t>ODEQ</w:t>
      </w:r>
      <w:r>
        <w:rPr>
          <w:b/>
          <w:spacing w:val="-4"/>
          <w:sz w:val="22"/>
        </w:rPr>
        <w:t> </w:t>
      </w:r>
      <w:r>
        <w:rPr>
          <w:b/>
          <w:sz w:val="22"/>
        </w:rPr>
        <w:t>with</w:t>
      </w:r>
      <w:r>
        <w:rPr>
          <w:b/>
          <w:spacing w:val="-5"/>
          <w:sz w:val="22"/>
        </w:rPr>
        <w:t> </w:t>
      </w:r>
      <w:r>
        <w:rPr>
          <w:b/>
          <w:sz w:val="22"/>
        </w:rPr>
        <w:t>Point</w:t>
      </w:r>
      <w:r>
        <w:rPr>
          <w:b/>
          <w:spacing w:val="-6"/>
          <w:sz w:val="22"/>
        </w:rPr>
        <w:t> </w:t>
      </w:r>
      <w:r>
        <w:rPr>
          <w:b/>
          <w:sz w:val="22"/>
        </w:rPr>
        <w:t>Source</w:t>
      </w:r>
      <w:r>
        <w:rPr>
          <w:b/>
          <w:spacing w:val="-5"/>
          <w:sz w:val="22"/>
        </w:rPr>
        <w:t> </w:t>
      </w:r>
      <w:r>
        <w:rPr>
          <w:b/>
          <w:spacing w:val="-2"/>
          <w:sz w:val="22"/>
        </w:rPr>
        <w:t>responses…..</w:t>
      </w:r>
    </w:p>
    <w:p>
      <w:pPr>
        <w:pStyle w:val="BodyText"/>
        <w:spacing w:before="6"/>
        <w:rPr>
          <w:b/>
          <w:sz w:val="19"/>
        </w:rPr>
      </w:pPr>
    </w:p>
    <w:p>
      <w:pPr>
        <w:spacing w:before="0"/>
        <w:ind w:left="340" w:right="0" w:firstLine="0"/>
        <w:jc w:val="both"/>
        <w:rPr>
          <w:b/>
          <w:sz w:val="22"/>
        </w:rPr>
      </w:pPr>
      <w:r>
        <w:rPr>
          <w:b/>
          <w:sz w:val="22"/>
          <w:u w:val="single"/>
        </w:rPr>
        <w:t>General</w:t>
      </w:r>
      <w:r>
        <w:rPr>
          <w:b/>
          <w:spacing w:val="-5"/>
          <w:sz w:val="22"/>
          <w:u w:val="single"/>
        </w:rPr>
        <w:t> </w:t>
      </w:r>
      <w:r>
        <w:rPr>
          <w:b/>
          <w:spacing w:val="-2"/>
          <w:sz w:val="22"/>
          <w:u w:val="single"/>
        </w:rPr>
        <w:t>Comments</w:t>
      </w:r>
    </w:p>
    <w:p>
      <w:pPr>
        <w:pStyle w:val="ListParagraph"/>
        <w:numPr>
          <w:ilvl w:val="0"/>
          <w:numId w:val="1"/>
        </w:numPr>
        <w:tabs>
          <w:tab w:pos="619" w:val="left" w:leader="none"/>
        </w:tabs>
        <w:spacing w:line="240" w:lineRule="auto" w:before="120" w:after="0"/>
        <w:ind w:left="339" w:right="155" w:firstLine="0"/>
        <w:jc w:val="both"/>
        <w:rPr>
          <w:sz w:val="22"/>
        </w:rPr>
      </w:pPr>
      <w:r>
        <w:rPr>
          <w:sz w:val="22"/>
        </w:rPr>
        <w:t>While adhering to the general ICP Report format, DEQ found the document difficult to read and comprehend, both from the standpoint of remedial actions completed at the site and, more importantly, in describing remaining residual contaminant conditions and the risk they may (or may not) pose to public health and the environment. Data summarization is unwieldy at best, further making review difficult. Presentation is not helped by the inclusion of long tables within the text portion of the document and haphazard summarization of important information. The 6,027-page Report lacks page numbers, does not reference figures and tables when data are discussed, and key information is only available in appendices.</w:t>
      </w:r>
    </w:p>
    <w:p>
      <w:pPr>
        <w:pStyle w:val="BodyText"/>
        <w:spacing w:before="7"/>
        <w:rPr>
          <w:sz w:val="19"/>
        </w:rPr>
      </w:pPr>
    </w:p>
    <w:p>
      <w:pPr>
        <w:spacing w:line="240" w:lineRule="auto" w:before="0"/>
        <w:ind w:left="339" w:right="152" w:firstLine="0"/>
        <w:jc w:val="both"/>
        <w:rPr>
          <w:b/>
          <w:sz w:val="22"/>
        </w:rPr>
      </w:pPr>
      <w:r>
        <w:rPr>
          <w:b/>
          <w:sz w:val="22"/>
        </w:rPr>
        <w:t>Agreed as to the formatting of report.</w:t>
      </w:r>
      <w:r>
        <w:rPr>
          <w:b/>
          <w:spacing w:val="40"/>
          <w:sz w:val="22"/>
        </w:rPr>
        <w:t> </w:t>
      </w:r>
      <w:r>
        <w:rPr>
          <w:b/>
          <w:sz w:val="22"/>
        </w:rPr>
        <w:t>This report, with the discussion of three separate UST closures as well as the ECSI #6285 discussion which included seven distinct remedial actions was difficult to structure in the report format used (DEQ requested format).</w:t>
      </w:r>
      <w:r>
        <w:rPr>
          <w:b/>
          <w:spacing w:val="40"/>
          <w:sz w:val="22"/>
        </w:rPr>
        <w:t> </w:t>
      </w:r>
      <w:r>
        <w:rPr>
          <w:b/>
          <w:sz w:val="22"/>
        </w:rPr>
        <w:t>The report also discusses tax lots which were not part of the ESCO operation further confounding the reader (Appendix L reports). We do believe that we were clear</w:t>
      </w:r>
      <w:r>
        <w:rPr>
          <w:b/>
          <w:spacing w:val="-1"/>
          <w:sz w:val="22"/>
        </w:rPr>
        <w:t> </w:t>
      </w:r>
      <w:r>
        <w:rPr>
          <w:b/>
          <w:sz w:val="22"/>
        </w:rPr>
        <w:t>in defining the areas</w:t>
      </w:r>
      <w:r>
        <w:rPr>
          <w:b/>
          <w:spacing w:val="-1"/>
          <w:sz w:val="22"/>
        </w:rPr>
        <w:t> </w:t>
      </w:r>
      <w:r>
        <w:rPr>
          <w:b/>
          <w:sz w:val="22"/>
        </w:rPr>
        <w:t>remediated,</w:t>
      </w:r>
      <w:r>
        <w:rPr>
          <w:b/>
          <w:spacing w:val="-1"/>
          <w:sz w:val="22"/>
        </w:rPr>
        <w:t> </w:t>
      </w:r>
      <w:r>
        <w:rPr>
          <w:b/>
          <w:sz w:val="22"/>
        </w:rPr>
        <w:t>clear</w:t>
      </w:r>
      <w:r>
        <w:rPr>
          <w:b/>
          <w:spacing w:val="-1"/>
          <w:sz w:val="22"/>
        </w:rPr>
        <w:t> </w:t>
      </w:r>
      <w:r>
        <w:rPr>
          <w:b/>
          <w:sz w:val="22"/>
        </w:rPr>
        <w:t>in defining the concentrations</w:t>
      </w:r>
      <w:r>
        <w:rPr>
          <w:b/>
          <w:spacing w:val="-1"/>
          <w:sz w:val="22"/>
        </w:rPr>
        <w:t> </w:t>
      </w:r>
      <w:r>
        <w:rPr>
          <w:b/>
          <w:sz w:val="22"/>
        </w:rPr>
        <w:t>of contaminants in</w:t>
      </w:r>
      <w:r>
        <w:rPr>
          <w:b/>
          <w:spacing w:val="-3"/>
          <w:sz w:val="22"/>
        </w:rPr>
        <w:t> </w:t>
      </w:r>
      <w:r>
        <w:rPr>
          <w:b/>
          <w:sz w:val="22"/>
        </w:rPr>
        <w:t>soil</w:t>
      </w:r>
      <w:r>
        <w:rPr>
          <w:b/>
          <w:spacing w:val="-1"/>
          <w:sz w:val="22"/>
        </w:rPr>
        <w:t> </w:t>
      </w:r>
      <w:r>
        <w:rPr>
          <w:b/>
          <w:sz w:val="22"/>
        </w:rPr>
        <w:t>prior to remedial efforts and clear in defining the post-remedial concentrations of contaminants in the remedial areas.</w:t>
      </w:r>
      <w:r>
        <w:rPr>
          <w:b/>
          <w:spacing w:val="40"/>
          <w:sz w:val="22"/>
        </w:rPr>
        <w:t> </w:t>
      </w:r>
      <w:r>
        <w:rPr>
          <w:b/>
          <w:sz w:val="22"/>
        </w:rPr>
        <w:t>If DEQ would prefer that all tables be in a report section dedicated to tables this is not a problem. Point Source believed that having the tables within eye-shot of the discussion of the sampling event was more valuable as an explanatory tool than going back and forth through the report in a search for supporting data.</w:t>
      </w:r>
    </w:p>
    <w:p>
      <w:pPr>
        <w:pStyle w:val="BodyText"/>
        <w:spacing w:before="7"/>
        <w:rPr>
          <w:b/>
          <w:sz w:val="19"/>
        </w:rPr>
      </w:pPr>
    </w:p>
    <w:p>
      <w:pPr>
        <w:spacing w:before="1"/>
        <w:ind w:left="340" w:right="152" w:firstLine="0"/>
        <w:jc w:val="both"/>
        <w:rPr>
          <w:b/>
          <w:sz w:val="22"/>
        </w:rPr>
      </w:pPr>
      <w:r>
        <w:rPr>
          <w:b/>
          <w:sz w:val="22"/>
        </w:rPr>
        <w:t>Page #s kept disappearing in the DEQ report format.</w:t>
      </w:r>
      <w:r>
        <w:rPr>
          <w:b/>
          <w:spacing w:val="40"/>
          <w:sz w:val="22"/>
        </w:rPr>
        <w:t> </w:t>
      </w:r>
      <w:r>
        <w:rPr>
          <w:b/>
          <w:sz w:val="22"/>
        </w:rPr>
        <w:t>We tried to the extent that we started from scratch several times trying to retain page numbers.</w:t>
      </w:r>
      <w:r>
        <w:rPr>
          <w:b/>
          <w:spacing w:val="40"/>
          <w:sz w:val="22"/>
        </w:rPr>
        <w:t> </w:t>
      </w:r>
      <w:r>
        <w:rPr>
          <w:b/>
          <w:sz w:val="22"/>
        </w:rPr>
        <w:t>We will fix this.</w:t>
      </w:r>
    </w:p>
    <w:p>
      <w:pPr>
        <w:pStyle w:val="BodyText"/>
        <w:rPr>
          <w:b/>
          <w:sz w:val="19"/>
        </w:rPr>
      </w:pPr>
    </w:p>
    <w:p>
      <w:pPr>
        <w:spacing w:before="0"/>
        <w:ind w:left="340" w:right="154" w:firstLine="0"/>
        <w:jc w:val="both"/>
        <w:rPr>
          <w:b/>
          <w:sz w:val="22"/>
        </w:rPr>
      </w:pPr>
      <w:r>
        <w:rPr>
          <w:b/>
          <w:sz w:val="22"/>
        </w:rPr>
        <w:t>We are happy to hear any suggestions from DEQ to make the report flow better. Possibly we could move some report sections around to facilitate risk assessment being presented after remedial actions. One suggestion would be to move the Section 12 discussion of remedial actions to Section 2.0 Site Background so that the rest of the report addresses conditions after demolition/remediation.</w:t>
      </w:r>
    </w:p>
    <w:p>
      <w:pPr>
        <w:pStyle w:val="BodyText"/>
        <w:rPr>
          <w:b/>
          <w:sz w:val="19"/>
        </w:rPr>
      </w:pPr>
    </w:p>
    <w:p>
      <w:pPr>
        <w:pStyle w:val="ListParagraph"/>
        <w:numPr>
          <w:ilvl w:val="0"/>
          <w:numId w:val="1"/>
        </w:numPr>
        <w:tabs>
          <w:tab w:pos="597" w:val="left" w:leader="none"/>
        </w:tabs>
        <w:spacing w:line="240" w:lineRule="auto" w:before="1" w:after="0"/>
        <w:ind w:left="340" w:right="157" w:firstLine="0"/>
        <w:jc w:val="both"/>
        <w:rPr>
          <w:sz w:val="22"/>
        </w:rPr>
      </w:pPr>
      <w:r>
        <w:rPr>
          <w:sz w:val="22"/>
        </w:rPr>
        <w:t>Presenting data from areas with soil removal requires separate evaluation with a clear distinction of confirmation sampling evaluations compared to DEQ Risk-Based Concentrations (RBCs). Soil removal should be evaluated for risk as justification for their removal, but this should be presented in a manner that does not interfere with the evaluation of current site conditions. The use of Clean Fill criteria is not used for risk </w:t>
      </w:r>
      <w:r>
        <w:rPr>
          <w:spacing w:val="-2"/>
          <w:sz w:val="22"/>
        </w:rPr>
        <w:t>screening.</w:t>
      </w:r>
    </w:p>
    <w:p>
      <w:pPr>
        <w:pStyle w:val="BodyText"/>
        <w:spacing w:before="6"/>
        <w:rPr>
          <w:sz w:val="19"/>
        </w:rPr>
      </w:pPr>
    </w:p>
    <w:p>
      <w:pPr>
        <w:spacing w:before="0"/>
        <w:ind w:left="339" w:right="152" w:firstLine="0"/>
        <w:jc w:val="both"/>
        <w:rPr>
          <w:b/>
          <w:sz w:val="22"/>
        </w:rPr>
      </w:pPr>
      <w:r>
        <w:rPr>
          <w:b/>
          <w:sz w:val="22"/>
        </w:rPr>
        <w:t>Soil confirmation results from all soil removal areas are depicted in Tables 3A through 3G.</w:t>
      </w:r>
      <w:r>
        <w:rPr>
          <w:b/>
          <w:spacing w:val="80"/>
          <w:sz w:val="22"/>
        </w:rPr>
        <w:t> </w:t>
      </w:r>
      <w:r>
        <w:rPr>
          <w:b/>
          <w:sz w:val="22"/>
        </w:rPr>
        <w:t>In each of</w:t>
      </w:r>
      <w:r>
        <w:rPr>
          <w:b/>
          <w:spacing w:val="40"/>
          <w:sz w:val="22"/>
        </w:rPr>
        <w:t> </w:t>
      </w:r>
      <w:r>
        <w:rPr>
          <w:b/>
          <w:sz w:val="22"/>
        </w:rPr>
        <w:t>these tables the results of confirmation sampling are compared to the applicable occupational receptor RBC. Justification for soil removal was offered in Section 11.0 of this report. Where feasible, 1535-A1 (Property Owner) requested that soils with target compound concentrations above occupational RBCs be </w:t>
      </w:r>
      <w:r>
        <w:rPr>
          <w:b/>
          <w:spacing w:val="-2"/>
          <w:sz w:val="22"/>
        </w:rPr>
        <w:t>removed.</w:t>
      </w:r>
    </w:p>
    <w:p>
      <w:pPr>
        <w:pStyle w:val="BodyText"/>
        <w:spacing w:before="11"/>
        <w:rPr>
          <w:b/>
          <w:sz w:val="19"/>
        </w:rPr>
      </w:pPr>
    </w:p>
    <w:p>
      <w:pPr>
        <w:spacing w:line="237" w:lineRule="auto" w:before="0"/>
        <w:ind w:left="339" w:right="155" w:firstLine="0"/>
        <w:jc w:val="both"/>
        <w:rPr>
          <w:b/>
          <w:sz w:val="22"/>
        </w:rPr>
      </w:pPr>
      <w:r>
        <w:rPr>
          <w:b/>
          <w:sz w:val="22"/>
        </w:rPr>
        <w:t>Clean Fill is not used as a screening tool in any of the Confirmation Soil Sample Tables-not quite sure where this comment comes from.</w:t>
      </w:r>
      <w:r>
        <w:rPr>
          <w:b/>
          <w:spacing w:val="67"/>
          <w:sz w:val="22"/>
        </w:rPr>
        <w:t> </w:t>
      </w:r>
      <w:r>
        <w:rPr>
          <w:b/>
          <w:sz w:val="22"/>
        </w:rPr>
        <w:t>Where Clean Fill screening levels are noted in the report, they are not</w:t>
      </w:r>
    </w:p>
    <w:p>
      <w:pPr>
        <w:spacing w:after="0" w:line="237" w:lineRule="auto"/>
        <w:jc w:val="both"/>
        <w:rPr>
          <w:sz w:val="22"/>
        </w:rPr>
        <w:sectPr>
          <w:headerReference w:type="default" r:id="rId5"/>
          <w:footerReference w:type="default" r:id="rId6"/>
          <w:type w:val="continuous"/>
          <w:pgSz w:w="12240" w:h="15840"/>
          <w:pgMar w:header="760" w:footer="1017" w:top="1880" w:bottom="1200" w:left="1100" w:right="920"/>
          <w:pgNumType w:start="1"/>
        </w:sectPr>
      </w:pPr>
    </w:p>
    <w:p>
      <w:pPr>
        <w:spacing w:before="155"/>
        <w:ind w:left="340" w:right="151" w:firstLine="0"/>
        <w:jc w:val="both"/>
        <w:rPr>
          <w:b/>
          <w:sz w:val="22"/>
        </w:rPr>
      </w:pPr>
      <w:r>
        <w:rPr>
          <w:b/>
          <w:sz w:val="22"/>
        </w:rPr>
        <w:t>used in place of applicable RBCs only as a tool to let the reader that where exceeded, special handling of soil leaving the site is required.</w:t>
      </w:r>
      <w:r>
        <w:rPr>
          <w:b/>
          <w:spacing w:val="40"/>
          <w:sz w:val="22"/>
        </w:rPr>
        <w:t> </w:t>
      </w:r>
      <w:r>
        <w:rPr>
          <w:b/>
          <w:sz w:val="22"/>
        </w:rPr>
        <w:t>This information is helpful to the Property Owner as well as other future users of the report who may have interest in development of the Site.</w:t>
      </w:r>
    </w:p>
    <w:p>
      <w:pPr>
        <w:pStyle w:val="BodyText"/>
        <w:spacing w:before="9"/>
        <w:rPr>
          <w:b/>
          <w:sz w:val="19"/>
        </w:rPr>
      </w:pPr>
    </w:p>
    <w:p>
      <w:pPr>
        <w:pStyle w:val="ListParagraph"/>
        <w:numPr>
          <w:ilvl w:val="0"/>
          <w:numId w:val="1"/>
        </w:numPr>
        <w:tabs>
          <w:tab w:pos="657" w:val="left" w:leader="none"/>
        </w:tabs>
        <w:spacing w:line="240" w:lineRule="auto" w:before="0" w:after="0"/>
        <w:ind w:left="340" w:right="153" w:firstLine="0"/>
        <w:jc w:val="both"/>
        <w:rPr>
          <w:sz w:val="22"/>
        </w:rPr>
      </w:pPr>
      <w:r>
        <w:rPr>
          <w:sz w:val="22"/>
        </w:rPr>
        <w:t>Both current and potential reasonably likely future exposure scenarios need to be evaluated. It is not appropriate</w:t>
      </w:r>
      <w:r>
        <w:rPr>
          <w:spacing w:val="-1"/>
          <w:sz w:val="22"/>
        </w:rPr>
        <w:t> </w:t>
      </w:r>
      <w:r>
        <w:rPr>
          <w:sz w:val="22"/>
        </w:rPr>
        <w:t>to</w:t>
      </w:r>
      <w:r>
        <w:rPr>
          <w:spacing w:val="-1"/>
          <w:sz w:val="22"/>
        </w:rPr>
        <w:t> </w:t>
      </w:r>
      <w:r>
        <w:rPr>
          <w:sz w:val="22"/>
        </w:rPr>
        <w:t>omit</w:t>
      </w:r>
      <w:r>
        <w:rPr>
          <w:spacing w:val="-2"/>
          <w:sz w:val="22"/>
        </w:rPr>
        <w:t> </w:t>
      </w:r>
      <w:r>
        <w:rPr>
          <w:sz w:val="22"/>
        </w:rPr>
        <w:t>an evaluation</w:t>
      </w:r>
      <w:r>
        <w:rPr>
          <w:spacing w:val="-3"/>
          <w:sz w:val="22"/>
        </w:rPr>
        <w:t> </w:t>
      </w:r>
      <w:r>
        <w:rPr>
          <w:sz w:val="22"/>
        </w:rPr>
        <w:t>of</w:t>
      </w:r>
      <w:r>
        <w:rPr>
          <w:spacing w:val="-2"/>
          <w:sz w:val="22"/>
        </w:rPr>
        <w:t> </w:t>
      </w:r>
      <w:r>
        <w:rPr>
          <w:sz w:val="22"/>
        </w:rPr>
        <w:t>occupational exposure because</w:t>
      </w:r>
      <w:r>
        <w:rPr>
          <w:spacing w:val="-1"/>
          <w:sz w:val="22"/>
        </w:rPr>
        <w:t> </w:t>
      </w:r>
      <w:r>
        <w:rPr>
          <w:sz w:val="22"/>
        </w:rPr>
        <w:t>that</w:t>
      </w:r>
      <w:r>
        <w:rPr>
          <w:spacing w:val="-1"/>
          <w:sz w:val="22"/>
        </w:rPr>
        <w:t> </w:t>
      </w:r>
      <w:r>
        <w:rPr>
          <w:sz w:val="22"/>
        </w:rPr>
        <w:t>scenario is not</w:t>
      </w:r>
      <w:r>
        <w:rPr>
          <w:spacing w:val="-1"/>
          <w:sz w:val="22"/>
        </w:rPr>
        <w:t> </w:t>
      </w:r>
      <w:r>
        <w:rPr>
          <w:sz w:val="22"/>
        </w:rPr>
        <w:t>currently</w:t>
      </w:r>
      <w:r>
        <w:rPr>
          <w:spacing w:val="-1"/>
          <w:sz w:val="22"/>
        </w:rPr>
        <w:t> </w:t>
      </w:r>
      <w:r>
        <w:rPr>
          <w:sz w:val="22"/>
        </w:rPr>
        <w:t>occurring. The risk evaluation needs to assess the potential risk from future exposure to determine whether</w:t>
      </w:r>
      <w:r>
        <w:rPr>
          <w:spacing w:val="40"/>
          <w:sz w:val="22"/>
        </w:rPr>
        <w:t> </w:t>
      </w:r>
      <w:r>
        <w:rPr>
          <w:sz w:val="22"/>
        </w:rPr>
        <w:t>conditions, at present, are protective of public health and the environment. Consideration should also be given to screening of residual contaminant data to DEQ RBCs for urban residential exposure or further support presented as to which this type of site use is not expected to occur in the future. See DEQ’s Beneficial Land and Water Use Guidance for more information.</w:t>
      </w:r>
    </w:p>
    <w:p>
      <w:pPr>
        <w:pStyle w:val="BodyText"/>
        <w:spacing w:before="7"/>
        <w:rPr>
          <w:sz w:val="19"/>
        </w:rPr>
      </w:pPr>
    </w:p>
    <w:p>
      <w:pPr>
        <w:pStyle w:val="Heading2"/>
        <w:ind w:right="155"/>
      </w:pPr>
      <w:r>
        <w:rPr/>
        <w:t>We assume you are referring to Table 1 as this is the only table in this report where RBCs are used as screening tool that occupational exposure is not included. The point of Table 1 is to specifically evaluate the direct contact for construction/excavation workers during demolition and mass grading of the Site as</w:t>
      </w:r>
      <w:r>
        <w:rPr>
          <w:spacing w:val="40"/>
        </w:rPr>
        <w:t> </w:t>
      </w:r>
      <w:r>
        <w:rPr/>
        <w:t>is stated in the paragraph prior to Table 1. Please elaborate.</w:t>
      </w:r>
    </w:p>
    <w:p>
      <w:pPr>
        <w:pStyle w:val="BodyText"/>
        <w:rPr>
          <w:b/>
          <w:sz w:val="19"/>
        </w:rPr>
      </w:pPr>
    </w:p>
    <w:p>
      <w:pPr>
        <w:spacing w:before="1"/>
        <w:ind w:left="339" w:right="0" w:firstLine="0"/>
        <w:jc w:val="both"/>
        <w:rPr>
          <w:b/>
          <w:sz w:val="22"/>
        </w:rPr>
      </w:pPr>
      <w:r>
        <w:rPr>
          <w:b/>
          <w:sz w:val="22"/>
        </w:rPr>
        <w:t>We</w:t>
      </w:r>
      <w:r>
        <w:rPr>
          <w:b/>
          <w:spacing w:val="-4"/>
          <w:sz w:val="22"/>
        </w:rPr>
        <w:t> </w:t>
      </w:r>
      <w:r>
        <w:rPr>
          <w:b/>
          <w:sz w:val="22"/>
        </w:rPr>
        <w:t>can</w:t>
      </w:r>
      <w:r>
        <w:rPr>
          <w:b/>
          <w:spacing w:val="-4"/>
          <w:sz w:val="22"/>
        </w:rPr>
        <w:t> </w:t>
      </w:r>
      <w:r>
        <w:rPr>
          <w:b/>
          <w:sz w:val="22"/>
        </w:rPr>
        <w:t>add</w:t>
      </w:r>
      <w:r>
        <w:rPr>
          <w:b/>
          <w:spacing w:val="-4"/>
          <w:sz w:val="22"/>
        </w:rPr>
        <w:t> </w:t>
      </w:r>
      <w:r>
        <w:rPr>
          <w:b/>
          <w:sz w:val="22"/>
        </w:rPr>
        <w:t>screening</w:t>
      </w:r>
      <w:r>
        <w:rPr>
          <w:b/>
          <w:spacing w:val="-3"/>
          <w:sz w:val="22"/>
        </w:rPr>
        <w:t> </w:t>
      </w:r>
      <w:r>
        <w:rPr>
          <w:b/>
          <w:sz w:val="22"/>
        </w:rPr>
        <w:t>for</w:t>
      </w:r>
      <w:r>
        <w:rPr>
          <w:b/>
          <w:spacing w:val="-7"/>
          <w:sz w:val="22"/>
        </w:rPr>
        <w:t> </w:t>
      </w:r>
      <w:r>
        <w:rPr>
          <w:b/>
          <w:sz w:val="22"/>
        </w:rPr>
        <w:t>urban</w:t>
      </w:r>
      <w:r>
        <w:rPr>
          <w:b/>
          <w:spacing w:val="-4"/>
          <w:sz w:val="22"/>
        </w:rPr>
        <w:t> </w:t>
      </w:r>
      <w:r>
        <w:rPr>
          <w:b/>
          <w:sz w:val="22"/>
        </w:rPr>
        <w:t>residential</w:t>
      </w:r>
      <w:r>
        <w:rPr>
          <w:b/>
          <w:spacing w:val="-3"/>
          <w:sz w:val="22"/>
        </w:rPr>
        <w:t> </w:t>
      </w:r>
      <w:r>
        <w:rPr>
          <w:b/>
          <w:spacing w:val="-2"/>
          <w:sz w:val="22"/>
        </w:rPr>
        <w:t>receptors.</w:t>
      </w:r>
    </w:p>
    <w:p>
      <w:pPr>
        <w:pStyle w:val="BodyText"/>
        <w:spacing w:before="5"/>
        <w:rPr>
          <w:b/>
          <w:sz w:val="19"/>
        </w:rPr>
      </w:pPr>
    </w:p>
    <w:p>
      <w:pPr>
        <w:pStyle w:val="ListParagraph"/>
        <w:numPr>
          <w:ilvl w:val="0"/>
          <w:numId w:val="1"/>
        </w:numPr>
        <w:tabs>
          <w:tab w:pos="633" w:val="left" w:leader="none"/>
        </w:tabs>
        <w:spacing w:line="240" w:lineRule="auto" w:before="0" w:after="0"/>
        <w:ind w:left="339" w:right="157" w:firstLine="0"/>
        <w:jc w:val="both"/>
        <w:rPr>
          <w:sz w:val="22"/>
        </w:rPr>
      </w:pPr>
      <w:r>
        <w:rPr>
          <w:sz w:val="22"/>
        </w:rPr>
        <w:t>In its current, largely undeveloped state, screening of soil data should include DEQ ecological risk-based concentrations (RBCs).</w:t>
      </w:r>
    </w:p>
    <w:p>
      <w:pPr>
        <w:pStyle w:val="BodyText"/>
        <w:spacing w:before="9"/>
        <w:rPr>
          <w:sz w:val="19"/>
        </w:rPr>
      </w:pPr>
    </w:p>
    <w:p>
      <w:pPr>
        <w:pStyle w:val="Heading2"/>
        <w:ind w:right="153"/>
      </w:pPr>
      <w:r>
        <w:rPr/>
        <w:t>Point Source prepared an Ecological Risk Assessment of the Site discussed in Section 9.2 of the report (checklist in Appendix F) which determined that it is unlikely that there are significant exposure pathways allowing for an adverse impact on ecological receptors.</w:t>
      </w:r>
      <w:r>
        <w:rPr>
          <w:spacing w:val="40"/>
        </w:rPr>
        <w:t> </w:t>
      </w:r>
      <w:r>
        <w:rPr/>
        <w:t>Is the DEQ commenting that they do not agree with this finding? Are the RBCs in Table 1 of the current ecological screening guidance the correct screening levels?</w:t>
      </w:r>
    </w:p>
    <w:p>
      <w:pPr>
        <w:pStyle w:val="BodyText"/>
        <w:spacing w:before="10"/>
        <w:rPr>
          <w:b/>
          <w:sz w:val="19"/>
        </w:rPr>
      </w:pPr>
    </w:p>
    <w:p>
      <w:pPr>
        <w:spacing w:before="0"/>
        <w:ind w:left="340" w:right="0" w:firstLine="0"/>
        <w:jc w:val="both"/>
        <w:rPr>
          <w:b/>
          <w:sz w:val="22"/>
        </w:rPr>
      </w:pPr>
      <w:r>
        <w:rPr>
          <w:b/>
          <w:sz w:val="22"/>
          <w:u w:val="single"/>
        </w:rPr>
        <w:t>Specific</w:t>
      </w:r>
      <w:r>
        <w:rPr>
          <w:b/>
          <w:spacing w:val="-5"/>
          <w:sz w:val="22"/>
          <w:u w:val="single"/>
        </w:rPr>
        <w:t> </w:t>
      </w:r>
      <w:r>
        <w:rPr>
          <w:b/>
          <w:spacing w:val="-2"/>
          <w:sz w:val="22"/>
          <w:u w:val="single"/>
        </w:rPr>
        <w:t>Comments</w:t>
      </w:r>
    </w:p>
    <w:p>
      <w:pPr>
        <w:pStyle w:val="BodyText"/>
        <w:spacing w:before="121"/>
        <w:ind w:left="339" w:right="153"/>
        <w:jc w:val="both"/>
      </w:pPr>
      <w:r>
        <w:rPr/>
        <w:t>Page 4.</w:t>
      </w:r>
      <w:r>
        <w:rPr>
          <w:spacing w:val="40"/>
        </w:rPr>
        <w:t> </w:t>
      </w:r>
      <w:r>
        <w:rPr/>
        <w:t>PCBs detected at the Main Plant property were reported to be below ODEQ's Clean Fill criteria. Please screen</w:t>
      </w:r>
      <w:r>
        <w:rPr>
          <w:spacing w:val="-2"/>
        </w:rPr>
        <w:t> </w:t>
      </w:r>
      <w:r>
        <w:rPr/>
        <w:t>the PCBs</w:t>
      </w:r>
      <w:r>
        <w:rPr>
          <w:spacing w:val="-1"/>
        </w:rPr>
        <w:t> </w:t>
      </w:r>
      <w:r>
        <w:rPr/>
        <w:t>data</w:t>
      </w:r>
      <w:r>
        <w:rPr>
          <w:spacing w:val="-1"/>
        </w:rPr>
        <w:t> </w:t>
      </w:r>
      <w:r>
        <w:rPr/>
        <w:t>against DEQ</w:t>
      </w:r>
      <w:r>
        <w:rPr>
          <w:spacing w:val="-1"/>
        </w:rPr>
        <w:t> </w:t>
      </w:r>
      <w:r>
        <w:rPr/>
        <w:t>RBCs (soil</w:t>
      </w:r>
      <w:r>
        <w:rPr>
          <w:spacing w:val="-1"/>
        </w:rPr>
        <w:t> </w:t>
      </w:r>
      <w:r>
        <w:rPr/>
        <w:t>ingestion,</w:t>
      </w:r>
      <w:r>
        <w:rPr>
          <w:spacing w:val="-1"/>
        </w:rPr>
        <w:t> </w:t>
      </w:r>
      <w:r>
        <w:rPr/>
        <w:t>dermal</w:t>
      </w:r>
      <w:r>
        <w:rPr>
          <w:spacing w:val="-1"/>
        </w:rPr>
        <w:t> </w:t>
      </w:r>
      <w:r>
        <w:rPr/>
        <w:t>contact,</w:t>
      </w:r>
      <w:r>
        <w:rPr>
          <w:spacing w:val="-1"/>
        </w:rPr>
        <w:t> </w:t>
      </w:r>
      <w:r>
        <w:rPr/>
        <w:t>and</w:t>
      </w:r>
      <w:r>
        <w:rPr>
          <w:spacing w:val="-2"/>
        </w:rPr>
        <w:t> </w:t>
      </w:r>
      <w:r>
        <w:rPr/>
        <w:t>inhalation)</w:t>
      </w:r>
      <w:r>
        <w:rPr>
          <w:spacing w:val="-1"/>
        </w:rPr>
        <w:t> </w:t>
      </w:r>
      <w:r>
        <w:rPr/>
        <w:t>and</w:t>
      </w:r>
      <w:r>
        <w:rPr>
          <w:spacing w:val="-2"/>
        </w:rPr>
        <w:t> </w:t>
      </w:r>
      <w:r>
        <w:rPr/>
        <w:t>evaluate if additional nature and extent evaluation is needed.</w:t>
      </w:r>
    </w:p>
    <w:p>
      <w:pPr>
        <w:pStyle w:val="BodyText"/>
        <w:spacing w:before="6"/>
        <w:rPr>
          <w:sz w:val="19"/>
        </w:rPr>
      </w:pPr>
    </w:p>
    <w:p>
      <w:pPr>
        <w:pStyle w:val="Heading2"/>
        <w:ind w:right="151"/>
      </w:pPr>
      <w:r>
        <w:rPr/>
        <w:t>This statement</w:t>
      </w:r>
      <w:r>
        <w:rPr>
          <w:spacing w:val="-1"/>
        </w:rPr>
        <w:t> </w:t>
      </w:r>
      <w:r>
        <w:rPr/>
        <w:t>was part of</w:t>
      </w:r>
      <w:r>
        <w:rPr>
          <w:spacing w:val="-1"/>
        </w:rPr>
        <w:t> </w:t>
      </w:r>
      <w:r>
        <w:rPr/>
        <w:t>the discussion of the Baseline Environmental Site</w:t>
      </w:r>
      <w:r>
        <w:rPr>
          <w:spacing w:val="-2"/>
        </w:rPr>
        <w:t> </w:t>
      </w:r>
      <w:r>
        <w:rPr/>
        <w:t>Assessment Report prepared prior to the remedial actions discussed later in this report and prior to the confirmation sampling for the remedial actions taken.</w:t>
      </w:r>
      <w:r>
        <w:rPr>
          <w:spacing w:val="40"/>
        </w:rPr>
        <w:t> </w:t>
      </w:r>
      <w:r>
        <w:rPr/>
        <w:t>PCBs sample results from ISM sampling were below all RCBs.</w:t>
      </w:r>
    </w:p>
    <w:p>
      <w:pPr>
        <w:pStyle w:val="BodyText"/>
        <w:rPr>
          <w:b/>
          <w:sz w:val="19"/>
        </w:rPr>
      </w:pPr>
    </w:p>
    <w:p>
      <w:pPr>
        <w:pStyle w:val="BodyText"/>
        <w:spacing w:before="1"/>
        <w:ind w:left="339" w:right="156"/>
        <w:jc w:val="both"/>
      </w:pPr>
      <w:r>
        <w:rPr/>
        <w:t>Page 4.</w:t>
      </w:r>
      <w:r>
        <w:rPr>
          <w:spacing w:val="40"/>
        </w:rPr>
        <w:t> </w:t>
      </w:r>
      <w:r>
        <w:rPr/>
        <w:t>Polycyclic Aromatic Hydrocarbons (PAHs) were detected in shallow soil above Occupational RBCs. Please screen PAHs soil data to evaluate the nature and extent of remaining soils and provide maps that present exceedances of risk-based screening values for both human and ecological exposure.</w:t>
      </w:r>
    </w:p>
    <w:p>
      <w:pPr>
        <w:pStyle w:val="BodyText"/>
        <w:rPr>
          <w:sz w:val="19"/>
        </w:rPr>
      </w:pPr>
    </w:p>
    <w:p>
      <w:pPr>
        <w:pStyle w:val="Heading2"/>
        <w:ind w:right="151"/>
      </w:pPr>
      <w:r>
        <w:rPr/>
        <w:t>This statement</w:t>
      </w:r>
      <w:r>
        <w:rPr>
          <w:spacing w:val="-1"/>
        </w:rPr>
        <w:t> </w:t>
      </w:r>
      <w:r>
        <w:rPr/>
        <w:t>was part of</w:t>
      </w:r>
      <w:r>
        <w:rPr>
          <w:spacing w:val="-1"/>
        </w:rPr>
        <w:t> </w:t>
      </w:r>
      <w:r>
        <w:rPr/>
        <w:t>the discussion of the Baseline Environmental Site</w:t>
      </w:r>
      <w:r>
        <w:rPr>
          <w:spacing w:val="-2"/>
        </w:rPr>
        <w:t> </w:t>
      </w:r>
      <w:r>
        <w:rPr/>
        <w:t>Assessment Report prepared prior to the remedial actions discussed later in this report and prior to the confirmation sampling for the remedial actions taken. PCBs sample results from ISM sampling were below occupational RCBs with the exception of lower level Building 43.</w:t>
      </w:r>
    </w:p>
    <w:p>
      <w:pPr>
        <w:spacing w:after="0"/>
        <w:sectPr>
          <w:pgSz w:w="12240" w:h="15840"/>
          <w:pgMar w:header="760" w:footer="1017" w:top="1880" w:bottom="1200" w:left="1100" w:right="920"/>
        </w:sectPr>
      </w:pPr>
    </w:p>
    <w:p>
      <w:pPr>
        <w:pStyle w:val="BodyText"/>
        <w:spacing w:before="155"/>
        <w:ind w:left="339" w:right="157"/>
        <w:jc w:val="both"/>
      </w:pPr>
      <w:r>
        <w:rPr/>
        <w:t>Page 5.</w:t>
      </w:r>
      <w:r>
        <w:rPr>
          <w:spacing w:val="40"/>
        </w:rPr>
        <w:t> </w:t>
      </w:r>
      <w:r>
        <w:rPr/>
        <w:t>Volatile Organic Compounds (VOCs) were reported to be mainly non-detect. Provide the sampling method and detections limits compared to RBCs for all VOCs sampling.</w:t>
      </w:r>
    </w:p>
    <w:p>
      <w:pPr>
        <w:pStyle w:val="BodyText"/>
        <w:spacing w:before="9"/>
        <w:rPr>
          <w:sz w:val="19"/>
        </w:rPr>
      </w:pPr>
    </w:p>
    <w:p>
      <w:pPr>
        <w:pStyle w:val="Heading2"/>
        <w:ind w:right="151"/>
      </w:pPr>
      <w:r>
        <w:rPr/>
        <w:t>This statement</w:t>
      </w:r>
      <w:r>
        <w:rPr>
          <w:spacing w:val="-1"/>
        </w:rPr>
        <w:t> </w:t>
      </w:r>
      <w:r>
        <w:rPr/>
        <w:t>was part of</w:t>
      </w:r>
      <w:r>
        <w:rPr>
          <w:spacing w:val="-1"/>
        </w:rPr>
        <w:t> </w:t>
      </w:r>
      <w:r>
        <w:rPr/>
        <w:t>the discussion of the Baseline Environmental Site</w:t>
      </w:r>
      <w:r>
        <w:rPr>
          <w:spacing w:val="-2"/>
        </w:rPr>
        <w:t> </w:t>
      </w:r>
      <w:r>
        <w:rPr/>
        <w:t>Assessment Report prepared prior to the remedial actions discussed later in this report and prior to the confirmation sampling for the remedial actions taken.</w:t>
      </w:r>
    </w:p>
    <w:p>
      <w:pPr>
        <w:pStyle w:val="BodyText"/>
        <w:spacing w:before="6"/>
        <w:rPr>
          <w:b/>
          <w:sz w:val="19"/>
        </w:rPr>
      </w:pPr>
    </w:p>
    <w:p>
      <w:pPr>
        <w:pStyle w:val="BodyText"/>
        <w:spacing w:before="0"/>
        <w:ind w:left="339" w:right="158"/>
        <w:jc w:val="both"/>
      </w:pPr>
      <w:r>
        <w:rPr/>
        <w:t>Page 5.</w:t>
      </w:r>
      <w:r>
        <w:rPr>
          <w:spacing w:val="40"/>
        </w:rPr>
        <w:t> </w:t>
      </w:r>
      <w:r>
        <w:rPr/>
        <w:t>Metals are detections are compared to the background and clean fill criteria. Screen metals to RBCs with tabulated detections limits compared to RBCs.</w:t>
      </w:r>
    </w:p>
    <w:p>
      <w:pPr>
        <w:pStyle w:val="BodyText"/>
        <w:rPr>
          <w:sz w:val="19"/>
        </w:rPr>
      </w:pPr>
    </w:p>
    <w:p>
      <w:pPr>
        <w:pStyle w:val="Heading2"/>
        <w:ind w:right="153"/>
      </w:pPr>
      <w:r>
        <w:rPr/>
        <w:t>This statement</w:t>
      </w:r>
      <w:r>
        <w:rPr>
          <w:spacing w:val="-1"/>
        </w:rPr>
        <w:t> </w:t>
      </w:r>
      <w:r>
        <w:rPr/>
        <w:t>was part of</w:t>
      </w:r>
      <w:r>
        <w:rPr>
          <w:spacing w:val="-1"/>
        </w:rPr>
        <w:t> </w:t>
      </w:r>
      <w:r>
        <w:rPr/>
        <w:t>the discussion of the Baseline Environmental Site</w:t>
      </w:r>
      <w:r>
        <w:rPr>
          <w:spacing w:val="-2"/>
        </w:rPr>
        <w:t> </w:t>
      </w:r>
      <w:r>
        <w:rPr/>
        <w:t>Assessment Report prepared prior to the remedial actions discussed later in this report and prior to the confirmation sampling for the remedial</w:t>
      </w:r>
      <w:r>
        <w:rPr>
          <w:spacing w:val="-1"/>
        </w:rPr>
        <w:t> </w:t>
      </w:r>
      <w:r>
        <w:rPr/>
        <w:t>actions</w:t>
      </w:r>
      <w:r>
        <w:rPr>
          <w:spacing w:val="-3"/>
        </w:rPr>
        <w:t> </w:t>
      </w:r>
      <w:r>
        <w:rPr/>
        <w:t>taken.</w:t>
      </w:r>
      <w:r>
        <w:rPr>
          <w:spacing w:val="40"/>
        </w:rPr>
        <w:t> </w:t>
      </w:r>
      <w:r>
        <w:rPr/>
        <w:t>With</w:t>
      </w:r>
      <w:r>
        <w:rPr>
          <w:spacing w:val="-2"/>
        </w:rPr>
        <w:t> </w:t>
      </w:r>
      <w:r>
        <w:rPr/>
        <w:t>the</w:t>
      </w:r>
      <w:r>
        <w:rPr>
          <w:spacing w:val="-1"/>
        </w:rPr>
        <w:t> </w:t>
      </w:r>
      <w:r>
        <w:rPr/>
        <w:t>exception</w:t>
      </w:r>
      <w:r>
        <w:rPr>
          <w:spacing w:val="-2"/>
        </w:rPr>
        <w:t> </w:t>
      </w:r>
      <w:r>
        <w:rPr/>
        <w:t>of</w:t>
      </w:r>
      <w:r>
        <w:rPr>
          <w:spacing w:val="-1"/>
        </w:rPr>
        <w:t> </w:t>
      </w:r>
      <w:r>
        <w:rPr/>
        <w:t>arsenic</w:t>
      </w:r>
      <w:r>
        <w:rPr>
          <w:spacing w:val="-1"/>
        </w:rPr>
        <w:t> </w:t>
      </w:r>
      <w:r>
        <w:rPr/>
        <w:t>and</w:t>
      </w:r>
      <w:r>
        <w:rPr>
          <w:spacing w:val="-2"/>
        </w:rPr>
        <w:t> </w:t>
      </w:r>
      <w:r>
        <w:rPr/>
        <w:t>lead</w:t>
      </w:r>
      <w:r>
        <w:rPr>
          <w:spacing w:val="-2"/>
        </w:rPr>
        <w:t> </w:t>
      </w:r>
      <w:r>
        <w:rPr/>
        <w:t>in</w:t>
      </w:r>
      <w:r>
        <w:rPr>
          <w:spacing w:val="-2"/>
        </w:rPr>
        <w:t> </w:t>
      </w:r>
      <w:r>
        <w:rPr/>
        <w:t>the</w:t>
      </w:r>
      <w:r>
        <w:rPr>
          <w:spacing w:val="-1"/>
        </w:rPr>
        <w:t> </w:t>
      </w:r>
      <w:r>
        <w:rPr/>
        <w:t>Area</w:t>
      </w:r>
      <w:r>
        <w:rPr>
          <w:spacing w:val="-4"/>
        </w:rPr>
        <w:t> </w:t>
      </w:r>
      <w:r>
        <w:rPr/>
        <w:t>A</w:t>
      </w:r>
      <w:r>
        <w:rPr>
          <w:spacing w:val="-1"/>
        </w:rPr>
        <w:t> </w:t>
      </w:r>
      <w:r>
        <w:rPr/>
        <w:t>lower</w:t>
      </w:r>
      <w:r>
        <w:rPr>
          <w:spacing w:val="-3"/>
        </w:rPr>
        <w:t> </w:t>
      </w:r>
      <w:r>
        <w:rPr/>
        <w:t>interval</w:t>
      </w:r>
      <w:r>
        <w:rPr>
          <w:spacing w:val="-1"/>
        </w:rPr>
        <w:t> </w:t>
      </w:r>
      <w:r>
        <w:rPr/>
        <w:t>metals</w:t>
      </w:r>
      <w:r>
        <w:rPr>
          <w:spacing w:val="-1"/>
        </w:rPr>
        <w:t> </w:t>
      </w:r>
      <w:r>
        <w:rPr/>
        <w:t>sample results from ISM sampling were below all RCBs.</w:t>
      </w:r>
    </w:p>
    <w:p>
      <w:pPr>
        <w:pStyle w:val="BodyText"/>
        <w:spacing w:before="9"/>
        <w:rPr>
          <w:b/>
          <w:sz w:val="19"/>
        </w:rPr>
      </w:pPr>
    </w:p>
    <w:p>
      <w:pPr>
        <w:pStyle w:val="BodyText"/>
        <w:spacing w:before="0"/>
        <w:ind w:left="339"/>
        <w:jc w:val="both"/>
      </w:pPr>
      <w:r>
        <w:rPr/>
        <w:t>Page</w:t>
      </w:r>
      <w:r>
        <w:rPr>
          <w:spacing w:val="-8"/>
        </w:rPr>
        <w:t> </w:t>
      </w:r>
      <w:r>
        <w:rPr/>
        <w:t>5.</w:t>
      </w:r>
      <w:r>
        <w:rPr>
          <w:spacing w:val="40"/>
        </w:rPr>
        <w:t> </w:t>
      </w:r>
      <w:r>
        <w:rPr/>
        <w:t>Please</w:t>
      </w:r>
      <w:r>
        <w:rPr>
          <w:spacing w:val="-3"/>
        </w:rPr>
        <w:t> </w:t>
      </w:r>
      <w:r>
        <w:rPr/>
        <w:t>confirm</w:t>
      </w:r>
      <w:r>
        <w:rPr>
          <w:spacing w:val="-2"/>
        </w:rPr>
        <w:t> </w:t>
      </w:r>
      <w:r>
        <w:rPr/>
        <w:t>that</w:t>
      </w:r>
      <w:r>
        <w:rPr>
          <w:spacing w:val="-3"/>
        </w:rPr>
        <w:t> </w:t>
      </w:r>
      <w:r>
        <w:rPr/>
        <w:t>DEQ</w:t>
      </w:r>
      <w:r>
        <w:rPr>
          <w:spacing w:val="-4"/>
        </w:rPr>
        <w:t> </w:t>
      </w:r>
      <w:r>
        <w:rPr/>
        <w:t>approved</w:t>
      </w:r>
      <w:r>
        <w:rPr>
          <w:spacing w:val="-6"/>
        </w:rPr>
        <w:t> </w:t>
      </w:r>
      <w:r>
        <w:rPr/>
        <w:t>the</w:t>
      </w:r>
      <w:r>
        <w:rPr>
          <w:spacing w:val="-6"/>
        </w:rPr>
        <w:t> </w:t>
      </w:r>
      <w:r>
        <w:rPr/>
        <w:t>October</w:t>
      </w:r>
      <w:r>
        <w:rPr>
          <w:spacing w:val="-3"/>
        </w:rPr>
        <w:t> </w:t>
      </w:r>
      <w:r>
        <w:rPr/>
        <w:t>23,</w:t>
      </w:r>
      <w:r>
        <w:rPr>
          <w:spacing w:val="-6"/>
        </w:rPr>
        <w:t> </w:t>
      </w:r>
      <w:r>
        <w:rPr/>
        <w:t>2019,</w:t>
      </w:r>
      <w:r>
        <w:rPr>
          <w:spacing w:val="-5"/>
        </w:rPr>
        <w:t> </w:t>
      </w:r>
      <w:r>
        <w:rPr/>
        <w:t>Contaminated</w:t>
      </w:r>
      <w:r>
        <w:rPr>
          <w:spacing w:val="-7"/>
        </w:rPr>
        <w:t> </w:t>
      </w:r>
      <w:r>
        <w:rPr/>
        <w:t>Medial</w:t>
      </w:r>
      <w:r>
        <w:rPr>
          <w:spacing w:val="-6"/>
        </w:rPr>
        <w:t> </w:t>
      </w:r>
      <w:r>
        <w:rPr/>
        <w:t>Management</w:t>
      </w:r>
      <w:r>
        <w:rPr>
          <w:spacing w:val="-5"/>
        </w:rPr>
        <w:t> </w:t>
      </w:r>
      <w:r>
        <w:rPr>
          <w:spacing w:val="-2"/>
        </w:rPr>
        <w:t>Plan.</w:t>
      </w:r>
    </w:p>
    <w:p>
      <w:pPr>
        <w:pStyle w:val="BodyText"/>
        <w:rPr>
          <w:sz w:val="19"/>
        </w:rPr>
      </w:pPr>
    </w:p>
    <w:p>
      <w:pPr>
        <w:pStyle w:val="Heading2"/>
        <w:ind w:right="154"/>
      </w:pPr>
      <w:r>
        <w:rPr/>
        <w:t>The CMMP was approved by Mr. Ray Hoy of DEQ in a November 1, 2019 phone conversation with Gil</w:t>
      </w:r>
      <w:r>
        <w:rPr>
          <w:spacing w:val="40"/>
        </w:rPr>
        <w:t> </w:t>
      </w:r>
      <w:r>
        <w:rPr/>
        <w:t>Cobb of Point Source.</w:t>
      </w:r>
    </w:p>
    <w:p>
      <w:pPr>
        <w:pStyle w:val="BodyText"/>
        <w:spacing w:before="11"/>
        <w:rPr>
          <w:b/>
          <w:sz w:val="19"/>
        </w:rPr>
      </w:pPr>
    </w:p>
    <w:p>
      <w:pPr>
        <w:pStyle w:val="BodyText"/>
        <w:spacing w:line="237" w:lineRule="auto" w:before="0"/>
        <w:ind w:left="339" w:right="156"/>
        <w:jc w:val="both"/>
      </w:pPr>
      <w:r>
        <w:rPr/>
        <w:t>Page 6.</w:t>
      </w:r>
      <w:r>
        <w:rPr>
          <w:spacing w:val="40"/>
        </w:rPr>
        <w:t> </w:t>
      </w:r>
      <w:r>
        <w:rPr/>
        <w:t>An Easement and Equitable Servitude deed restriction will be required for the two petroleum impacted soil areas.</w:t>
      </w:r>
    </w:p>
    <w:p>
      <w:pPr>
        <w:pStyle w:val="BodyText"/>
        <w:spacing w:before="9"/>
        <w:rPr>
          <w:sz w:val="19"/>
        </w:rPr>
      </w:pPr>
    </w:p>
    <w:p>
      <w:pPr>
        <w:pStyle w:val="Heading1"/>
        <w:spacing w:before="0"/>
        <w:ind w:left="339"/>
      </w:pPr>
      <w:r>
        <w:rPr>
          <w:spacing w:val="-5"/>
        </w:rPr>
        <w:t>OK.</w:t>
      </w:r>
    </w:p>
    <w:p>
      <w:pPr>
        <w:pStyle w:val="BodyText"/>
        <w:rPr>
          <w:b/>
          <w:sz w:val="19"/>
        </w:rPr>
      </w:pPr>
    </w:p>
    <w:p>
      <w:pPr>
        <w:pStyle w:val="BodyText"/>
        <w:spacing w:before="0"/>
        <w:ind w:left="339" w:right="155"/>
        <w:jc w:val="both"/>
      </w:pPr>
      <w:r>
        <w:rPr/>
        <w:t>Page 6, 7, 8.</w:t>
      </w:r>
      <w:r>
        <w:rPr>
          <w:spacing w:val="40"/>
        </w:rPr>
        <w:t> </w:t>
      </w:r>
      <w:r>
        <w:rPr/>
        <w:t>Explain the asterisk designation in the table. Please provide table numbers. Arsenic is reported at 9.8 mg/kg. Specify if this is a mean, UCL, or some other value. Arsenic exceeds the regional upper percentile background concentration in soil. Discuss the arsenic exceedance. PCBs were compared to clean fill criteria. Screen PCBs and all other constituents using RBCs. RCRA 8 metals results were reported, and a comparison to clean fill was presented. Screen metals results to RBCs.</w:t>
      </w:r>
    </w:p>
    <w:p>
      <w:pPr>
        <w:pStyle w:val="BodyText"/>
        <w:spacing w:before="9"/>
        <w:rPr>
          <w:sz w:val="19"/>
        </w:rPr>
      </w:pPr>
    </w:p>
    <w:p>
      <w:pPr>
        <w:pStyle w:val="Heading2"/>
        <w:ind w:right="153"/>
      </w:pPr>
      <w:r>
        <w:rPr/>
        <w:t>As noted at the bottom of the table, * indicated compound exceeds either background Levels of Metal in Soil/Clean Fill. This is the only table without a number. This was done purposely as the table is used in more</w:t>
      </w:r>
      <w:r>
        <w:rPr>
          <w:spacing w:val="-2"/>
        </w:rPr>
        <w:t> </w:t>
      </w:r>
      <w:r>
        <w:rPr/>
        <w:t>than</w:t>
      </w:r>
      <w:r>
        <w:rPr>
          <w:spacing w:val="-2"/>
        </w:rPr>
        <w:t> </w:t>
      </w:r>
      <w:r>
        <w:rPr/>
        <w:t>one</w:t>
      </w:r>
      <w:r>
        <w:rPr>
          <w:spacing w:val="-1"/>
        </w:rPr>
        <w:t> </w:t>
      </w:r>
      <w:r>
        <w:rPr/>
        <w:t>place.</w:t>
      </w:r>
      <w:r>
        <w:rPr>
          <w:spacing w:val="40"/>
        </w:rPr>
        <w:t> </w:t>
      </w:r>
      <w:r>
        <w:rPr/>
        <w:t>We</w:t>
      </w:r>
      <w:r>
        <w:rPr>
          <w:spacing w:val="-4"/>
        </w:rPr>
        <w:t> </w:t>
      </w:r>
      <w:r>
        <w:rPr/>
        <w:t>assume</w:t>
      </w:r>
      <w:r>
        <w:rPr>
          <w:spacing w:val="-2"/>
        </w:rPr>
        <w:t> </w:t>
      </w:r>
      <w:r>
        <w:rPr/>
        <w:t>that</w:t>
      </w:r>
      <w:r>
        <w:rPr>
          <w:spacing w:val="-1"/>
        </w:rPr>
        <w:t> </w:t>
      </w:r>
      <w:r>
        <w:rPr/>
        <w:t>the</w:t>
      </w:r>
      <w:r>
        <w:rPr>
          <w:spacing w:val="-1"/>
        </w:rPr>
        <w:t> </w:t>
      </w:r>
      <w:r>
        <w:rPr/>
        <w:t>arsenic</w:t>
      </w:r>
      <w:r>
        <w:rPr>
          <w:spacing w:val="-2"/>
        </w:rPr>
        <w:t> </w:t>
      </w:r>
      <w:r>
        <w:rPr/>
        <w:t>value</w:t>
      </w:r>
      <w:r>
        <w:rPr>
          <w:spacing w:val="-1"/>
        </w:rPr>
        <w:t> </w:t>
      </w:r>
      <w:r>
        <w:rPr/>
        <w:t>of</w:t>
      </w:r>
      <w:r>
        <w:rPr>
          <w:spacing w:val="-1"/>
        </w:rPr>
        <w:t> </w:t>
      </w:r>
      <w:r>
        <w:rPr/>
        <w:t>9.76 on</w:t>
      </w:r>
      <w:r>
        <w:rPr>
          <w:spacing w:val="-2"/>
        </w:rPr>
        <w:t> </w:t>
      </w:r>
      <w:r>
        <w:rPr/>
        <w:t>page</w:t>
      </w:r>
      <w:r>
        <w:rPr>
          <w:spacing w:val="-2"/>
        </w:rPr>
        <w:t> </w:t>
      </w:r>
      <w:r>
        <w:rPr/>
        <w:t>8</w:t>
      </w:r>
      <w:r>
        <w:rPr>
          <w:spacing w:val="-2"/>
        </w:rPr>
        <w:t> </w:t>
      </w:r>
      <w:r>
        <w:rPr/>
        <w:t>is</w:t>
      </w:r>
      <w:r>
        <w:rPr>
          <w:spacing w:val="-3"/>
        </w:rPr>
        <w:t> </w:t>
      </w:r>
      <w:r>
        <w:rPr/>
        <w:t>what</w:t>
      </w:r>
      <w:r>
        <w:rPr>
          <w:spacing w:val="-1"/>
        </w:rPr>
        <w:t> </w:t>
      </w:r>
      <w:r>
        <w:rPr/>
        <w:t>DEQ</w:t>
      </w:r>
      <w:r>
        <w:rPr>
          <w:spacing w:val="-1"/>
        </w:rPr>
        <w:t> </w:t>
      </w:r>
      <w:r>
        <w:rPr/>
        <w:t>is referring</w:t>
      </w:r>
      <w:r>
        <w:rPr>
          <w:spacing w:val="-2"/>
        </w:rPr>
        <w:t> </w:t>
      </w:r>
      <w:r>
        <w:rPr/>
        <w:t>to</w:t>
      </w:r>
      <w:r>
        <w:rPr>
          <w:spacing w:val="-2"/>
        </w:rPr>
        <w:t> </w:t>
      </w:r>
      <w:r>
        <w:rPr/>
        <w:t>as an arsenic value of 9.8.</w:t>
      </w:r>
      <w:r>
        <w:rPr>
          <w:spacing w:val="40"/>
        </w:rPr>
        <w:t> </w:t>
      </w:r>
      <w:r>
        <w:rPr/>
        <w:t>This value is the mean value.</w:t>
      </w:r>
    </w:p>
    <w:p>
      <w:pPr>
        <w:pStyle w:val="BodyText"/>
        <w:spacing w:before="7"/>
        <w:rPr>
          <w:b/>
          <w:sz w:val="19"/>
        </w:rPr>
      </w:pPr>
    </w:p>
    <w:p>
      <w:pPr>
        <w:pStyle w:val="BodyText"/>
        <w:spacing w:before="0"/>
        <w:ind w:left="339" w:right="159"/>
        <w:jc w:val="both"/>
      </w:pPr>
      <w:r>
        <w:rPr/>
        <w:t>Page 8.</w:t>
      </w:r>
      <w:r>
        <w:rPr>
          <w:spacing w:val="40"/>
        </w:rPr>
        <w:t> </w:t>
      </w:r>
      <w:r>
        <w:rPr/>
        <w:t>Lead, arsenic, and petroleum contamination remains at the site, and additional discussion of risk is </w:t>
      </w:r>
      <w:r>
        <w:rPr>
          <w:spacing w:val="-2"/>
        </w:rPr>
        <w:t>required.</w:t>
      </w:r>
    </w:p>
    <w:p>
      <w:pPr>
        <w:pStyle w:val="BodyText"/>
        <w:rPr>
          <w:sz w:val="19"/>
        </w:rPr>
      </w:pPr>
    </w:p>
    <w:p>
      <w:pPr>
        <w:pStyle w:val="Heading1"/>
        <w:spacing w:before="0"/>
        <w:ind w:left="339"/>
      </w:pPr>
      <w:r>
        <w:rPr>
          <w:spacing w:val="-5"/>
        </w:rPr>
        <w:t>OK.</w:t>
      </w:r>
    </w:p>
    <w:p>
      <w:pPr>
        <w:pStyle w:val="BodyText"/>
        <w:rPr>
          <w:b/>
          <w:sz w:val="19"/>
        </w:rPr>
      </w:pPr>
    </w:p>
    <w:p>
      <w:pPr>
        <w:pStyle w:val="BodyText"/>
        <w:spacing w:before="0"/>
        <w:ind w:left="339" w:right="156"/>
        <w:jc w:val="both"/>
      </w:pPr>
      <w:r>
        <w:rPr/>
        <w:t>Page 23.</w:t>
      </w:r>
      <w:r>
        <w:rPr>
          <w:spacing w:val="40"/>
        </w:rPr>
        <w:t> </w:t>
      </w:r>
      <w:r>
        <w:rPr/>
        <w:t>The discussion of metals in the soil does not address arsenic (an inorganic often discussed with metals). Please discuss arsenic detections compared to RBCs.</w:t>
      </w:r>
    </w:p>
    <w:p>
      <w:pPr>
        <w:pStyle w:val="BodyText"/>
        <w:spacing w:before="9"/>
        <w:rPr>
          <w:sz w:val="19"/>
        </w:rPr>
      </w:pPr>
    </w:p>
    <w:p>
      <w:pPr>
        <w:pStyle w:val="Heading2"/>
        <w:ind w:right="156"/>
      </w:pPr>
      <w:r>
        <w:rPr/>
        <w:t>This is a discussion of the Baseline Environmental Site Assessment Report and is accurate.</w:t>
      </w:r>
      <w:r>
        <w:rPr>
          <w:spacing w:val="40"/>
        </w:rPr>
        <w:t> </w:t>
      </w:r>
      <w:r>
        <w:rPr/>
        <w:t>Arsenic is discussed in Section 5.2 on the following page.</w:t>
      </w:r>
    </w:p>
    <w:p>
      <w:pPr>
        <w:spacing w:after="0"/>
        <w:sectPr>
          <w:pgSz w:w="12240" w:h="15840"/>
          <w:pgMar w:header="760" w:footer="1017" w:top="1880" w:bottom="1200" w:left="1100" w:right="920"/>
        </w:sectPr>
      </w:pPr>
    </w:p>
    <w:p>
      <w:pPr>
        <w:pStyle w:val="BodyText"/>
        <w:spacing w:before="155"/>
        <w:ind w:left="339" w:right="155"/>
        <w:jc w:val="both"/>
      </w:pPr>
      <w:r>
        <w:rPr/>
        <w:t>Page 26.</w:t>
      </w:r>
      <w:r>
        <w:rPr>
          <w:spacing w:val="40"/>
        </w:rPr>
        <w:t> </w:t>
      </w:r>
      <w:r>
        <w:rPr/>
        <w:t>Table 1</w:t>
      </w:r>
      <w:r>
        <w:rPr>
          <w:b/>
        </w:rPr>
        <w:t>-</w:t>
      </w:r>
      <w:r>
        <w:rPr/>
        <w:t>Maximum values are compared with RBCs for construction and excavation workers. The most protective relevant soil RBCs are for occupational workers. Include a</w:t>
      </w:r>
      <w:r>
        <w:rPr>
          <w:spacing w:val="-2"/>
        </w:rPr>
        <w:t> </w:t>
      </w:r>
      <w:r>
        <w:rPr/>
        <w:t>comparison to occupational RBCs. Provide separate evaluations for concentrations in soil removals and existing soils.</w:t>
      </w:r>
    </w:p>
    <w:p>
      <w:pPr>
        <w:pStyle w:val="BodyText"/>
        <w:spacing w:before="9"/>
        <w:rPr>
          <w:sz w:val="19"/>
        </w:rPr>
      </w:pPr>
    </w:p>
    <w:p>
      <w:pPr>
        <w:pStyle w:val="Heading2"/>
        <w:ind w:right="154"/>
      </w:pPr>
      <w:r>
        <w:rPr/>
        <w:t>These results reflect maximum concentrations prior to remedial action and therefor are applicable to construction/excavation workers and not applicable for post-remedial screening.</w:t>
      </w:r>
      <w:r>
        <w:rPr>
          <w:spacing w:val="40"/>
        </w:rPr>
        <w:t> </w:t>
      </w:r>
      <w:r>
        <w:rPr/>
        <w:t>Also discussed under Item 3 above.</w:t>
      </w:r>
      <w:r>
        <w:rPr>
          <w:spacing w:val="40"/>
        </w:rPr>
        <w:t> </w:t>
      </w:r>
      <w:r>
        <w:rPr/>
        <w:t>The report format calls for the Exposure Pathway Summary (Section 6.0) prior to the discussion of Removal or Remedial Action (Section 12.0).</w:t>
      </w:r>
    </w:p>
    <w:p>
      <w:pPr>
        <w:pStyle w:val="BodyText"/>
        <w:spacing w:before="6"/>
        <w:rPr>
          <w:b/>
          <w:sz w:val="19"/>
        </w:rPr>
      </w:pPr>
    </w:p>
    <w:p>
      <w:pPr>
        <w:pStyle w:val="BodyText"/>
        <w:spacing w:before="0"/>
        <w:ind w:left="339" w:right="155"/>
        <w:jc w:val="both"/>
      </w:pPr>
      <w:r>
        <w:rPr/>
        <w:t>Page 29.</w:t>
      </w:r>
      <w:r>
        <w:rPr>
          <w:spacing w:val="40"/>
        </w:rPr>
        <w:t> </w:t>
      </w:r>
      <w:r>
        <w:rPr/>
        <w:t>Section 7.5. The CSM model should be discussed prior to identifying appropriate screening values to select the relevant RBCs.</w:t>
      </w:r>
    </w:p>
    <w:p>
      <w:pPr>
        <w:pStyle w:val="BodyText"/>
        <w:spacing w:before="9"/>
        <w:rPr>
          <w:sz w:val="19"/>
        </w:rPr>
      </w:pPr>
    </w:p>
    <w:p>
      <w:pPr>
        <w:pStyle w:val="Heading2"/>
      </w:pPr>
      <w:r>
        <w:rPr/>
        <w:t>Comment</w:t>
      </w:r>
      <w:r>
        <w:rPr>
          <w:spacing w:val="-5"/>
        </w:rPr>
        <w:t> </w:t>
      </w:r>
      <w:r>
        <w:rPr/>
        <w:t>understood.</w:t>
      </w:r>
      <w:r>
        <w:rPr>
          <w:spacing w:val="43"/>
        </w:rPr>
        <w:t> </w:t>
      </w:r>
      <w:r>
        <w:rPr/>
        <w:t>Will</w:t>
      </w:r>
      <w:r>
        <w:rPr>
          <w:spacing w:val="-4"/>
        </w:rPr>
        <w:t> </w:t>
      </w:r>
      <w:r>
        <w:rPr/>
        <w:t>factor</w:t>
      </w:r>
      <w:r>
        <w:rPr>
          <w:spacing w:val="-3"/>
        </w:rPr>
        <w:t> </w:t>
      </w:r>
      <w:r>
        <w:rPr/>
        <w:t>this</w:t>
      </w:r>
      <w:r>
        <w:rPr>
          <w:spacing w:val="-6"/>
        </w:rPr>
        <w:t> </w:t>
      </w:r>
      <w:r>
        <w:rPr/>
        <w:t>into</w:t>
      </w:r>
      <w:r>
        <w:rPr>
          <w:spacing w:val="-5"/>
        </w:rPr>
        <w:t> </w:t>
      </w:r>
      <w:r>
        <w:rPr/>
        <w:t>revised</w:t>
      </w:r>
      <w:r>
        <w:rPr>
          <w:spacing w:val="-5"/>
        </w:rPr>
        <w:t> </w:t>
      </w:r>
      <w:r>
        <w:rPr>
          <w:spacing w:val="-2"/>
        </w:rPr>
        <w:t>report.</w:t>
      </w:r>
    </w:p>
    <w:p>
      <w:pPr>
        <w:pStyle w:val="BodyText"/>
        <w:rPr>
          <w:b/>
          <w:sz w:val="19"/>
        </w:rPr>
      </w:pPr>
    </w:p>
    <w:p>
      <w:pPr>
        <w:pStyle w:val="BodyText"/>
        <w:spacing w:before="0"/>
        <w:ind w:left="339" w:right="155"/>
        <w:jc w:val="both"/>
      </w:pPr>
      <w:r>
        <w:rPr/>
        <w:t>Page 32, Section 9.1- All concentrations are listed below RBCs, so a risk assessment was not conducted. However, a comparison of concentrations to occupational RBCs is required because the site's development for occupation use is reasonably likely. The site should screen analytical results for both urban residential and occupational SLVs.</w:t>
      </w:r>
    </w:p>
    <w:p>
      <w:pPr>
        <w:pStyle w:val="BodyText"/>
        <w:spacing w:before="9"/>
        <w:rPr>
          <w:sz w:val="19"/>
        </w:rPr>
      </w:pPr>
    </w:p>
    <w:p>
      <w:pPr>
        <w:pStyle w:val="Heading2"/>
      </w:pPr>
      <w:r>
        <w:rPr/>
        <w:t>Will</w:t>
      </w:r>
      <w:r>
        <w:rPr>
          <w:spacing w:val="-4"/>
        </w:rPr>
        <w:t> </w:t>
      </w:r>
      <w:r>
        <w:rPr/>
        <w:t>add</w:t>
      </w:r>
      <w:r>
        <w:rPr>
          <w:spacing w:val="-4"/>
        </w:rPr>
        <w:t> </w:t>
      </w:r>
      <w:r>
        <w:rPr/>
        <w:t>urban</w:t>
      </w:r>
      <w:r>
        <w:rPr>
          <w:spacing w:val="-3"/>
        </w:rPr>
        <w:t> </w:t>
      </w:r>
      <w:r>
        <w:rPr/>
        <w:t>residential</w:t>
      </w:r>
      <w:r>
        <w:rPr>
          <w:spacing w:val="-4"/>
        </w:rPr>
        <w:t> </w:t>
      </w:r>
      <w:r>
        <w:rPr/>
        <w:t>RBC</w:t>
      </w:r>
      <w:r>
        <w:rPr>
          <w:spacing w:val="-4"/>
        </w:rPr>
        <w:t> </w:t>
      </w:r>
      <w:r>
        <w:rPr>
          <w:spacing w:val="-2"/>
        </w:rPr>
        <w:t>screening.</w:t>
      </w:r>
    </w:p>
    <w:p>
      <w:pPr>
        <w:pStyle w:val="BodyText"/>
        <w:spacing w:before="5"/>
        <w:rPr>
          <w:b/>
          <w:sz w:val="19"/>
        </w:rPr>
      </w:pPr>
    </w:p>
    <w:p>
      <w:pPr>
        <w:pStyle w:val="BodyText"/>
        <w:spacing w:before="1"/>
        <w:ind w:left="339" w:right="153"/>
        <w:jc w:val="both"/>
      </w:pPr>
      <w:r>
        <w:rPr/>
        <w:t>Page 37 and Figure 4C</w:t>
      </w:r>
      <w:r>
        <w:rPr>
          <w:b/>
        </w:rPr>
        <w:t>- </w:t>
      </w:r>
      <w:r>
        <w:rPr/>
        <w:t>The February 2020 removal of cPAHs is shown, but there is no apparent reason to justify the limited extent of removal. In addition, contaminated soil may remain beyond the excavation,</w:t>
      </w:r>
      <w:r>
        <w:rPr>
          <w:spacing w:val="40"/>
        </w:rPr>
        <w:t> </w:t>
      </w:r>
      <w:r>
        <w:rPr/>
        <w:t>given the samples around the removal area. Please discuss the nature and extent of cPAHs and determine if additional soil samples are needed.</w:t>
      </w:r>
    </w:p>
    <w:p>
      <w:pPr>
        <w:pStyle w:val="BodyText"/>
        <w:rPr>
          <w:sz w:val="19"/>
        </w:rPr>
      </w:pPr>
    </w:p>
    <w:p>
      <w:pPr>
        <w:pStyle w:val="Heading2"/>
        <w:ind w:right="154" w:hanging="1"/>
      </w:pPr>
      <w:r>
        <w:rPr/>
        <w:t>In following up to sampling conducted by Bridgewater, Point Source determined that the source of elevated PAHs were urban fill materials which contained a fair amount of burnt material (ash and charred wood.</w:t>
      </w:r>
      <w:r>
        <w:rPr>
          <w:spacing w:val="40"/>
        </w:rPr>
        <w:t> </w:t>
      </w:r>
      <w:r>
        <w:rPr/>
        <w:t>DEQ is correct in their assertion that further investigation and or remediation of this area will be required if this material is encountered during redevelopment.</w:t>
      </w:r>
      <w:r>
        <w:rPr>
          <w:spacing w:val="40"/>
        </w:rPr>
        <w:t> </w:t>
      </w:r>
      <w:r>
        <w:rPr/>
        <w:t>The ISM sampling in Area A indicates that BAPe concentrations are between the urban residential and occupational screening levels.</w:t>
      </w:r>
    </w:p>
    <w:p>
      <w:pPr>
        <w:pStyle w:val="BodyText"/>
        <w:spacing w:before="9"/>
        <w:rPr>
          <w:b/>
          <w:sz w:val="19"/>
        </w:rPr>
      </w:pPr>
    </w:p>
    <w:p>
      <w:pPr>
        <w:pStyle w:val="BodyText"/>
        <w:spacing w:before="0"/>
        <w:ind w:left="339" w:right="154"/>
        <w:jc w:val="both"/>
      </w:pPr>
      <w:r>
        <w:rPr/>
        <w:t>Page 40- The statements that "The following notes apply to the tables in Section 12.2.", and "* represents soils that have been removed" are vital. The concept of removed data should be central to the organization of the data and proposed actions. The tables in this section should be more explicit about removed and remaining soils.</w:t>
      </w:r>
    </w:p>
    <w:p>
      <w:pPr>
        <w:pStyle w:val="BodyText"/>
        <w:spacing w:before="7"/>
        <w:rPr>
          <w:sz w:val="19"/>
        </w:rPr>
      </w:pPr>
    </w:p>
    <w:p>
      <w:pPr>
        <w:pStyle w:val="Heading2"/>
        <w:ind w:right="153"/>
      </w:pPr>
      <w:r>
        <w:rPr/>
        <w:t>Not quite sure how much more explicit we can be.</w:t>
      </w:r>
      <w:r>
        <w:rPr>
          <w:spacing w:val="40"/>
        </w:rPr>
        <w:t> </w:t>
      </w:r>
      <w:r>
        <w:rPr/>
        <w:t>All removed soils are noted as represented in this comment by the reviewer.</w:t>
      </w:r>
      <w:r>
        <w:rPr>
          <w:spacing w:val="40"/>
        </w:rPr>
        <w:t> </w:t>
      </w:r>
      <w:r>
        <w:rPr/>
        <w:t>Please feel free to suggest an alternate.</w:t>
      </w:r>
    </w:p>
    <w:p>
      <w:pPr>
        <w:pStyle w:val="BodyText"/>
        <w:rPr>
          <w:b/>
          <w:sz w:val="19"/>
        </w:rPr>
      </w:pPr>
    </w:p>
    <w:p>
      <w:pPr>
        <w:pStyle w:val="BodyText"/>
        <w:spacing w:before="0"/>
        <w:ind w:left="339" w:right="156"/>
        <w:jc w:val="both"/>
      </w:pPr>
      <w:r>
        <w:rPr/>
        <w:t>Page 42, Table 2AA-Detection limits for chemicals below limits should be compared with RBCs to determine the appropriateness of the screening, both with all screening tables. High detection limits would make the screening results uncertain.</w:t>
      </w:r>
    </w:p>
    <w:p>
      <w:pPr>
        <w:pStyle w:val="BodyText"/>
        <w:spacing w:before="4"/>
        <w:rPr>
          <w:sz w:val="17"/>
        </w:rPr>
      </w:pPr>
      <w:r>
        <w:rPr/>
        <w:pict>
          <v:shape style="position:absolute;margin-left:69.496750pt;margin-top:11.798469pt;width:229.1pt;height:14.1pt;mso-position-horizontal-relative:page;mso-position-vertical-relative:paragraph;z-index:-15728640;mso-wrap-distance-left:0;mso-wrap-distance-right:0" type="#_x0000_t202" id="docshape4" filled="true" fillcolor="#fde164" stroked="false">
            <v:textbox inset="0,0,0,0">
              <w:txbxContent>
                <w:p>
                  <w:pPr>
                    <w:spacing w:before="5"/>
                    <w:ind w:left="49" w:right="0" w:firstLine="0"/>
                    <w:jc w:val="left"/>
                    <w:rPr>
                      <w:b/>
                      <w:color w:val="000000"/>
                      <w:sz w:val="22"/>
                    </w:rPr>
                  </w:pPr>
                  <w:r>
                    <w:rPr>
                      <w:b/>
                      <w:color w:val="000000"/>
                      <w:sz w:val="22"/>
                    </w:rPr>
                    <w:t>We</w:t>
                  </w:r>
                  <w:r>
                    <w:rPr>
                      <w:b/>
                      <w:color w:val="000000"/>
                      <w:spacing w:val="-4"/>
                      <w:sz w:val="22"/>
                    </w:rPr>
                    <w:t> </w:t>
                  </w:r>
                  <w:r>
                    <w:rPr>
                      <w:b/>
                      <w:color w:val="000000"/>
                      <w:sz w:val="22"/>
                    </w:rPr>
                    <w:t>will</w:t>
                  </w:r>
                  <w:r>
                    <w:rPr>
                      <w:b/>
                      <w:color w:val="000000"/>
                      <w:spacing w:val="-3"/>
                      <w:sz w:val="22"/>
                    </w:rPr>
                    <w:t> </w:t>
                  </w:r>
                  <w:r>
                    <w:rPr>
                      <w:b/>
                      <w:color w:val="000000"/>
                      <w:sz w:val="22"/>
                    </w:rPr>
                    <w:t>check</w:t>
                  </w:r>
                  <w:r>
                    <w:rPr>
                      <w:b/>
                      <w:color w:val="000000"/>
                      <w:spacing w:val="-5"/>
                      <w:sz w:val="22"/>
                    </w:rPr>
                    <w:t> </w:t>
                  </w:r>
                  <w:r>
                    <w:rPr>
                      <w:b/>
                      <w:color w:val="000000"/>
                      <w:sz w:val="22"/>
                    </w:rPr>
                    <w:t>all</w:t>
                  </w:r>
                  <w:r>
                    <w:rPr>
                      <w:b/>
                      <w:color w:val="000000"/>
                      <w:spacing w:val="-3"/>
                      <w:sz w:val="22"/>
                    </w:rPr>
                    <w:t> </w:t>
                  </w:r>
                  <w:r>
                    <w:rPr>
                      <w:b/>
                      <w:color w:val="000000"/>
                      <w:sz w:val="22"/>
                    </w:rPr>
                    <w:t>detection</w:t>
                  </w:r>
                  <w:r>
                    <w:rPr>
                      <w:b/>
                      <w:color w:val="000000"/>
                      <w:spacing w:val="-4"/>
                      <w:sz w:val="22"/>
                    </w:rPr>
                    <w:t> </w:t>
                  </w:r>
                  <w:r>
                    <w:rPr>
                      <w:b/>
                      <w:color w:val="000000"/>
                      <w:sz w:val="22"/>
                    </w:rPr>
                    <w:t>limits</w:t>
                  </w:r>
                  <w:r>
                    <w:rPr>
                      <w:b/>
                      <w:color w:val="000000"/>
                      <w:spacing w:val="-1"/>
                      <w:sz w:val="22"/>
                    </w:rPr>
                    <w:t> </w:t>
                  </w:r>
                  <w:r>
                    <w:rPr>
                      <w:b/>
                      <w:color w:val="000000"/>
                      <w:sz w:val="22"/>
                    </w:rPr>
                    <w:t>and</w:t>
                  </w:r>
                  <w:r>
                    <w:rPr>
                      <w:b/>
                      <w:color w:val="000000"/>
                      <w:spacing w:val="-3"/>
                      <w:sz w:val="22"/>
                    </w:rPr>
                    <w:t> </w:t>
                  </w:r>
                  <w:r>
                    <w:rPr>
                      <w:b/>
                      <w:color w:val="000000"/>
                      <w:sz w:val="22"/>
                    </w:rPr>
                    <w:t>make</w:t>
                  </w:r>
                  <w:r>
                    <w:rPr>
                      <w:b/>
                      <w:color w:val="000000"/>
                      <w:spacing w:val="-3"/>
                      <w:sz w:val="22"/>
                    </w:rPr>
                    <w:t> </w:t>
                  </w:r>
                  <w:r>
                    <w:rPr>
                      <w:b/>
                      <w:color w:val="000000"/>
                      <w:spacing w:val="-4"/>
                      <w:sz w:val="22"/>
                    </w:rPr>
                    <w:t>note.</w:t>
                  </w:r>
                </w:p>
              </w:txbxContent>
            </v:textbox>
            <v:fill opacity="26214f" type="solid"/>
            <w10:wrap type="topAndBottom"/>
          </v:shape>
        </w:pict>
      </w:r>
    </w:p>
    <w:p>
      <w:pPr>
        <w:pStyle w:val="BodyText"/>
        <w:spacing w:before="4"/>
        <w:rPr>
          <w:sz w:val="14"/>
        </w:rPr>
      </w:pPr>
    </w:p>
    <w:p>
      <w:pPr>
        <w:pStyle w:val="BodyText"/>
        <w:spacing w:before="56"/>
        <w:ind w:left="339"/>
      </w:pPr>
      <w:r>
        <w:rPr/>
        <w:t>Page</w:t>
      </w:r>
      <w:r>
        <w:rPr>
          <w:spacing w:val="26"/>
        </w:rPr>
        <w:t> </w:t>
      </w:r>
      <w:r>
        <w:rPr/>
        <w:t>47-</w:t>
      </w:r>
      <w:r>
        <w:rPr>
          <w:spacing w:val="27"/>
        </w:rPr>
        <w:t> </w:t>
      </w:r>
      <w:r>
        <w:rPr/>
        <w:t>The</w:t>
      </w:r>
      <w:r>
        <w:rPr>
          <w:spacing w:val="28"/>
        </w:rPr>
        <w:t> </w:t>
      </w:r>
      <w:r>
        <w:rPr/>
        <w:t>comparison</w:t>
      </w:r>
      <w:r>
        <w:rPr>
          <w:spacing w:val="24"/>
        </w:rPr>
        <w:t> </w:t>
      </w:r>
      <w:r>
        <w:rPr/>
        <w:t>of</w:t>
      </w:r>
      <w:r>
        <w:rPr>
          <w:spacing w:val="27"/>
        </w:rPr>
        <w:t> </w:t>
      </w:r>
      <w:r>
        <w:rPr/>
        <w:t>soil</w:t>
      </w:r>
      <w:r>
        <w:rPr>
          <w:spacing w:val="25"/>
        </w:rPr>
        <w:t> </w:t>
      </w:r>
      <w:r>
        <w:rPr/>
        <w:t>concentrations</w:t>
      </w:r>
      <w:r>
        <w:rPr>
          <w:spacing w:val="28"/>
        </w:rPr>
        <w:t> </w:t>
      </w:r>
      <w:r>
        <w:rPr/>
        <w:t>with</w:t>
      </w:r>
      <w:r>
        <w:rPr>
          <w:spacing w:val="27"/>
        </w:rPr>
        <w:t> </w:t>
      </w:r>
      <w:r>
        <w:rPr/>
        <w:t>urban</w:t>
      </w:r>
      <w:r>
        <w:rPr>
          <w:spacing w:val="27"/>
        </w:rPr>
        <w:t> </w:t>
      </w:r>
      <w:r>
        <w:rPr/>
        <w:t>residential</w:t>
      </w:r>
      <w:r>
        <w:rPr>
          <w:spacing w:val="27"/>
        </w:rPr>
        <w:t> </w:t>
      </w:r>
      <w:r>
        <w:rPr/>
        <w:t>RBCs</w:t>
      </w:r>
      <w:r>
        <w:rPr>
          <w:spacing w:val="28"/>
        </w:rPr>
        <w:t> </w:t>
      </w:r>
      <w:r>
        <w:rPr/>
        <w:t>is</w:t>
      </w:r>
      <w:r>
        <w:rPr>
          <w:spacing w:val="28"/>
        </w:rPr>
        <w:t> </w:t>
      </w:r>
      <w:r>
        <w:rPr/>
        <w:t>not</w:t>
      </w:r>
      <w:r>
        <w:rPr>
          <w:spacing w:val="28"/>
        </w:rPr>
        <w:t> </w:t>
      </w:r>
      <w:r>
        <w:rPr/>
        <w:t>part</w:t>
      </w:r>
      <w:r>
        <w:rPr>
          <w:spacing w:val="26"/>
        </w:rPr>
        <w:t> </w:t>
      </w:r>
      <w:r>
        <w:rPr/>
        <w:t>of</w:t>
      </w:r>
      <w:r>
        <w:rPr>
          <w:spacing w:val="27"/>
        </w:rPr>
        <w:t> </w:t>
      </w:r>
      <w:r>
        <w:rPr/>
        <w:t>the</w:t>
      </w:r>
      <w:r>
        <w:rPr>
          <w:spacing w:val="28"/>
        </w:rPr>
        <w:t> </w:t>
      </w:r>
      <w:r>
        <w:rPr/>
        <w:t>CSM.</w:t>
      </w:r>
      <w:r>
        <w:rPr>
          <w:spacing w:val="28"/>
        </w:rPr>
        <w:t> </w:t>
      </w:r>
      <w:r>
        <w:rPr>
          <w:spacing w:val="-5"/>
        </w:rPr>
        <w:t>The</w:t>
      </w:r>
    </w:p>
    <w:p>
      <w:pPr>
        <w:spacing w:after="0"/>
        <w:sectPr>
          <w:pgSz w:w="12240" w:h="15840"/>
          <w:pgMar w:header="760" w:footer="1017" w:top="1880" w:bottom="1200" w:left="1100" w:right="920"/>
        </w:sectPr>
      </w:pPr>
    </w:p>
    <w:p>
      <w:pPr>
        <w:pStyle w:val="BodyText"/>
        <w:spacing w:before="155"/>
        <w:ind w:left="340"/>
      </w:pPr>
      <w:r>
        <w:rPr/>
        <w:t>tables</w:t>
      </w:r>
      <w:r>
        <w:rPr>
          <w:spacing w:val="-6"/>
        </w:rPr>
        <w:t> </w:t>
      </w:r>
      <w:r>
        <w:rPr/>
        <w:t>show</w:t>
      </w:r>
      <w:r>
        <w:rPr>
          <w:spacing w:val="-5"/>
        </w:rPr>
        <w:t> </w:t>
      </w:r>
      <w:r>
        <w:rPr/>
        <w:t>occupational</w:t>
      </w:r>
      <w:r>
        <w:rPr>
          <w:spacing w:val="-5"/>
        </w:rPr>
        <w:t> </w:t>
      </w:r>
      <w:r>
        <w:rPr/>
        <w:t>RBCs.</w:t>
      </w:r>
      <w:r>
        <w:rPr>
          <w:spacing w:val="-3"/>
        </w:rPr>
        <w:t> </w:t>
      </w:r>
      <w:r>
        <w:rPr/>
        <w:t>Please</w:t>
      </w:r>
      <w:r>
        <w:rPr>
          <w:spacing w:val="-2"/>
        </w:rPr>
        <w:t> </w:t>
      </w:r>
      <w:r>
        <w:rPr/>
        <w:t>revisit</w:t>
      </w:r>
      <w:r>
        <w:rPr>
          <w:spacing w:val="-3"/>
        </w:rPr>
        <w:t> </w:t>
      </w:r>
      <w:r>
        <w:rPr/>
        <w:t>the</w:t>
      </w:r>
      <w:r>
        <w:rPr>
          <w:spacing w:val="-2"/>
        </w:rPr>
        <w:t> </w:t>
      </w:r>
      <w:r>
        <w:rPr/>
        <w:t>CSM</w:t>
      </w:r>
      <w:r>
        <w:rPr>
          <w:spacing w:val="-7"/>
        </w:rPr>
        <w:t> </w:t>
      </w:r>
      <w:r>
        <w:rPr/>
        <w:t>and</w:t>
      </w:r>
      <w:r>
        <w:rPr>
          <w:spacing w:val="-4"/>
        </w:rPr>
        <w:t> </w:t>
      </w:r>
      <w:r>
        <w:rPr/>
        <w:t>screen</w:t>
      </w:r>
      <w:r>
        <w:rPr>
          <w:spacing w:val="-6"/>
        </w:rPr>
        <w:t> </w:t>
      </w:r>
      <w:r>
        <w:rPr/>
        <w:t>the</w:t>
      </w:r>
      <w:r>
        <w:rPr>
          <w:spacing w:val="-2"/>
        </w:rPr>
        <w:t> </w:t>
      </w:r>
      <w:r>
        <w:rPr/>
        <w:t>data</w:t>
      </w:r>
      <w:r>
        <w:rPr>
          <w:spacing w:val="-5"/>
        </w:rPr>
        <w:t> </w:t>
      </w:r>
      <w:r>
        <w:rPr>
          <w:spacing w:val="-2"/>
        </w:rPr>
        <w:t>consistently.</w:t>
      </w:r>
    </w:p>
    <w:p>
      <w:pPr>
        <w:pStyle w:val="BodyText"/>
        <w:spacing w:before="4"/>
        <w:rPr>
          <w:sz w:val="17"/>
        </w:rPr>
      </w:pPr>
      <w:r>
        <w:rPr/>
        <w:pict>
          <v:shape style="position:absolute;margin-left:69.507828pt;margin-top:11.798666pt;width:36.4pt;height:14.1pt;mso-position-horizontal-relative:page;mso-position-vertical-relative:paragraph;z-index:-15728128;mso-wrap-distance-left:0;mso-wrap-distance-right:0" type="#_x0000_t202" id="docshape5" filled="true" fillcolor="#fde164" stroked="false">
            <v:textbox inset="0,0,0,0">
              <w:txbxContent>
                <w:p>
                  <w:pPr>
                    <w:spacing w:before="5"/>
                    <w:ind w:left="49" w:right="0" w:firstLine="0"/>
                    <w:jc w:val="left"/>
                    <w:rPr>
                      <w:b/>
                      <w:color w:val="000000"/>
                      <w:sz w:val="22"/>
                    </w:rPr>
                  </w:pPr>
                  <w:r>
                    <w:rPr>
                      <w:b/>
                      <w:color w:val="000000"/>
                      <w:spacing w:val="-2"/>
                      <w:sz w:val="22"/>
                    </w:rPr>
                    <w:t>Noted.</w:t>
                  </w:r>
                </w:p>
              </w:txbxContent>
            </v:textbox>
            <v:fill opacity="26214f" type="solid"/>
            <w10:wrap type="topAndBottom"/>
          </v:shape>
        </w:pict>
      </w:r>
    </w:p>
    <w:p>
      <w:pPr>
        <w:pStyle w:val="BodyText"/>
        <w:spacing w:before="4"/>
        <w:rPr>
          <w:sz w:val="14"/>
        </w:rPr>
      </w:pPr>
    </w:p>
    <w:p>
      <w:pPr>
        <w:pStyle w:val="BodyText"/>
        <w:spacing w:before="56"/>
        <w:ind w:left="340" w:right="156"/>
        <w:jc w:val="both"/>
      </w:pPr>
      <w:r>
        <w:rPr/>
        <w:t>Page 55- The statements that "Due to access restrictions, petroleum impacted soil remains in two areas of the</w:t>
      </w:r>
      <w:r>
        <w:rPr>
          <w:spacing w:val="-1"/>
        </w:rPr>
        <w:t> </w:t>
      </w:r>
      <w:r>
        <w:rPr/>
        <w:t>Site",</w:t>
      </w:r>
      <w:r>
        <w:rPr>
          <w:spacing w:val="-2"/>
        </w:rPr>
        <w:t> </w:t>
      </w:r>
      <w:r>
        <w:rPr/>
        <w:t>and</w:t>
      </w:r>
      <w:r>
        <w:rPr>
          <w:spacing w:val="-3"/>
        </w:rPr>
        <w:t> </w:t>
      </w:r>
      <w:r>
        <w:rPr/>
        <w:t>"This</w:t>
      </w:r>
      <w:r>
        <w:rPr>
          <w:spacing w:val="-4"/>
        </w:rPr>
        <w:t> </w:t>
      </w:r>
      <w:r>
        <w:rPr/>
        <w:t>material</w:t>
      </w:r>
      <w:r>
        <w:rPr>
          <w:spacing w:val="-2"/>
        </w:rPr>
        <w:t> </w:t>
      </w:r>
      <w:r>
        <w:rPr/>
        <w:t>will</w:t>
      </w:r>
      <w:r>
        <w:rPr>
          <w:spacing w:val="-2"/>
        </w:rPr>
        <w:t> </w:t>
      </w:r>
      <w:r>
        <w:rPr/>
        <w:t>require</w:t>
      </w:r>
      <w:r>
        <w:rPr>
          <w:spacing w:val="-2"/>
        </w:rPr>
        <w:t> </w:t>
      </w:r>
      <w:r>
        <w:rPr/>
        <w:t>removal</w:t>
      </w:r>
      <w:r>
        <w:rPr>
          <w:spacing w:val="-2"/>
        </w:rPr>
        <w:t> </w:t>
      </w:r>
      <w:r>
        <w:rPr/>
        <w:t>and</w:t>
      </w:r>
      <w:r>
        <w:rPr>
          <w:spacing w:val="-5"/>
        </w:rPr>
        <w:t> </w:t>
      </w:r>
      <w:r>
        <w:rPr/>
        <w:t>proper</w:t>
      </w:r>
      <w:r>
        <w:rPr>
          <w:spacing w:val="-2"/>
        </w:rPr>
        <w:t> </w:t>
      </w:r>
      <w:r>
        <w:rPr/>
        <w:t>disposal</w:t>
      </w:r>
      <w:r>
        <w:rPr>
          <w:spacing w:val="-2"/>
        </w:rPr>
        <w:t> </w:t>
      </w:r>
      <w:r>
        <w:rPr/>
        <w:t>during</w:t>
      </w:r>
      <w:r>
        <w:rPr>
          <w:spacing w:val="-3"/>
        </w:rPr>
        <w:t> </w:t>
      </w:r>
      <w:r>
        <w:rPr/>
        <w:t>improvements</w:t>
      </w:r>
      <w:r>
        <w:rPr>
          <w:spacing w:val="-4"/>
        </w:rPr>
        <w:t> </w:t>
      </w:r>
      <w:r>
        <w:rPr/>
        <w:t>to</w:t>
      </w:r>
      <w:r>
        <w:rPr>
          <w:spacing w:val="-3"/>
        </w:rPr>
        <w:t> </w:t>
      </w:r>
      <w:r>
        <w:rPr/>
        <w:t>this</w:t>
      </w:r>
      <w:r>
        <w:rPr>
          <w:spacing w:val="-2"/>
        </w:rPr>
        <w:t> </w:t>
      </w:r>
      <w:r>
        <w:rPr/>
        <w:t>portion</w:t>
      </w:r>
      <w:r>
        <w:rPr>
          <w:spacing w:val="-5"/>
        </w:rPr>
        <w:t> </w:t>
      </w:r>
      <w:r>
        <w:rPr/>
        <w:t>of the Site" are key organizational concepts. They should be central to the organization of the Report. Please discuss a Contaminated Media Management Plan and EES deed restriction to allow this material to remain.</w:t>
      </w:r>
    </w:p>
    <w:p>
      <w:pPr>
        <w:pStyle w:val="BodyText"/>
        <w:spacing w:before="12"/>
        <w:rPr>
          <w:sz w:val="14"/>
        </w:rPr>
      </w:pPr>
    </w:p>
    <w:p>
      <w:pPr>
        <w:pStyle w:val="Heading2"/>
        <w:spacing w:before="56"/>
        <w:ind w:left="340" w:right="153" w:firstLine="6096"/>
      </w:pPr>
      <w:r>
        <w:rPr/>
        <w:pict>
          <v:shape style="position:absolute;margin-left:69.518929pt;margin-top:2.553818pt;width:304.3pt;height:14.1pt;mso-position-horizontal-relative:page;mso-position-vertical-relative:paragraph;z-index:15732224" type="#_x0000_t202" id="docshape6" filled="true" fillcolor="#fde164" stroked="false">
            <v:textbox inset="0,0,0,0">
              <w:txbxContent>
                <w:p>
                  <w:pPr>
                    <w:spacing w:before="5"/>
                    <w:ind w:left="49" w:right="0" w:firstLine="0"/>
                    <w:jc w:val="left"/>
                    <w:rPr>
                      <w:b/>
                      <w:color w:val="000000"/>
                      <w:sz w:val="22"/>
                    </w:rPr>
                  </w:pPr>
                  <w:r>
                    <w:rPr>
                      <w:b/>
                      <w:color w:val="000000"/>
                      <w:sz w:val="22"/>
                    </w:rPr>
                    <w:t>Will add</w:t>
                  </w:r>
                  <w:r>
                    <w:rPr>
                      <w:b/>
                      <w:color w:val="000000"/>
                      <w:spacing w:val="1"/>
                      <w:sz w:val="22"/>
                    </w:rPr>
                    <w:t> </w:t>
                  </w:r>
                  <w:r>
                    <w:rPr>
                      <w:b/>
                      <w:color w:val="000000"/>
                      <w:sz w:val="22"/>
                    </w:rPr>
                    <w:t>to</w:t>
                  </w:r>
                  <w:r>
                    <w:rPr>
                      <w:b/>
                      <w:color w:val="000000"/>
                      <w:spacing w:val="1"/>
                      <w:sz w:val="22"/>
                    </w:rPr>
                    <w:t> </w:t>
                  </w:r>
                  <w:r>
                    <w:rPr>
                      <w:b/>
                      <w:color w:val="000000"/>
                      <w:sz w:val="22"/>
                    </w:rPr>
                    <w:t>the</w:t>
                  </w:r>
                  <w:r>
                    <w:rPr>
                      <w:b/>
                      <w:color w:val="000000"/>
                      <w:spacing w:val="1"/>
                      <w:sz w:val="22"/>
                    </w:rPr>
                    <w:t> </w:t>
                  </w:r>
                  <w:r>
                    <w:rPr>
                      <w:b/>
                      <w:color w:val="000000"/>
                      <w:sz w:val="22"/>
                    </w:rPr>
                    <w:t>discussion</w:t>
                  </w:r>
                  <w:r>
                    <w:rPr>
                      <w:b/>
                      <w:color w:val="000000"/>
                      <w:spacing w:val="-1"/>
                      <w:sz w:val="22"/>
                    </w:rPr>
                    <w:t> </w:t>
                  </w:r>
                  <w:r>
                    <w:rPr>
                      <w:b/>
                      <w:color w:val="000000"/>
                      <w:sz w:val="22"/>
                    </w:rPr>
                    <w:t>of</w:t>
                  </w:r>
                  <w:r>
                    <w:rPr>
                      <w:b/>
                      <w:color w:val="000000"/>
                      <w:spacing w:val="2"/>
                      <w:sz w:val="22"/>
                    </w:rPr>
                    <w:t> </w:t>
                  </w:r>
                  <w:r>
                    <w:rPr>
                      <w:b/>
                      <w:color w:val="000000"/>
                      <w:sz w:val="22"/>
                    </w:rPr>
                    <w:t>Institutional</w:t>
                  </w:r>
                  <w:r>
                    <w:rPr>
                      <w:b/>
                      <w:color w:val="000000"/>
                      <w:spacing w:val="3"/>
                      <w:sz w:val="22"/>
                    </w:rPr>
                    <w:t> </w:t>
                  </w:r>
                  <w:r>
                    <w:rPr>
                      <w:b/>
                      <w:color w:val="000000"/>
                      <w:sz w:val="22"/>
                    </w:rPr>
                    <w:t>Controls</w:t>
                  </w:r>
                  <w:r>
                    <w:rPr>
                      <w:b/>
                      <w:color w:val="000000"/>
                      <w:spacing w:val="3"/>
                      <w:sz w:val="22"/>
                    </w:rPr>
                    <w:t> </w:t>
                  </w:r>
                  <w:r>
                    <w:rPr>
                      <w:b/>
                      <w:color w:val="000000"/>
                      <w:sz w:val="22"/>
                    </w:rPr>
                    <w:t>(Section</w:t>
                  </w:r>
                  <w:r>
                    <w:rPr>
                      <w:b/>
                      <w:color w:val="000000"/>
                      <w:spacing w:val="1"/>
                      <w:sz w:val="22"/>
                    </w:rPr>
                    <w:t> </w:t>
                  </w:r>
                  <w:r>
                    <w:rPr>
                      <w:b/>
                      <w:color w:val="000000"/>
                      <w:spacing w:val="-2"/>
                      <w:sz w:val="22"/>
                    </w:rPr>
                    <w:t>12.4).</w:t>
                  </w:r>
                </w:p>
              </w:txbxContent>
            </v:textbox>
            <v:fill opacity="26214f" type="solid"/>
            <w10:wrap type="none"/>
          </v:shape>
        </w:pict>
      </w:r>
      <w:r>
        <w:rPr/>
        <w:t>Please note that we did recommend an updated CMMP in this same section of the report on page 60 as well as in the discussion of Residual Risk (Section 13.4) on page 61.</w:t>
      </w:r>
    </w:p>
    <w:p>
      <w:pPr>
        <w:pStyle w:val="BodyText"/>
        <w:rPr>
          <w:b/>
          <w:sz w:val="19"/>
        </w:rPr>
      </w:pPr>
    </w:p>
    <w:p>
      <w:pPr>
        <w:pStyle w:val="BodyText"/>
        <w:spacing w:before="1"/>
        <w:ind w:left="340" w:right="155"/>
        <w:jc w:val="both"/>
      </w:pPr>
      <w:r>
        <w:rPr/>
        <w:t>Page 56, Table 4- Groundwater is evaluated as not a drinking water source, which is reflected in the CSM. Therefore, it is not relevant to</w:t>
      </w:r>
      <w:r>
        <w:rPr>
          <w:spacing w:val="-1"/>
        </w:rPr>
        <w:t> </w:t>
      </w:r>
      <w:r>
        <w:rPr/>
        <w:t>mention that MCLs are</w:t>
      </w:r>
      <w:r>
        <w:rPr>
          <w:spacing w:val="-1"/>
        </w:rPr>
        <w:t> </w:t>
      </w:r>
      <w:r>
        <w:rPr/>
        <w:t>not exceeded. If the drinking water exposure pathway is relevant, groundwater concentrations</w:t>
      </w:r>
      <w:r>
        <w:rPr>
          <w:spacing w:val="-2"/>
        </w:rPr>
        <w:t> </w:t>
      </w:r>
      <w:r>
        <w:rPr/>
        <w:t>would be compared with MCLs and RBCtw values. If groundwater</w:t>
      </w:r>
      <w:r>
        <w:rPr>
          <w:spacing w:val="-2"/>
        </w:rPr>
        <w:t> </w:t>
      </w:r>
      <w:r>
        <w:rPr/>
        <w:t>is a source to surface water, concentrations should also be compared with Eco RBCs.</w:t>
      </w:r>
    </w:p>
    <w:p>
      <w:pPr>
        <w:pStyle w:val="BodyText"/>
        <w:rPr>
          <w:sz w:val="19"/>
        </w:rPr>
      </w:pPr>
    </w:p>
    <w:p>
      <w:pPr>
        <w:pStyle w:val="Heading2"/>
        <w:ind w:left="340"/>
      </w:pPr>
      <w:r>
        <w:rPr/>
        <w:pict>
          <v:shape style="position:absolute;margin-left:260.339752pt;margin-top:-.246172pt;width:300.3pt;height:14.1pt;mso-position-horizontal-relative:page;mso-position-vertical-relative:paragraph;z-index:15731712" type="#_x0000_t202" id="docshape7" filled="true" fillcolor="#fde164" stroked="false">
            <v:textbox inset="0,0,0,0">
              <w:txbxContent>
                <w:p>
                  <w:pPr>
                    <w:spacing w:before="5"/>
                    <w:ind w:left="49" w:right="0" w:firstLine="0"/>
                    <w:jc w:val="left"/>
                    <w:rPr>
                      <w:b/>
                      <w:color w:val="000000"/>
                      <w:sz w:val="22"/>
                    </w:rPr>
                  </w:pPr>
                  <w:r>
                    <w:rPr>
                      <w:b/>
                      <w:color w:val="000000"/>
                      <w:sz w:val="22"/>
                    </w:rPr>
                    <w:t>We</w:t>
                  </w:r>
                  <w:r>
                    <w:rPr>
                      <w:b/>
                      <w:color w:val="000000"/>
                      <w:spacing w:val="-2"/>
                      <w:sz w:val="22"/>
                    </w:rPr>
                    <w:t> </w:t>
                  </w:r>
                  <w:r>
                    <w:rPr>
                      <w:b/>
                      <w:color w:val="000000"/>
                      <w:sz w:val="22"/>
                    </w:rPr>
                    <w:t>will</w:t>
                  </w:r>
                  <w:r>
                    <w:rPr>
                      <w:b/>
                      <w:color w:val="000000"/>
                      <w:spacing w:val="3"/>
                      <w:sz w:val="22"/>
                    </w:rPr>
                    <w:t> </w:t>
                  </w:r>
                  <w:r>
                    <w:rPr>
                      <w:b/>
                      <w:color w:val="000000"/>
                      <w:sz w:val="22"/>
                    </w:rPr>
                    <w:t>revise</w:t>
                  </w:r>
                  <w:r>
                    <w:rPr>
                      <w:b/>
                      <w:color w:val="000000"/>
                      <w:spacing w:val="1"/>
                      <w:sz w:val="22"/>
                    </w:rPr>
                    <w:t> </w:t>
                  </w:r>
                  <w:r>
                    <w:rPr>
                      <w:b/>
                      <w:color w:val="000000"/>
                      <w:sz w:val="22"/>
                    </w:rPr>
                    <w:t>to</w:t>
                  </w:r>
                  <w:r>
                    <w:rPr>
                      <w:b/>
                      <w:color w:val="000000"/>
                      <w:spacing w:val="1"/>
                      <w:sz w:val="22"/>
                    </w:rPr>
                    <w:t> </w:t>
                  </w:r>
                  <w:r>
                    <w:rPr>
                      <w:b/>
                      <w:color w:val="000000"/>
                      <w:sz w:val="22"/>
                    </w:rPr>
                    <w:t>note</w:t>
                  </w:r>
                  <w:r>
                    <w:rPr>
                      <w:b/>
                      <w:color w:val="000000"/>
                      <w:spacing w:val="1"/>
                      <w:sz w:val="22"/>
                    </w:rPr>
                    <w:t> </w:t>
                  </w:r>
                  <w:r>
                    <w:rPr>
                      <w:b/>
                      <w:color w:val="000000"/>
                      <w:sz w:val="22"/>
                    </w:rPr>
                    <w:t>only</w:t>
                  </w:r>
                  <w:r>
                    <w:rPr>
                      <w:b/>
                      <w:color w:val="000000"/>
                      <w:spacing w:val="1"/>
                      <w:sz w:val="22"/>
                    </w:rPr>
                    <w:t> </w:t>
                  </w:r>
                  <w:r>
                    <w:rPr>
                      <w:b/>
                      <w:color w:val="000000"/>
                      <w:sz w:val="22"/>
                    </w:rPr>
                    <w:t>that</w:t>
                  </w:r>
                  <w:r>
                    <w:rPr>
                      <w:b/>
                      <w:color w:val="000000"/>
                      <w:spacing w:val="2"/>
                      <w:sz w:val="22"/>
                    </w:rPr>
                    <w:t> </w:t>
                  </w:r>
                  <w:r>
                    <w:rPr>
                      <w:b/>
                      <w:color w:val="000000"/>
                      <w:sz w:val="22"/>
                    </w:rPr>
                    <w:t>groundwater</w:t>
                  </w:r>
                  <w:r>
                    <w:rPr>
                      <w:b/>
                      <w:color w:val="000000"/>
                      <w:spacing w:val="3"/>
                      <w:sz w:val="22"/>
                    </w:rPr>
                    <w:t> </w:t>
                  </w:r>
                  <w:r>
                    <w:rPr>
                      <w:b/>
                      <w:color w:val="000000"/>
                      <w:sz w:val="22"/>
                    </w:rPr>
                    <w:t>is</w:t>
                  </w:r>
                  <w:r>
                    <w:rPr>
                      <w:b/>
                      <w:color w:val="000000"/>
                      <w:spacing w:val="3"/>
                      <w:sz w:val="22"/>
                    </w:rPr>
                    <w:t> </w:t>
                  </w:r>
                  <w:r>
                    <w:rPr>
                      <w:b/>
                      <w:color w:val="000000"/>
                      <w:sz w:val="22"/>
                    </w:rPr>
                    <w:t>a</w:t>
                  </w:r>
                  <w:r>
                    <w:rPr>
                      <w:b/>
                      <w:color w:val="000000"/>
                      <w:spacing w:val="1"/>
                      <w:sz w:val="22"/>
                    </w:rPr>
                    <w:t> </w:t>
                  </w:r>
                  <w:r>
                    <w:rPr>
                      <w:b/>
                      <w:color w:val="000000"/>
                      <w:sz w:val="22"/>
                    </w:rPr>
                    <w:t>drinking</w:t>
                  </w:r>
                  <w:r>
                    <w:rPr>
                      <w:b/>
                      <w:color w:val="000000"/>
                      <w:spacing w:val="1"/>
                      <w:sz w:val="22"/>
                    </w:rPr>
                    <w:t> </w:t>
                  </w:r>
                  <w:r>
                    <w:rPr>
                      <w:b/>
                      <w:color w:val="000000"/>
                      <w:spacing w:val="-2"/>
                      <w:sz w:val="22"/>
                    </w:rPr>
                    <w:t>water</w:t>
                  </w:r>
                </w:p>
              </w:txbxContent>
            </v:textbox>
            <v:fill opacity="26214f" type="solid"/>
            <w10:wrap type="none"/>
          </v:shape>
        </w:pict>
      </w:r>
      <w:r>
        <w:rPr/>
        <w:t>MCLs were</w:t>
      </w:r>
      <w:r>
        <w:rPr>
          <w:spacing w:val="2"/>
        </w:rPr>
        <w:t> </w:t>
      </w:r>
      <w:r>
        <w:rPr/>
        <w:t>noted</w:t>
      </w:r>
      <w:r>
        <w:rPr>
          <w:spacing w:val="2"/>
        </w:rPr>
        <w:t> </w:t>
      </w:r>
      <w:r>
        <w:rPr/>
        <w:t>for</w:t>
      </w:r>
      <w:r>
        <w:rPr>
          <w:spacing w:val="4"/>
        </w:rPr>
        <w:t> </w:t>
      </w:r>
      <w:r>
        <w:rPr/>
        <w:t>a sense</w:t>
      </w:r>
      <w:r>
        <w:rPr>
          <w:spacing w:val="2"/>
        </w:rPr>
        <w:t> </w:t>
      </w:r>
      <w:r>
        <w:rPr/>
        <w:t>of</w:t>
      </w:r>
      <w:r>
        <w:rPr>
          <w:spacing w:val="3"/>
        </w:rPr>
        <w:t> </w:t>
      </w:r>
      <w:r>
        <w:rPr>
          <w:spacing w:val="-2"/>
        </w:rPr>
        <w:t>context.</w:t>
      </w:r>
    </w:p>
    <w:p>
      <w:pPr>
        <w:pStyle w:val="BodyText"/>
        <w:spacing w:before="0"/>
        <w:ind w:left="290"/>
        <w:rPr>
          <w:sz w:val="20"/>
        </w:rPr>
      </w:pPr>
      <w:r>
        <w:rPr>
          <w:sz w:val="20"/>
        </w:rPr>
        <w:pict>
          <v:shape style="width:38.3pt;height:14.1pt;mso-position-horizontal-relative:char;mso-position-vertical-relative:line" type="#_x0000_t202" id="docshape8" filled="true" fillcolor="#fde164" stroked="false">
            <w10:anchorlock/>
            <v:textbox inset="0,0,0,0">
              <w:txbxContent>
                <w:p>
                  <w:pPr>
                    <w:spacing w:before="5"/>
                    <w:ind w:left="49" w:right="0" w:firstLine="0"/>
                    <w:jc w:val="left"/>
                    <w:rPr>
                      <w:b/>
                      <w:color w:val="000000"/>
                      <w:sz w:val="22"/>
                    </w:rPr>
                  </w:pPr>
                  <w:r>
                    <w:rPr>
                      <w:b/>
                      <w:color w:val="000000"/>
                      <w:spacing w:val="-2"/>
                      <w:sz w:val="22"/>
                    </w:rPr>
                    <w:t>source.</w:t>
                  </w:r>
                </w:p>
              </w:txbxContent>
            </v:textbox>
            <v:fill opacity="26214f" type="solid"/>
          </v:shape>
        </w:pict>
      </w:r>
      <w:r>
        <w:rPr>
          <w:sz w:val="20"/>
        </w:rPr>
      </w:r>
    </w:p>
    <w:p>
      <w:pPr>
        <w:pStyle w:val="BodyText"/>
        <w:spacing w:before="4"/>
        <w:rPr>
          <w:b/>
          <w:sz w:val="12"/>
        </w:rPr>
      </w:pPr>
    </w:p>
    <w:p>
      <w:pPr>
        <w:pStyle w:val="BodyText"/>
        <w:spacing w:before="56"/>
        <w:ind w:left="340"/>
      </w:pPr>
      <w:r>
        <w:rPr/>
        <w:t>Page 59- The statement that "Institutional controls are not necessary for this Site at this time." is not factual since a deed restriction and a CMMP are institutional controls.</w:t>
      </w:r>
    </w:p>
    <w:p>
      <w:pPr>
        <w:pStyle w:val="BodyText"/>
        <w:spacing w:before="4"/>
        <w:rPr>
          <w:sz w:val="17"/>
        </w:rPr>
      </w:pPr>
      <w:r>
        <w:rPr/>
        <w:pict>
          <v:shape style="position:absolute;margin-left:69.507927pt;margin-top:11.798097pt;width:127.25pt;height:14.1pt;mso-position-horizontal-relative:page;mso-position-vertical-relative:paragraph;z-index:-15727104;mso-wrap-distance-left:0;mso-wrap-distance-right:0" type="#_x0000_t202" id="docshape9" filled="true" fillcolor="#fde164" stroked="false">
            <v:textbox inset="0,0,0,0">
              <w:txbxContent>
                <w:p>
                  <w:pPr>
                    <w:spacing w:before="5"/>
                    <w:ind w:left="49" w:right="0" w:firstLine="0"/>
                    <w:jc w:val="left"/>
                    <w:rPr>
                      <w:b/>
                      <w:color w:val="000000"/>
                      <w:sz w:val="22"/>
                    </w:rPr>
                  </w:pPr>
                  <w:r>
                    <w:rPr>
                      <w:b/>
                      <w:color w:val="000000"/>
                      <w:sz w:val="22"/>
                    </w:rPr>
                    <w:t>We</w:t>
                  </w:r>
                  <w:r>
                    <w:rPr>
                      <w:b/>
                      <w:color w:val="000000"/>
                      <w:spacing w:val="-3"/>
                      <w:sz w:val="22"/>
                    </w:rPr>
                    <w:t> </w:t>
                  </w:r>
                  <w:r>
                    <w:rPr>
                      <w:b/>
                      <w:color w:val="000000"/>
                      <w:sz w:val="22"/>
                    </w:rPr>
                    <w:t>will</w:t>
                  </w:r>
                  <w:r>
                    <w:rPr>
                      <w:b/>
                      <w:color w:val="000000"/>
                      <w:spacing w:val="-3"/>
                      <w:sz w:val="22"/>
                    </w:rPr>
                    <w:t> </w:t>
                  </w:r>
                  <w:r>
                    <w:rPr>
                      <w:b/>
                      <w:color w:val="000000"/>
                      <w:sz w:val="22"/>
                    </w:rPr>
                    <w:t>revise</w:t>
                  </w:r>
                  <w:r>
                    <w:rPr>
                      <w:b/>
                      <w:color w:val="000000"/>
                      <w:spacing w:val="-4"/>
                      <w:sz w:val="22"/>
                    </w:rPr>
                    <w:t> </w:t>
                  </w:r>
                  <w:r>
                    <w:rPr>
                      <w:b/>
                      <w:color w:val="000000"/>
                      <w:sz w:val="22"/>
                    </w:rPr>
                    <w:t>to</w:t>
                  </w:r>
                  <w:r>
                    <w:rPr>
                      <w:b/>
                      <w:color w:val="000000"/>
                      <w:spacing w:val="-3"/>
                      <w:sz w:val="22"/>
                    </w:rPr>
                    <w:t> </w:t>
                  </w:r>
                  <w:r>
                    <w:rPr>
                      <w:b/>
                      <w:color w:val="000000"/>
                      <w:sz w:val="22"/>
                    </w:rPr>
                    <w:t>note</w:t>
                  </w:r>
                  <w:r>
                    <w:rPr>
                      <w:b/>
                      <w:color w:val="000000"/>
                      <w:spacing w:val="-2"/>
                      <w:sz w:val="22"/>
                    </w:rPr>
                    <w:t> </w:t>
                  </w:r>
                  <w:r>
                    <w:rPr>
                      <w:b/>
                      <w:color w:val="000000"/>
                      <w:spacing w:val="-4"/>
                      <w:sz w:val="22"/>
                    </w:rPr>
                    <w:t>this.</w:t>
                  </w:r>
                </w:p>
              </w:txbxContent>
            </v:textbox>
            <v:fill opacity="26214f" type="solid"/>
            <w10:wrap type="topAndBottom"/>
          </v:shape>
        </w:pict>
      </w:r>
    </w:p>
    <w:p>
      <w:pPr>
        <w:pStyle w:val="BodyText"/>
        <w:spacing w:before="4"/>
        <w:rPr>
          <w:sz w:val="14"/>
        </w:rPr>
      </w:pPr>
    </w:p>
    <w:p>
      <w:pPr>
        <w:pStyle w:val="BodyText"/>
        <w:spacing w:before="56"/>
        <w:ind w:left="339" w:right="156"/>
        <w:jc w:val="both"/>
      </w:pPr>
      <w:r>
        <w:rPr/>
        <w:t>Page 61, Section 13.1-The statement: "Based on Site zoning EG1-General Employment and IH-Heavy Industrial by the City of Portland, the appropriate Site cleanup screening level is Soil Ingestion, Dermal Contact and Inhalation for the Occupational Receptor" should be revised to state that this is the scenario with the lowest RBCs. Revise the SLVs relevant scenarios include construction and excavation workers. The statement "except for naturally occurring arsenic" might imply that the source of arsenic above background is natural. Because arsenic is present above regional background levels, the facility is likely to exceed arsenic </w:t>
      </w:r>
      <w:r>
        <w:rPr>
          <w:spacing w:val="-2"/>
        </w:rPr>
        <w:t>SLVs.</w:t>
      </w:r>
    </w:p>
    <w:p>
      <w:pPr>
        <w:pStyle w:val="BodyText"/>
        <w:spacing w:before="3"/>
        <w:rPr>
          <w:sz w:val="17"/>
        </w:rPr>
      </w:pPr>
      <w:r>
        <w:rPr/>
        <w:pict>
          <v:group style="position:absolute;margin-left:69.496849pt;margin-top:11.727838pt;width:490.9pt;height:27.55pt;mso-position-horizontal-relative:page;mso-position-vertical-relative:paragraph;z-index:-15726592;mso-wrap-distance-left:0;mso-wrap-distance-right:0" id="docshapegroup10" coordorigin="1390,235" coordsize="9818,551">
            <v:shape style="position:absolute;left:1389;top:516;width:4306;height:269" type="#_x0000_t202" id="docshape11" filled="true" fillcolor="#fde164" stroked="false">
              <v:textbox inset="0,0,0,0">
                <w:txbxContent>
                  <w:p>
                    <w:pPr>
                      <w:spacing w:line="260" w:lineRule="exact" w:before="0"/>
                      <w:ind w:left="49" w:right="0" w:firstLine="0"/>
                      <w:jc w:val="left"/>
                      <w:rPr>
                        <w:b/>
                        <w:color w:val="000000"/>
                        <w:sz w:val="22"/>
                      </w:rPr>
                    </w:pPr>
                    <w:r>
                      <w:rPr>
                        <w:b/>
                        <w:color w:val="000000"/>
                        <w:sz w:val="22"/>
                      </w:rPr>
                      <w:t>we</w:t>
                    </w:r>
                    <w:r>
                      <w:rPr>
                        <w:b/>
                        <w:color w:val="000000"/>
                        <w:spacing w:val="-4"/>
                        <w:sz w:val="22"/>
                      </w:rPr>
                      <w:t> </w:t>
                    </w:r>
                    <w:r>
                      <w:rPr>
                        <w:b/>
                        <w:color w:val="000000"/>
                        <w:sz w:val="22"/>
                      </w:rPr>
                      <w:t>still</w:t>
                    </w:r>
                    <w:r>
                      <w:rPr>
                        <w:b/>
                        <w:color w:val="000000"/>
                        <w:spacing w:val="-2"/>
                        <w:sz w:val="22"/>
                      </w:rPr>
                      <w:t> </w:t>
                    </w:r>
                    <w:r>
                      <w:rPr>
                        <w:b/>
                        <w:color w:val="000000"/>
                        <w:sz w:val="22"/>
                      </w:rPr>
                      <w:t>exceed</w:t>
                    </w:r>
                    <w:r>
                      <w:rPr>
                        <w:b/>
                        <w:color w:val="000000"/>
                        <w:spacing w:val="-3"/>
                        <w:sz w:val="22"/>
                      </w:rPr>
                      <w:t> </w:t>
                    </w:r>
                    <w:r>
                      <w:rPr>
                        <w:b/>
                        <w:color w:val="000000"/>
                        <w:sz w:val="22"/>
                      </w:rPr>
                      <w:t>in</w:t>
                    </w:r>
                    <w:r>
                      <w:rPr>
                        <w:b/>
                        <w:color w:val="000000"/>
                        <w:spacing w:val="-4"/>
                        <w:sz w:val="22"/>
                      </w:rPr>
                      <w:t> </w:t>
                    </w:r>
                    <w:r>
                      <w:rPr>
                        <w:b/>
                        <w:color w:val="000000"/>
                        <w:sz w:val="22"/>
                      </w:rPr>
                      <w:t>any</w:t>
                    </w:r>
                    <w:r>
                      <w:rPr>
                        <w:b/>
                        <w:color w:val="000000"/>
                        <w:spacing w:val="-1"/>
                        <w:sz w:val="22"/>
                      </w:rPr>
                      <w:t> </w:t>
                    </w:r>
                    <w:r>
                      <w:rPr>
                        <w:b/>
                        <w:color w:val="000000"/>
                        <w:sz w:val="22"/>
                      </w:rPr>
                      <w:t>event</w:t>
                    </w:r>
                    <w:r>
                      <w:rPr>
                        <w:b/>
                        <w:color w:val="000000"/>
                        <w:spacing w:val="-3"/>
                        <w:sz w:val="22"/>
                      </w:rPr>
                      <w:t> </w:t>
                    </w:r>
                    <w:r>
                      <w:rPr>
                        <w:b/>
                        <w:color w:val="000000"/>
                        <w:sz w:val="22"/>
                      </w:rPr>
                      <w:t>and</w:t>
                    </w:r>
                    <w:r>
                      <w:rPr>
                        <w:b/>
                        <w:color w:val="000000"/>
                        <w:spacing w:val="-3"/>
                        <w:sz w:val="22"/>
                      </w:rPr>
                      <w:t> </w:t>
                    </w:r>
                    <w:r>
                      <w:rPr>
                        <w:b/>
                        <w:color w:val="000000"/>
                        <w:sz w:val="22"/>
                      </w:rPr>
                      <w:t>will</w:t>
                    </w:r>
                    <w:r>
                      <w:rPr>
                        <w:b/>
                        <w:color w:val="000000"/>
                        <w:spacing w:val="-4"/>
                        <w:sz w:val="22"/>
                      </w:rPr>
                      <w:t> </w:t>
                    </w:r>
                    <w:r>
                      <w:rPr>
                        <w:b/>
                        <w:color w:val="000000"/>
                        <w:sz w:val="22"/>
                      </w:rPr>
                      <w:t>note</w:t>
                    </w:r>
                    <w:r>
                      <w:rPr>
                        <w:b/>
                        <w:color w:val="000000"/>
                        <w:spacing w:val="-3"/>
                        <w:sz w:val="22"/>
                      </w:rPr>
                      <w:t> </w:t>
                    </w:r>
                    <w:r>
                      <w:rPr>
                        <w:b/>
                        <w:color w:val="000000"/>
                        <w:spacing w:val="-4"/>
                        <w:sz w:val="22"/>
                      </w:rPr>
                      <w:t>this.</w:t>
                    </w:r>
                  </w:p>
                </w:txbxContent>
              </v:textbox>
              <v:fill opacity="26214f" type="solid"/>
              <w10:wrap type="none"/>
            </v:shape>
            <v:shape style="position:absolute;left:1389;top:234;width:9818;height:282" type="#_x0000_t202" id="docshape12" filled="true" fillcolor="#fde164" stroked="false">
              <v:textbox inset="0,0,0,0">
                <w:txbxContent>
                  <w:p>
                    <w:pPr>
                      <w:spacing w:before="5"/>
                      <w:ind w:left="49" w:right="0" w:firstLine="0"/>
                      <w:jc w:val="left"/>
                      <w:rPr>
                        <w:b/>
                        <w:color w:val="000000"/>
                        <w:sz w:val="22"/>
                      </w:rPr>
                    </w:pPr>
                    <w:r>
                      <w:rPr>
                        <w:b/>
                        <w:color w:val="000000"/>
                        <w:sz w:val="22"/>
                      </w:rPr>
                      <w:t>Will</w:t>
                    </w:r>
                    <w:r>
                      <w:rPr>
                        <w:b/>
                        <w:color w:val="000000"/>
                        <w:spacing w:val="12"/>
                        <w:sz w:val="22"/>
                      </w:rPr>
                      <w:t> </w:t>
                    </w:r>
                    <w:r>
                      <w:rPr>
                        <w:b/>
                        <w:color w:val="000000"/>
                        <w:sz w:val="22"/>
                      </w:rPr>
                      <w:t>add</w:t>
                    </w:r>
                    <w:r>
                      <w:rPr>
                        <w:b/>
                        <w:color w:val="000000"/>
                        <w:spacing w:val="12"/>
                        <w:sz w:val="22"/>
                      </w:rPr>
                      <w:t> </w:t>
                    </w:r>
                    <w:r>
                      <w:rPr>
                        <w:b/>
                        <w:color w:val="000000"/>
                        <w:sz w:val="22"/>
                      </w:rPr>
                      <w:t>construction</w:t>
                    </w:r>
                    <w:r>
                      <w:rPr>
                        <w:b/>
                        <w:color w:val="000000"/>
                        <w:spacing w:val="12"/>
                        <w:sz w:val="22"/>
                      </w:rPr>
                      <w:t> </w:t>
                    </w:r>
                    <w:r>
                      <w:rPr>
                        <w:b/>
                        <w:color w:val="000000"/>
                        <w:sz w:val="22"/>
                      </w:rPr>
                      <w:t>worker</w:t>
                    </w:r>
                    <w:r>
                      <w:rPr>
                        <w:b/>
                        <w:color w:val="000000"/>
                        <w:spacing w:val="14"/>
                        <w:sz w:val="22"/>
                      </w:rPr>
                      <w:t> </w:t>
                    </w:r>
                    <w:r>
                      <w:rPr>
                        <w:b/>
                        <w:color w:val="000000"/>
                        <w:sz w:val="22"/>
                      </w:rPr>
                      <w:t>screening</w:t>
                    </w:r>
                    <w:r>
                      <w:rPr>
                        <w:b/>
                        <w:color w:val="000000"/>
                        <w:spacing w:val="12"/>
                        <w:sz w:val="22"/>
                      </w:rPr>
                      <w:t> </w:t>
                    </w:r>
                    <w:r>
                      <w:rPr>
                        <w:b/>
                        <w:color w:val="000000"/>
                        <w:sz w:val="22"/>
                      </w:rPr>
                      <w:t>in</w:t>
                    </w:r>
                    <w:r>
                      <w:rPr>
                        <w:b/>
                        <w:color w:val="000000"/>
                        <w:spacing w:val="12"/>
                        <w:sz w:val="22"/>
                      </w:rPr>
                      <w:t> </w:t>
                    </w:r>
                    <w:r>
                      <w:rPr>
                        <w:b/>
                        <w:color w:val="000000"/>
                        <w:sz w:val="22"/>
                      </w:rPr>
                      <w:t>this</w:t>
                    </w:r>
                    <w:r>
                      <w:rPr>
                        <w:b/>
                        <w:color w:val="000000"/>
                        <w:spacing w:val="11"/>
                        <w:sz w:val="22"/>
                      </w:rPr>
                      <w:t> </w:t>
                    </w:r>
                    <w:r>
                      <w:rPr>
                        <w:b/>
                        <w:color w:val="000000"/>
                        <w:sz w:val="22"/>
                      </w:rPr>
                      <w:t>section.</w:t>
                    </w:r>
                    <w:r>
                      <w:rPr>
                        <w:b/>
                        <w:color w:val="000000"/>
                        <w:spacing w:val="77"/>
                        <w:sz w:val="22"/>
                      </w:rPr>
                      <w:t> </w:t>
                    </w:r>
                    <w:r>
                      <w:rPr>
                        <w:b/>
                        <w:color w:val="000000"/>
                        <w:sz w:val="22"/>
                      </w:rPr>
                      <w:t>It</w:t>
                    </w:r>
                    <w:r>
                      <w:rPr>
                        <w:b/>
                        <w:color w:val="000000"/>
                        <w:spacing w:val="13"/>
                        <w:sz w:val="22"/>
                      </w:rPr>
                      <w:t> </w:t>
                    </w:r>
                    <w:r>
                      <w:rPr>
                        <w:b/>
                        <w:color w:val="000000"/>
                        <w:sz w:val="22"/>
                      </w:rPr>
                      <w:t>is</w:t>
                    </w:r>
                    <w:r>
                      <w:rPr>
                        <w:b/>
                        <w:color w:val="000000"/>
                        <w:spacing w:val="14"/>
                        <w:sz w:val="22"/>
                      </w:rPr>
                      <w:t> </w:t>
                    </w:r>
                    <w:r>
                      <w:rPr>
                        <w:b/>
                        <w:color w:val="000000"/>
                        <w:sz w:val="22"/>
                      </w:rPr>
                      <w:t>likely</w:t>
                    </w:r>
                    <w:r>
                      <w:rPr>
                        <w:b/>
                        <w:color w:val="000000"/>
                        <w:spacing w:val="14"/>
                        <w:sz w:val="22"/>
                      </w:rPr>
                      <w:t> </w:t>
                    </w:r>
                    <w:r>
                      <w:rPr>
                        <w:b/>
                        <w:color w:val="000000"/>
                        <w:sz w:val="22"/>
                      </w:rPr>
                      <w:t>that</w:t>
                    </w:r>
                    <w:r>
                      <w:rPr>
                        <w:b/>
                        <w:color w:val="000000"/>
                        <w:spacing w:val="13"/>
                        <w:sz w:val="22"/>
                      </w:rPr>
                      <w:t> </w:t>
                    </w:r>
                    <w:r>
                      <w:rPr>
                        <w:b/>
                        <w:color w:val="000000"/>
                        <w:sz w:val="22"/>
                      </w:rPr>
                      <w:t>arsenic</w:t>
                    </w:r>
                    <w:r>
                      <w:rPr>
                        <w:b/>
                        <w:color w:val="000000"/>
                        <w:spacing w:val="14"/>
                        <w:sz w:val="22"/>
                      </w:rPr>
                      <w:t> </w:t>
                    </w:r>
                    <w:r>
                      <w:rPr>
                        <w:b/>
                        <w:color w:val="000000"/>
                        <w:sz w:val="22"/>
                      </w:rPr>
                      <w:t>is</w:t>
                    </w:r>
                    <w:r>
                      <w:rPr>
                        <w:b/>
                        <w:color w:val="000000"/>
                        <w:spacing w:val="14"/>
                        <w:sz w:val="22"/>
                      </w:rPr>
                      <w:t> </w:t>
                    </w:r>
                    <w:r>
                      <w:rPr>
                        <w:b/>
                        <w:color w:val="000000"/>
                        <w:sz w:val="22"/>
                      </w:rPr>
                      <w:t>naturally</w:t>
                    </w:r>
                    <w:r>
                      <w:rPr>
                        <w:b/>
                        <w:color w:val="000000"/>
                        <w:spacing w:val="14"/>
                        <w:sz w:val="22"/>
                      </w:rPr>
                      <w:t> </w:t>
                    </w:r>
                    <w:r>
                      <w:rPr>
                        <w:b/>
                        <w:color w:val="000000"/>
                        <w:sz w:val="22"/>
                      </w:rPr>
                      <w:t>occurring,</w:t>
                    </w:r>
                    <w:r>
                      <w:rPr>
                        <w:b/>
                        <w:color w:val="000000"/>
                        <w:spacing w:val="15"/>
                        <w:sz w:val="22"/>
                      </w:rPr>
                      <w:t> </w:t>
                    </w:r>
                    <w:r>
                      <w:rPr>
                        <w:b/>
                        <w:color w:val="000000"/>
                        <w:spacing w:val="-5"/>
                        <w:sz w:val="22"/>
                      </w:rPr>
                      <w:t>but</w:t>
                    </w:r>
                  </w:p>
                </w:txbxContent>
              </v:textbox>
              <v:fill opacity="26214f" type="solid"/>
              <w10:wrap type="none"/>
            </v:shape>
            <w10:wrap type="topAndBottom"/>
          </v:group>
        </w:pict>
      </w:r>
    </w:p>
    <w:p>
      <w:pPr>
        <w:pStyle w:val="BodyText"/>
        <w:spacing w:before="4"/>
        <w:rPr>
          <w:sz w:val="14"/>
        </w:rPr>
      </w:pPr>
    </w:p>
    <w:p>
      <w:pPr>
        <w:pStyle w:val="BodyText"/>
        <w:spacing w:before="56"/>
        <w:ind w:left="339"/>
      </w:pPr>
      <w:r>
        <w:rPr/>
        <w:t>Figure</w:t>
      </w:r>
      <w:r>
        <w:rPr>
          <w:spacing w:val="-4"/>
        </w:rPr>
        <w:t> </w:t>
      </w:r>
      <w:r>
        <w:rPr/>
        <w:t>2.-A</w:t>
      </w:r>
      <w:r>
        <w:rPr>
          <w:spacing w:val="-3"/>
        </w:rPr>
        <w:t> </w:t>
      </w:r>
      <w:r>
        <w:rPr/>
        <w:t>current</w:t>
      </w:r>
      <w:r>
        <w:rPr>
          <w:spacing w:val="-5"/>
        </w:rPr>
        <w:t> </w:t>
      </w:r>
      <w:r>
        <w:rPr/>
        <w:t>base</w:t>
      </w:r>
      <w:r>
        <w:rPr>
          <w:spacing w:val="-4"/>
        </w:rPr>
        <w:t> </w:t>
      </w:r>
      <w:r>
        <w:rPr/>
        <w:t>map</w:t>
      </w:r>
      <w:r>
        <w:rPr>
          <w:spacing w:val="-4"/>
        </w:rPr>
        <w:t> </w:t>
      </w:r>
      <w:r>
        <w:rPr/>
        <w:t>should</w:t>
      </w:r>
      <w:r>
        <w:rPr>
          <w:spacing w:val="-4"/>
        </w:rPr>
        <w:t> </w:t>
      </w:r>
      <w:r>
        <w:rPr/>
        <w:t>be</w:t>
      </w:r>
      <w:r>
        <w:rPr>
          <w:spacing w:val="-2"/>
        </w:rPr>
        <w:t> </w:t>
      </w:r>
      <w:r>
        <w:rPr/>
        <w:t>used.</w:t>
      </w:r>
      <w:r>
        <w:rPr>
          <w:spacing w:val="-2"/>
        </w:rPr>
        <w:t> </w:t>
      </w:r>
      <w:r>
        <w:rPr/>
        <w:t>The</w:t>
      </w:r>
      <w:r>
        <w:rPr>
          <w:spacing w:val="-2"/>
        </w:rPr>
        <w:t> </w:t>
      </w:r>
      <w:r>
        <w:rPr/>
        <w:t>roads</w:t>
      </w:r>
      <w:r>
        <w:rPr>
          <w:spacing w:val="-3"/>
        </w:rPr>
        <w:t> </w:t>
      </w:r>
      <w:r>
        <w:rPr/>
        <w:t>in</w:t>
      </w:r>
      <w:r>
        <w:rPr>
          <w:spacing w:val="-4"/>
        </w:rPr>
        <w:t> </w:t>
      </w:r>
      <w:r>
        <w:rPr/>
        <w:t>1977</w:t>
      </w:r>
      <w:r>
        <w:rPr>
          <w:spacing w:val="-3"/>
        </w:rPr>
        <w:t> </w:t>
      </w:r>
      <w:r>
        <w:rPr/>
        <w:t>are</w:t>
      </w:r>
      <w:r>
        <w:rPr>
          <w:spacing w:val="-5"/>
        </w:rPr>
        <w:t> </w:t>
      </w:r>
      <w:r>
        <w:rPr/>
        <w:t>no</w:t>
      </w:r>
      <w:r>
        <w:rPr>
          <w:spacing w:val="-2"/>
        </w:rPr>
        <w:t> </w:t>
      </w:r>
      <w:r>
        <w:rPr/>
        <w:t>longer</w:t>
      </w:r>
      <w:r>
        <w:rPr>
          <w:spacing w:val="-2"/>
        </w:rPr>
        <w:t> accurate.</w:t>
      </w:r>
    </w:p>
    <w:p>
      <w:pPr>
        <w:pStyle w:val="BodyText"/>
        <w:spacing w:before="9"/>
        <w:rPr>
          <w:sz w:val="19"/>
        </w:rPr>
      </w:pPr>
    </w:p>
    <w:p>
      <w:pPr>
        <w:pStyle w:val="Heading2"/>
        <w:jc w:val="left"/>
      </w:pPr>
      <w:r>
        <w:rPr/>
        <w:pict>
          <v:shape style="position:absolute;margin-left:178.20665pt;margin-top:-.247127pt;width:227.45pt;height:14.1pt;mso-position-horizontal-relative:page;mso-position-vertical-relative:paragraph;z-index:15731200" type="#_x0000_t202" id="docshape13" filled="true" fillcolor="#fde164" stroked="false">
            <v:textbox inset="0,0,0,0">
              <w:txbxContent>
                <w:p>
                  <w:pPr>
                    <w:spacing w:before="5"/>
                    <w:ind w:left="49" w:right="0" w:firstLine="0"/>
                    <w:jc w:val="left"/>
                    <w:rPr>
                      <w:b/>
                      <w:color w:val="000000"/>
                      <w:sz w:val="22"/>
                    </w:rPr>
                  </w:pPr>
                  <w:r>
                    <w:rPr>
                      <w:b/>
                      <w:color w:val="000000"/>
                      <w:sz w:val="22"/>
                    </w:rPr>
                    <w:t>Figure</w:t>
                  </w:r>
                  <w:r>
                    <w:rPr>
                      <w:b/>
                      <w:color w:val="000000"/>
                      <w:spacing w:val="-4"/>
                      <w:sz w:val="22"/>
                    </w:rPr>
                    <w:t> </w:t>
                  </w:r>
                  <w:r>
                    <w:rPr>
                      <w:b/>
                      <w:color w:val="000000"/>
                      <w:sz w:val="22"/>
                    </w:rPr>
                    <w:t>1</w:t>
                  </w:r>
                  <w:r>
                    <w:rPr>
                      <w:b/>
                      <w:color w:val="000000"/>
                      <w:spacing w:val="-2"/>
                      <w:sz w:val="22"/>
                    </w:rPr>
                    <w:t> </w:t>
                  </w:r>
                  <w:r>
                    <w:rPr>
                      <w:b/>
                      <w:color w:val="000000"/>
                      <w:sz w:val="22"/>
                    </w:rPr>
                    <w:t>and</w:t>
                  </w:r>
                  <w:r>
                    <w:rPr>
                      <w:b/>
                      <w:color w:val="000000"/>
                      <w:spacing w:val="-4"/>
                      <w:sz w:val="22"/>
                    </w:rPr>
                    <w:t> </w:t>
                  </w:r>
                  <w:r>
                    <w:rPr>
                      <w:b/>
                      <w:color w:val="000000"/>
                      <w:sz w:val="22"/>
                    </w:rPr>
                    <w:t>Figure</w:t>
                  </w:r>
                  <w:r>
                    <w:rPr>
                      <w:b/>
                      <w:color w:val="000000"/>
                      <w:spacing w:val="-6"/>
                      <w:sz w:val="22"/>
                    </w:rPr>
                    <w:t> </w:t>
                  </w:r>
                  <w:r>
                    <w:rPr>
                      <w:b/>
                      <w:color w:val="000000"/>
                      <w:sz w:val="22"/>
                    </w:rPr>
                    <w:t>3</w:t>
                  </w:r>
                  <w:r>
                    <w:rPr>
                      <w:b/>
                      <w:color w:val="000000"/>
                      <w:spacing w:val="-1"/>
                      <w:sz w:val="22"/>
                    </w:rPr>
                    <w:t> </w:t>
                  </w:r>
                  <w:r>
                    <w:rPr>
                      <w:b/>
                      <w:color w:val="000000"/>
                      <w:sz w:val="22"/>
                    </w:rPr>
                    <w:t>provide</w:t>
                  </w:r>
                  <w:r>
                    <w:rPr>
                      <w:b/>
                      <w:color w:val="000000"/>
                      <w:spacing w:val="-6"/>
                      <w:sz w:val="22"/>
                    </w:rPr>
                    <w:t> </w:t>
                  </w:r>
                  <w:r>
                    <w:rPr>
                      <w:b/>
                      <w:color w:val="000000"/>
                      <w:sz w:val="22"/>
                    </w:rPr>
                    <w:t>current</w:t>
                  </w:r>
                  <w:r>
                    <w:rPr>
                      <w:b/>
                      <w:color w:val="000000"/>
                      <w:spacing w:val="-3"/>
                      <w:sz w:val="22"/>
                    </w:rPr>
                    <w:t> </w:t>
                  </w:r>
                  <w:r>
                    <w:rPr>
                      <w:b/>
                      <w:color w:val="000000"/>
                      <w:sz w:val="22"/>
                    </w:rPr>
                    <w:t>base</w:t>
                  </w:r>
                  <w:r>
                    <w:rPr>
                      <w:b/>
                      <w:color w:val="000000"/>
                      <w:spacing w:val="-5"/>
                      <w:sz w:val="22"/>
                    </w:rPr>
                    <w:t> </w:t>
                  </w:r>
                  <w:r>
                    <w:rPr>
                      <w:b/>
                      <w:color w:val="000000"/>
                      <w:spacing w:val="-4"/>
                      <w:sz w:val="22"/>
                    </w:rPr>
                    <w:t>maps.</w:t>
                  </w:r>
                </w:p>
              </w:txbxContent>
            </v:textbox>
            <v:fill opacity="26214f" type="solid"/>
            <w10:wrap type="none"/>
          </v:shape>
        </w:pict>
      </w:r>
      <w:r>
        <w:rPr/>
        <w:t>Figure</w:t>
      </w:r>
      <w:r>
        <w:rPr>
          <w:spacing w:val="-6"/>
        </w:rPr>
        <w:t> </w:t>
      </w:r>
      <w:r>
        <w:rPr/>
        <w:t>2</w:t>
      </w:r>
      <w:r>
        <w:rPr>
          <w:spacing w:val="-2"/>
        </w:rPr>
        <w:t> </w:t>
      </w:r>
      <w:r>
        <w:rPr/>
        <w:t>is</w:t>
      </w:r>
      <w:r>
        <w:rPr>
          <w:spacing w:val="-1"/>
        </w:rPr>
        <w:t> </w:t>
      </w:r>
      <w:r>
        <w:rPr/>
        <w:t>a</w:t>
      </w:r>
      <w:r>
        <w:rPr>
          <w:spacing w:val="-3"/>
        </w:rPr>
        <w:t> </w:t>
      </w:r>
      <w:r>
        <w:rPr/>
        <w:t>topo</w:t>
      </w:r>
      <w:r>
        <w:rPr>
          <w:spacing w:val="-2"/>
        </w:rPr>
        <w:t> </w:t>
      </w:r>
      <w:r>
        <w:rPr>
          <w:spacing w:val="-4"/>
        </w:rPr>
        <w:t>map.</w:t>
      </w:r>
    </w:p>
    <w:p>
      <w:pPr>
        <w:pStyle w:val="BodyText"/>
        <w:spacing w:before="0"/>
        <w:rPr>
          <w:b/>
          <w:sz w:val="15"/>
        </w:rPr>
      </w:pPr>
    </w:p>
    <w:p>
      <w:pPr>
        <w:pStyle w:val="BodyText"/>
        <w:spacing w:before="57"/>
        <w:ind w:left="339"/>
      </w:pPr>
      <w:r>
        <w:rPr/>
        <w:t>Figure</w:t>
      </w:r>
      <w:r>
        <w:rPr>
          <w:spacing w:val="40"/>
        </w:rPr>
        <w:t> </w:t>
      </w:r>
      <w:r>
        <w:rPr/>
        <w:t>4a,</w:t>
      </w:r>
      <w:r>
        <w:rPr>
          <w:spacing w:val="40"/>
        </w:rPr>
        <w:t> </w:t>
      </w:r>
      <w:r>
        <w:rPr/>
        <w:t>4C-The</w:t>
      </w:r>
      <w:r>
        <w:rPr>
          <w:spacing w:val="40"/>
        </w:rPr>
        <w:t> </w:t>
      </w:r>
      <w:r>
        <w:rPr/>
        <w:t>extent</w:t>
      </w:r>
      <w:r>
        <w:rPr>
          <w:spacing w:val="40"/>
        </w:rPr>
        <w:t> </w:t>
      </w:r>
      <w:r>
        <w:rPr/>
        <w:t>of</w:t>
      </w:r>
      <w:r>
        <w:rPr>
          <w:spacing w:val="40"/>
        </w:rPr>
        <w:t> </w:t>
      </w:r>
      <w:r>
        <w:rPr/>
        <w:t>excavation</w:t>
      </w:r>
      <w:r>
        <w:rPr>
          <w:spacing w:val="40"/>
        </w:rPr>
        <w:t> </w:t>
      </w:r>
      <w:r>
        <w:rPr/>
        <w:t>is</w:t>
      </w:r>
      <w:r>
        <w:rPr>
          <w:spacing w:val="40"/>
        </w:rPr>
        <w:t> </w:t>
      </w:r>
      <w:r>
        <w:rPr/>
        <w:t>questionable.</w:t>
      </w:r>
      <w:r>
        <w:rPr>
          <w:spacing w:val="40"/>
        </w:rPr>
        <w:t> </w:t>
      </w:r>
      <w:r>
        <w:rPr/>
        <w:t>The</w:t>
      </w:r>
      <w:r>
        <w:rPr>
          <w:spacing w:val="40"/>
        </w:rPr>
        <w:t> </w:t>
      </w:r>
      <w:r>
        <w:rPr/>
        <w:t>three</w:t>
      </w:r>
      <w:r>
        <w:rPr>
          <w:spacing w:val="40"/>
        </w:rPr>
        <w:t> </w:t>
      </w:r>
      <w:r>
        <w:rPr/>
        <w:t>samples</w:t>
      </w:r>
      <w:r>
        <w:rPr>
          <w:spacing w:val="40"/>
        </w:rPr>
        <w:t> </w:t>
      </w:r>
      <w:r>
        <w:rPr/>
        <w:t>outside</w:t>
      </w:r>
      <w:r>
        <w:rPr>
          <w:spacing w:val="40"/>
        </w:rPr>
        <w:t> </w:t>
      </w:r>
      <w:r>
        <w:rPr/>
        <w:t>the</w:t>
      </w:r>
      <w:r>
        <w:rPr>
          <w:spacing w:val="40"/>
        </w:rPr>
        <w:t> </w:t>
      </w:r>
      <w:r>
        <w:rPr/>
        <w:t>excavation</w:t>
      </w:r>
      <w:r>
        <w:rPr>
          <w:spacing w:val="40"/>
        </w:rPr>
        <w:t> </w:t>
      </w:r>
      <w:r>
        <w:rPr/>
        <w:t>may indicate a larger contaminated area, not bounded in most directions.</w:t>
      </w:r>
    </w:p>
    <w:p>
      <w:pPr>
        <w:pStyle w:val="BodyText"/>
        <w:rPr>
          <w:sz w:val="19"/>
        </w:rPr>
      </w:pPr>
    </w:p>
    <w:p>
      <w:pPr>
        <w:pStyle w:val="Heading2"/>
        <w:spacing w:line="453" w:lineRule="auto"/>
        <w:ind w:right="49"/>
        <w:jc w:val="left"/>
      </w:pPr>
      <w:r>
        <w:rPr/>
        <w:t>Figure</w:t>
      </w:r>
      <w:r>
        <w:rPr>
          <w:spacing w:val="-5"/>
        </w:rPr>
        <w:t> </w:t>
      </w:r>
      <w:r>
        <w:rPr/>
        <w:t>4A</w:t>
      </w:r>
      <w:r>
        <w:rPr>
          <w:spacing w:val="-4"/>
        </w:rPr>
        <w:t> </w:t>
      </w:r>
      <w:r>
        <w:rPr/>
        <w:t>(Building</w:t>
      </w:r>
      <w:r>
        <w:rPr>
          <w:spacing w:val="-3"/>
        </w:rPr>
        <w:t> </w:t>
      </w:r>
      <w:r>
        <w:rPr/>
        <w:t>43)</w:t>
      </w:r>
      <w:r>
        <w:rPr>
          <w:spacing w:val="-1"/>
        </w:rPr>
        <w:t> </w:t>
      </w:r>
      <w:r>
        <w:rPr/>
        <w:t>–</w:t>
      </w:r>
      <w:r>
        <w:rPr>
          <w:spacing w:val="-4"/>
        </w:rPr>
        <w:t> </w:t>
      </w:r>
      <w:r>
        <w:rPr/>
        <w:t>All</w:t>
      </w:r>
      <w:r>
        <w:rPr>
          <w:spacing w:val="-1"/>
        </w:rPr>
        <w:t> </w:t>
      </w:r>
      <w:r>
        <w:rPr/>
        <w:t>three</w:t>
      </w:r>
      <w:r>
        <w:rPr>
          <w:spacing w:val="-3"/>
        </w:rPr>
        <w:t> </w:t>
      </w:r>
      <w:r>
        <w:rPr/>
        <w:t>samples</w:t>
      </w:r>
      <w:r>
        <w:rPr>
          <w:spacing w:val="-1"/>
        </w:rPr>
        <w:t> </w:t>
      </w:r>
      <w:r>
        <w:rPr/>
        <w:t>that</w:t>
      </w:r>
      <w:r>
        <w:rPr>
          <w:spacing w:val="-2"/>
        </w:rPr>
        <w:t> </w:t>
      </w:r>
      <w:r>
        <w:rPr/>
        <w:t>demonstrate</w:t>
      </w:r>
      <w:r>
        <w:rPr>
          <w:spacing w:val="-3"/>
        </w:rPr>
        <w:t> </w:t>
      </w:r>
      <w:r>
        <w:rPr/>
        <w:t>elevated</w:t>
      </w:r>
      <w:r>
        <w:rPr>
          <w:spacing w:val="-3"/>
        </w:rPr>
        <w:t> </w:t>
      </w:r>
      <w:r>
        <w:rPr/>
        <w:t>BAPe</w:t>
      </w:r>
      <w:r>
        <w:rPr>
          <w:spacing w:val="-3"/>
        </w:rPr>
        <w:t> </w:t>
      </w:r>
      <w:r>
        <w:rPr/>
        <w:t>are</w:t>
      </w:r>
      <w:r>
        <w:rPr>
          <w:spacing w:val="-5"/>
        </w:rPr>
        <w:t> </w:t>
      </w:r>
      <w:r>
        <w:rPr/>
        <w:t>within</w:t>
      </w:r>
      <w:r>
        <w:rPr>
          <w:spacing w:val="-3"/>
        </w:rPr>
        <w:t> </w:t>
      </w:r>
      <w:r>
        <w:rPr/>
        <w:t>the</w:t>
      </w:r>
      <w:r>
        <w:rPr>
          <w:spacing w:val="-2"/>
        </w:rPr>
        <w:t> </w:t>
      </w:r>
      <w:r>
        <w:rPr/>
        <w:t>excavation. Figure 4C (Area A/EB-7) – Discussed above.</w:t>
      </w:r>
    </w:p>
    <w:p>
      <w:pPr>
        <w:spacing w:after="0" w:line="453" w:lineRule="auto"/>
        <w:jc w:val="left"/>
        <w:sectPr>
          <w:pgSz w:w="12240" w:h="15840"/>
          <w:pgMar w:header="760" w:footer="1017" w:top="1880" w:bottom="1200" w:left="1100" w:right="920"/>
        </w:sectPr>
      </w:pPr>
    </w:p>
    <w:p>
      <w:pPr>
        <w:pStyle w:val="BodyText"/>
        <w:spacing w:before="155"/>
        <w:ind w:left="339" w:right="159"/>
        <w:jc w:val="both"/>
      </w:pPr>
      <w:r>
        <w:rPr/>
        <w:t>Figure 5, CSM- Explain the reason for including a groundwater scenario to residential air. If this is a relevant scenario, it needs to be evaluated.</w:t>
      </w:r>
    </w:p>
    <w:p>
      <w:pPr>
        <w:pStyle w:val="BodyText"/>
        <w:spacing w:before="11"/>
        <w:rPr>
          <w:sz w:val="19"/>
        </w:rPr>
      </w:pPr>
    </w:p>
    <w:p>
      <w:pPr>
        <w:spacing w:before="0"/>
        <w:ind w:left="340" w:right="155" w:firstLine="0"/>
        <w:jc w:val="both"/>
        <w:rPr>
          <w:b/>
          <w:sz w:val="22"/>
        </w:rPr>
      </w:pPr>
      <w:r>
        <w:rPr/>
        <w:pict>
          <v:shape style="position:absolute;margin-left:69.510223pt;margin-top:38.642658pt;width:152.450pt;height:14.1pt;mso-position-horizontal-relative:page;mso-position-vertical-relative:paragraph;z-index:15735296" type="#_x0000_t202" id="docshape14" filled="true" fillcolor="#fde164" stroked="false">
            <v:textbox inset="0,0,0,0">
              <w:txbxContent>
                <w:p>
                  <w:pPr>
                    <w:spacing w:before="5"/>
                    <w:ind w:left="49" w:right="0" w:firstLine="0"/>
                    <w:jc w:val="left"/>
                    <w:rPr>
                      <w:b/>
                      <w:color w:val="000000"/>
                      <w:sz w:val="22"/>
                    </w:rPr>
                  </w:pPr>
                  <w:r>
                    <w:rPr>
                      <w:b/>
                      <w:color w:val="000000"/>
                      <w:sz w:val="22"/>
                    </w:rPr>
                    <w:t>consideration</w:t>
                  </w:r>
                  <w:r>
                    <w:rPr>
                      <w:b/>
                      <w:color w:val="000000"/>
                      <w:spacing w:val="31"/>
                      <w:sz w:val="22"/>
                    </w:rPr>
                    <w:t> </w:t>
                  </w:r>
                  <w:r>
                    <w:rPr>
                      <w:b/>
                      <w:color w:val="000000"/>
                      <w:sz w:val="22"/>
                    </w:rPr>
                    <w:t>at</w:t>
                  </w:r>
                  <w:r>
                    <w:rPr>
                      <w:b/>
                      <w:color w:val="000000"/>
                      <w:spacing w:val="33"/>
                      <w:sz w:val="22"/>
                    </w:rPr>
                    <w:t> </w:t>
                  </w:r>
                  <w:r>
                    <w:rPr>
                      <w:b/>
                      <w:color w:val="000000"/>
                      <w:sz w:val="22"/>
                    </w:rPr>
                    <w:t>DEQs</w:t>
                  </w:r>
                  <w:r>
                    <w:rPr>
                      <w:b/>
                      <w:color w:val="000000"/>
                      <w:spacing w:val="33"/>
                      <w:sz w:val="22"/>
                    </w:rPr>
                    <w:t> </w:t>
                  </w:r>
                  <w:r>
                    <w:rPr>
                      <w:b/>
                      <w:color w:val="000000"/>
                      <w:spacing w:val="-2"/>
                      <w:sz w:val="22"/>
                    </w:rPr>
                    <w:t>request.</w:t>
                  </w:r>
                </w:p>
              </w:txbxContent>
            </v:textbox>
            <v:fill opacity="26214f" type="solid"/>
            <w10:wrap type="none"/>
          </v:shape>
        </w:pict>
      </w:r>
      <w:r>
        <w:rPr/>
        <w:pict>
          <v:shape style="position:absolute;margin-left:292.23114pt;margin-top:25.206957pt;width:268.350pt;height:14.1pt;mso-position-horizontal-relative:page;mso-position-vertical-relative:paragraph;z-index:15735808" type="#_x0000_t202" id="docshape15" filled="true" fillcolor="#fde164" stroked="false">
            <v:textbox inset="0,0,0,0">
              <w:txbxContent>
                <w:p>
                  <w:pPr>
                    <w:spacing w:before="5"/>
                    <w:ind w:left="49" w:right="0" w:firstLine="0"/>
                    <w:jc w:val="left"/>
                    <w:rPr>
                      <w:b/>
                      <w:color w:val="000000"/>
                      <w:sz w:val="22"/>
                    </w:rPr>
                  </w:pPr>
                  <w:r>
                    <w:rPr>
                      <w:b/>
                      <w:color w:val="000000"/>
                      <w:sz w:val="22"/>
                    </w:rPr>
                    <w:t>The</w:t>
                  </w:r>
                  <w:r>
                    <w:rPr>
                      <w:b/>
                      <w:color w:val="000000"/>
                      <w:spacing w:val="14"/>
                      <w:sz w:val="22"/>
                    </w:rPr>
                    <w:t> </w:t>
                  </w:r>
                  <w:r>
                    <w:rPr>
                      <w:b/>
                      <w:color w:val="000000"/>
                      <w:sz w:val="22"/>
                    </w:rPr>
                    <w:t>CSM</w:t>
                  </w:r>
                  <w:r>
                    <w:rPr>
                      <w:b/>
                      <w:color w:val="000000"/>
                      <w:spacing w:val="15"/>
                      <w:sz w:val="22"/>
                    </w:rPr>
                    <w:t> </w:t>
                  </w:r>
                  <w:r>
                    <w:rPr>
                      <w:b/>
                      <w:color w:val="000000"/>
                      <w:sz w:val="22"/>
                    </w:rPr>
                    <w:t>will</w:t>
                  </w:r>
                  <w:r>
                    <w:rPr>
                      <w:b/>
                      <w:color w:val="000000"/>
                      <w:spacing w:val="17"/>
                      <w:sz w:val="22"/>
                    </w:rPr>
                    <w:t> </w:t>
                  </w:r>
                  <w:r>
                    <w:rPr>
                      <w:b/>
                      <w:color w:val="000000"/>
                      <w:sz w:val="22"/>
                    </w:rPr>
                    <w:t>be</w:t>
                  </w:r>
                  <w:r>
                    <w:rPr>
                      <w:b/>
                      <w:color w:val="000000"/>
                      <w:spacing w:val="16"/>
                      <w:sz w:val="22"/>
                    </w:rPr>
                    <w:t> </w:t>
                  </w:r>
                  <w:r>
                    <w:rPr>
                      <w:b/>
                      <w:color w:val="000000"/>
                      <w:sz w:val="22"/>
                    </w:rPr>
                    <w:t>redone</w:t>
                  </w:r>
                  <w:r>
                    <w:rPr>
                      <w:b/>
                      <w:color w:val="000000"/>
                      <w:spacing w:val="16"/>
                      <w:sz w:val="22"/>
                    </w:rPr>
                    <w:t> </w:t>
                  </w:r>
                  <w:r>
                    <w:rPr>
                      <w:b/>
                      <w:color w:val="000000"/>
                      <w:sz w:val="22"/>
                    </w:rPr>
                    <w:t>with</w:t>
                  </w:r>
                  <w:r>
                    <w:rPr>
                      <w:b/>
                      <w:color w:val="000000"/>
                      <w:spacing w:val="13"/>
                      <w:sz w:val="22"/>
                    </w:rPr>
                    <w:t> </w:t>
                  </w:r>
                  <w:r>
                    <w:rPr>
                      <w:b/>
                      <w:color w:val="000000"/>
                      <w:sz w:val="22"/>
                    </w:rPr>
                    <w:t>Urban</w:t>
                  </w:r>
                  <w:r>
                    <w:rPr>
                      <w:b/>
                      <w:color w:val="000000"/>
                      <w:spacing w:val="16"/>
                      <w:sz w:val="22"/>
                    </w:rPr>
                    <w:t> </w:t>
                  </w:r>
                  <w:r>
                    <w:rPr>
                      <w:b/>
                      <w:color w:val="000000"/>
                      <w:sz w:val="22"/>
                    </w:rPr>
                    <w:t>Residential</w:t>
                  </w:r>
                  <w:r>
                    <w:rPr>
                      <w:b/>
                      <w:color w:val="000000"/>
                      <w:spacing w:val="17"/>
                      <w:sz w:val="22"/>
                    </w:rPr>
                    <w:t> </w:t>
                  </w:r>
                  <w:r>
                    <w:rPr>
                      <w:b/>
                      <w:color w:val="000000"/>
                      <w:sz w:val="22"/>
                    </w:rPr>
                    <w:t>use</w:t>
                  </w:r>
                  <w:r>
                    <w:rPr>
                      <w:b/>
                      <w:color w:val="000000"/>
                      <w:spacing w:val="16"/>
                      <w:sz w:val="22"/>
                    </w:rPr>
                    <w:t> </w:t>
                  </w:r>
                  <w:r>
                    <w:rPr>
                      <w:b/>
                      <w:color w:val="000000"/>
                      <w:sz w:val="22"/>
                    </w:rPr>
                    <w:t>as</w:t>
                  </w:r>
                  <w:r>
                    <w:rPr>
                      <w:b/>
                      <w:color w:val="000000"/>
                      <w:spacing w:val="16"/>
                      <w:sz w:val="22"/>
                    </w:rPr>
                    <w:t> </w:t>
                  </w:r>
                  <w:r>
                    <w:rPr>
                      <w:b/>
                      <w:color w:val="000000"/>
                      <w:spacing w:val="-10"/>
                      <w:sz w:val="22"/>
                    </w:rPr>
                    <w:t>a</w:t>
                  </w:r>
                </w:p>
              </w:txbxContent>
            </v:textbox>
            <v:fill opacity="26214f" type="solid"/>
            <w10:wrap type="none"/>
          </v:shape>
        </w:pict>
      </w:r>
      <w:r>
        <w:rPr>
          <w:b/>
          <w:sz w:val="20"/>
        </w:rPr>
        <w:t>This pathway was accepted in the CSM solely due to the presence of groundwater.</w:t>
      </w:r>
      <w:r>
        <w:rPr>
          <w:b/>
          <w:spacing w:val="40"/>
          <w:sz w:val="20"/>
        </w:rPr>
        <w:t> </w:t>
      </w:r>
      <w:r>
        <w:rPr>
          <w:b/>
          <w:sz w:val="20"/>
        </w:rPr>
        <w:t>The pathway is not complete, however, </w:t>
      </w:r>
      <w:r>
        <w:rPr>
          <w:b/>
          <w:sz w:val="22"/>
        </w:rPr>
        <w:t>as none of the concentrations of COCs in groundwater exceed RBCs for residential exposure via vapor intrusion or volatilization to outdoor air.</w:t>
      </w:r>
    </w:p>
    <w:p>
      <w:pPr>
        <w:pStyle w:val="Heading2"/>
        <w:ind w:left="340" w:right="154" w:firstLine="3127"/>
      </w:pPr>
      <w:r>
        <w:rPr/>
        <w:t>Groundwater ingestion will not be addressed as it appears that DEQ agrees that there is not a beneficial use for groundwater.</w:t>
      </w:r>
    </w:p>
    <w:p>
      <w:pPr>
        <w:pStyle w:val="BodyText"/>
        <w:spacing w:before="5"/>
        <w:rPr>
          <w:b/>
          <w:sz w:val="19"/>
        </w:rPr>
      </w:pPr>
    </w:p>
    <w:p>
      <w:pPr>
        <w:pStyle w:val="BodyText"/>
        <w:spacing w:before="0"/>
        <w:ind w:left="339" w:right="157"/>
        <w:jc w:val="both"/>
      </w:pPr>
      <w:r>
        <w:rPr/>
        <w:t>Figure 6- Residential contact with surface soil is selected, even though that pathway is not included in the CSM on Figure 5.</w:t>
      </w:r>
    </w:p>
    <w:p>
      <w:pPr>
        <w:pStyle w:val="BodyText"/>
        <w:rPr>
          <w:sz w:val="19"/>
        </w:rPr>
      </w:pPr>
    </w:p>
    <w:p>
      <w:pPr>
        <w:pStyle w:val="Heading2"/>
        <w:spacing w:before="1"/>
        <w:ind w:right="155"/>
      </w:pPr>
      <w:r>
        <w:rPr/>
        <w:pict>
          <v:shape style="position:absolute;margin-left:116.532822pt;margin-top:13.239511pt;width:402.75pt;height:14.1pt;mso-position-horizontal-relative:page;mso-position-vertical-relative:paragraph;z-index:15734784" type="#_x0000_t202" id="docshape16" filled="true" fillcolor="#fde164" stroked="false">
            <v:textbox inset="0,0,0,0">
              <w:txbxContent>
                <w:p>
                  <w:pPr>
                    <w:spacing w:before="5"/>
                    <w:ind w:left="49" w:right="0" w:firstLine="0"/>
                    <w:jc w:val="left"/>
                    <w:rPr>
                      <w:b/>
                      <w:color w:val="000000"/>
                      <w:sz w:val="22"/>
                    </w:rPr>
                  </w:pPr>
                  <w:r>
                    <w:rPr>
                      <w:b/>
                      <w:color w:val="000000"/>
                      <w:sz w:val="22"/>
                    </w:rPr>
                    <w:t>The</w:t>
                  </w:r>
                  <w:r>
                    <w:rPr>
                      <w:b/>
                      <w:color w:val="000000"/>
                      <w:spacing w:val="-6"/>
                      <w:sz w:val="22"/>
                    </w:rPr>
                    <w:t> </w:t>
                  </w:r>
                  <w:r>
                    <w:rPr>
                      <w:b/>
                      <w:color w:val="000000"/>
                      <w:sz w:val="22"/>
                    </w:rPr>
                    <w:t>CSM</w:t>
                  </w:r>
                  <w:r>
                    <w:rPr>
                      <w:b/>
                      <w:color w:val="000000"/>
                      <w:spacing w:val="-3"/>
                      <w:sz w:val="22"/>
                    </w:rPr>
                    <w:t> </w:t>
                  </w:r>
                  <w:r>
                    <w:rPr>
                      <w:b/>
                      <w:color w:val="000000"/>
                      <w:sz w:val="22"/>
                    </w:rPr>
                    <w:t>will</w:t>
                  </w:r>
                  <w:r>
                    <w:rPr>
                      <w:b/>
                      <w:color w:val="000000"/>
                      <w:spacing w:val="-3"/>
                      <w:sz w:val="22"/>
                    </w:rPr>
                    <w:t> </w:t>
                  </w:r>
                  <w:r>
                    <w:rPr>
                      <w:b/>
                      <w:color w:val="000000"/>
                      <w:sz w:val="22"/>
                    </w:rPr>
                    <w:t>be</w:t>
                  </w:r>
                  <w:r>
                    <w:rPr>
                      <w:b/>
                      <w:color w:val="000000"/>
                      <w:spacing w:val="-5"/>
                      <w:sz w:val="22"/>
                    </w:rPr>
                    <w:t> </w:t>
                  </w:r>
                  <w:r>
                    <w:rPr>
                      <w:b/>
                      <w:color w:val="000000"/>
                      <w:sz w:val="22"/>
                    </w:rPr>
                    <w:t>redone</w:t>
                  </w:r>
                  <w:r>
                    <w:rPr>
                      <w:b/>
                      <w:color w:val="000000"/>
                      <w:spacing w:val="-3"/>
                      <w:sz w:val="22"/>
                    </w:rPr>
                    <w:t> </w:t>
                  </w:r>
                  <w:r>
                    <w:rPr>
                      <w:b/>
                      <w:color w:val="000000"/>
                      <w:sz w:val="22"/>
                    </w:rPr>
                    <w:t>with</w:t>
                  </w:r>
                  <w:r>
                    <w:rPr>
                      <w:b/>
                      <w:color w:val="000000"/>
                      <w:spacing w:val="-4"/>
                      <w:sz w:val="22"/>
                    </w:rPr>
                    <w:t> </w:t>
                  </w:r>
                  <w:r>
                    <w:rPr>
                      <w:b/>
                      <w:color w:val="000000"/>
                      <w:sz w:val="22"/>
                    </w:rPr>
                    <w:t>Urban</w:t>
                  </w:r>
                  <w:r>
                    <w:rPr>
                      <w:b/>
                      <w:color w:val="000000"/>
                      <w:spacing w:val="-4"/>
                      <w:sz w:val="22"/>
                    </w:rPr>
                    <w:t> </w:t>
                  </w:r>
                  <w:r>
                    <w:rPr>
                      <w:b/>
                      <w:color w:val="000000"/>
                      <w:sz w:val="22"/>
                    </w:rPr>
                    <w:t>Residential</w:t>
                  </w:r>
                  <w:r>
                    <w:rPr>
                      <w:b/>
                      <w:color w:val="000000"/>
                      <w:spacing w:val="-3"/>
                      <w:sz w:val="22"/>
                    </w:rPr>
                    <w:t> </w:t>
                  </w:r>
                  <w:r>
                    <w:rPr>
                      <w:b/>
                      <w:color w:val="000000"/>
                      <w:sz w:val="22"/>
                    </w:rPr>
                    <w:t>use</w:t>
                  </w:r>
                  <w:r>
                    <w:rPr>
                      <w:b/>
                      <w:color w:val="000000"/>
                      <w:spacing w:val="-3"/>
                      <w:sz w:val="22"/>
                    </w:rPr>
                    <w:t> </w:t>
                  </w:r>
                  <w:r>
                    <w:rPr>
                      <w:b/>
                      <w:color w:val="000000"/>
                      <w:sz w:val="22"/>
                    </w:rPr>
                    <w:t>as</w:t>
                  </w:r>
                  <w:r>
                    <w:rPr>
                      <w:b/>
                      <w:color w:val="000000"/>
                      <w:spacing w:val="-3"/>
                      <w:sz w:val="22"/>
                    </w:rPr>
                    <w:t> </w:t>
                  </w:r>
                  <w:r>
                    <w:rPr>
                      <w:b/>
                      <w:color w:val="000000"/>
                      <w:sz w:val="22"/>
                    </w:rPr>
                    <w:t>a</w:t>
                  </w:r>
                  <w:r>
                    <w:rPr>
                      <w:b/>
                      <w:color w:val="000000"/>
                      <w:spacing w:val="-4"/>
                      <w:sz w:val="22"/>
                    </w:rPr>
                    <w:t> </w:t>
                  </w:r>
                  <w:r>
                    <w:rPr>
                      <w:b/>
                      <w:color w:val="000000"/>
                      <w:sz w:val="22"/>
                    </w:rPr>
                    <w:t>consideration</w:t>
                  </w:r>
                  <w:r>
                    <w:rPr>
                      <w:b/>
                      <w:color w:val="000000"/>
                      <w:spacing w:val="-4"/>
                      <w:sz w:val="22"/>
                    </w:rPr>
                    <w:t> </w:t>
                  </w:r>
                  <w:r>
                    <w:rPr>
                      <w:b/>
                      <w:color w:val="000000"/>
                      <w:sz w:val="22"/>
                    </w:rPr>
                    <w:t>at</w:t>
                  </w:r>
                  <w:r>
                    <w:rPr>
                      <w:b/>
                      <w:color w:val="000000"/>
                      <w:spacing w:val="-3"/>
                      <w:sz w:val="22"/>
                    </w:rPr>
                    <w:t> </w:t>
                  </w:r>
                  <w:r>
                    <w:rPr>
                      <w:b/>
                      <w:color w:val="000000"/>
                      <w:sz w:val="22"/>
                    </w:rPr>
                    <w:t>DEQs</w:t>
                  </w:r>
                  <w:r>
                    <w:rPr>
                      <w:b/>
                      <w:color w:val="000000"/>
                      <w:spacing w:val="-4"/>
                      <w:sz w:val="22"/>
                    </w:rPr>
                    <w:t> </w:t>
                  </w:r>
                  <w:r>
                    <w:rPr>
                      <w:b/>
                      <w:color w:val="000000"/>
                      <w:spacing w:val="-2"/>
                      <w:sz w:val="22"/>
                    </w:rPr>
                    <w:t>request.</w:t>
                  </w:r>
                </w:p>
              </w:txbxContent>
            </v:textbox>
            <v:fill opacity="26214f" type="solid"/>
            <w10:wrap type="none"/>
          </v:shape>
        </w:pict>
      </w:r>
      <w:r>
        <w:rPr/>
        <w:t>This was an error in Figure 6.</w:t>
      </w:r>
      <w:r>
        <w:rPr>
          <w:spacing w:val="40"/>
        </w:rPr>
        <w:t> </w:t>
      </w:r>
      <w:r>
        <w:rPr/>
        <w:t>Residential contact is not selected as the site is not accessible to residential </w:t>
      </w:r>
      <w:r>
        <w:rPr>
          <w:spacing w:val="-2"/>
        </w:rPr>
        <w:t>receptor.</w:t>
      </w:r>
    </w:p>
    <w:p>
      <w:pPr>
        <w:pStyle w:val="BodyText"/>
        <w:spacing w:before="0"/>
        <w:rPr>
          <w:b/>
          <w:sz w:val="15"/>
        </w:rPr>
      </w:pPr>
    </w:p>
    <w:p>
      <w:pPr>
        <w:pStyle w:val="BodyText"/>
        <w:spacing w:before="57"/>
        <w:ind w:left="339" w:right="159"/>
        <w:jc w:val="both"/>
      </w:pPr>
      <w:r>
        <w:rPr/>
        <w:t>Figure 9- Explain the overlap with the removed (yellow) and impacted (red) soil. Does this indicate that impacted soils remain after excavation?</w:t>
      </w:r>
    </w:p>
    <w:p>
      <w:pPr>
        <w:pStyle w:val="BodyText"/>
        <w:spacing w:before="6"/>
        <w:rPr>
          <w:sz w:val="19"/>
        </w:rPr>
      </w:pPr>
    </w:p>
    <w:p>
      <w:pPr>
        <w:pStyle w:val="Heading2"/>
      </w:pPr>
      <w:r>
        <w:rPr/>
        <w:t>Yes.</w:t>
      </w:r>
      <w:r>
        <w:rPr>
          <w:spacing w:val="71"/>
          <w:w w:val="150"/>
        </w:rPr>
        <w:t> </w:t>
      </w:r>
      <w:r>
        <w:rPr/>
        <w:t>Due</w:t>
      </w:r>
      <w:r>
        <w:rPr>
          <w:spacing w:val="22"/>
        </w:rPr>
        <w:t> </w:t>
      </w:r>
      <w:r>
        <w:rPr/>
        <w:t>to</w:t>
      </w:r>
      <w:r>
        <w:rPr>
          <w:spacing w:val="22"/>
        </w:rPr>
        <w:t> </w:t>
      </w:r>
      <w:r>
        <w:rPr/>
        <w:t>existing</w:t>
      </w:r>
      <w:r>
        <w:rPr>
          <w:spacing w:val="24"/>
        </w:rPr>
        <w:t> </w:t>
      </w:r>
      <w:r>
        <w:rPr/>
        <w:t>infrastructure</w:t>
      </w:r>
      <w:r>
        <w:rPr>
          <w:spacing w:val="20"/>
        </w:rPr>
        <w:t> </w:t>
      </w:r>
      <w:r>
        <w:rPr/>
        <w:t>in</w:t>
      </w:r>
      <w:r>
        <w:rPr>
          <w:spacing w:val="22"/>
        </w:rPr>
        <w:t> </w:t>
      </w:r>
      <w:r>
        <w:rPr/>
        <w:t>this</w:t>
      </w:r>
      <w:r>
        <w:rPr>
          <w:spacing w:val="25"/>
        </w:rPr>
        <w:t> </w:t>
      </w:r>
      <w:r>
        <w:rPr/>
        <w:t>area,</w:t>
      </w:r>
      <w:r>
        <w:rPr>
          <w:spacing w:val="24"/>
        </w:rPr>
        <w:t> </w:t>
      </w:r>
      <w:r>
        <w:rPr/>
        <w:t>excavation</w:t>
      </w:r>
      <w:r>
        <w:rPr>
          <w:spacing w:val="22"/>
        </w:rPr>
        <w:t> </w:t>
      </w:r>
      <w:r>
        <w:rPr/>
        <w:t>was</w:t>
      </w:r>
      <w:r>
        <w:rPr>
          <w:spacing w:val="21"/>
        </w:rPr>
        <w:t> </w:t>
      </w:r>
      <w:r>
        <w:rPr/>
        <w:t>limited.</w:t>
      </w:r>
      <w:r>
        <w:rPr>
          <w:spacing w:val="71"/>
          <w:w w:val="150"/>
        </w:rPr>
        <w:t> </w:t>
      </w:r>
      <w:r>
        <w:rPr/>
        <w:t>Discussed</w:t>
      </w:r>
      <w:r>
        <w:rPr>
          <w:spacing w:val="22"/>
        </w:rPr>
        <w:t> </w:t>
      </w:r>
      <w:r>
        <w:rPr/>
        <w:t>in</w:t>
      </w:r>
      <w:r>
        <w:rPr>
          <w:spacing w:val="21"/>
        </w:rPr>
        <w:t> </w:t>
      </w:r>
      <w:r>
        <w:rPr/>
        <w:t>report</w:t>
      </w:r>
      <w:r>
        <w:rPr>
          <w:spacing w:val="23"/>
        </w:rPr>
        <w:t> </w:t>
      </w:r>
      <w:r>
        <w:rPr/>
        <w:t>in</w:t>
      </w:r>
      <w:r>
        <w:rPr>
          <w:spacing w:val="22"/>
        </w:rPr>
        <w:t> </w:t>
      </w:r>
      <w:r>
        <w:rPr>
          <w:spacing w:val="-2"/>
        </w:rPr>
        <w:t>Section</w:t>
      </w:r>
    </w:p>
    <w:p>
      <w:pPr>
        <w:spacing w:before="0"/>
        <w:ind w:left="339" w:right="0" w:firstLine="0"/>
        <w:jc w:val="left"/>
        <w:rPr>
          <w:b/>
          <w:sz w:val="22"/>
        </w:rPr>
      </w:pPr>
      <w:r>
        <w:rPr>
          <w:b/>
          <w:sz w:val="22"/>
        </w:rPr>
        <w:t>13.4. We estimate approximately 810 cubic yards of material to remain at a depth of greater than 5 feet below ground surface.</w:t>
      </w:r>
    </w:p>
    <w:p>
      <w:pPr>
        <w:pStyle w:val="BodyText"/>
        <w:rPr>
          <w:b/>
          <w:sz w:val="19"/>
        </w:rPr>
      </w:pPr>
    </w:p>
    <w:p>
      <w:pPr>
        <w:pStyle w:val="BodyText"/>
        <w:spacing w:before="0"/>
        <w:ind w:left="339" w:right="158"/>
        <w:jc w:val="both"/>
      </w:pPr>
      <w:r>
        <w:rPr/>
        <w:t>Figures- Please add a figure with the tax lots indicated and outlined as a reference to compare to the text, including the administration building. There are 7 different tax lots mentioned in the Executive Summary. It is unclear which one is which.</w:t>
      </w:r>
    </w:p>
    <w:p>
      <w:pPr>
        <w:pStyle w:val="BodyText"/>
        <w:spacing w:before="4"/>
        <w:rPr>
          <w:sz w:val="17"/>
        </w:rPr>
      </w:pPr>
      <w:r>
        <w:rPr/>
        <w:pict>
          <v:shape style="position:absolute;margin-left:69.465950pt;margin-top:11.806222pt;width:21.4pt;height:14.1pt;mso-position-horizontal-relative:page;mso-position-vertical-relative:paragraph;z-index:-15724544;mso-wrap-distance-left:0;mso-wrap-distance-right:0" type="#_x0000_t202" id="docshape17" filled="true" fillcolor="#fde164" stroked="false">
            <v:textbox inset="0,0,0,0">
              <w:txbxContent>
                <w:p>
                  <w:pPr>
                    <w:spacing w:before="5"/>
                    <w:ind w:left="49" w:right="0" w:firstLine="0"/>
                    <w:jc w:val="left"/>
                    <w:rPr>
                      <w:b/>
                      <w:color w:val="000000"/>
                      <w:sz w:val="22"/>
                    </w:rPr>
                  </w:pPr>
                  <w:r>
                    <w:rPr>
                      <w:b/>
                      <w:color w:val="000000"/>
                      <w:spacing w:val="-5"/>
                      <w:sz w:val="22"/>
                    </w:rPr>
                    <w:t>OK.</w:t>
                  </w:r>
                </w:p>
              </w:txbxContent>
            </v:textbox>
            <v:fill opacity="26214f" type="solid"/>
            <w10:wrap type="topAndBottom"/>
          </v:shape>
        </w:pict>
      </w:r>
    </w:p>
    <w:p>
      <w:pPr>
        <w:pStyle w:val="BodyText"/>
        <w:spacing w:before="4"/>
        <w:rPr>
          <w:sz w:val="14"/>
        </w:rPr>
      </w:pPr>
    </w:p>
    <w:p>
      <w:pPr>
        <w:pStyle w:val="BodyText"/>
        <w:spacing w:before="56"/>
        <w:ind w:left="339" w:right="157"/>
        <w:jc w:val="both"/>
      </w:pPr>
      <w:r>
        <w:rPr/>
        <w:t>Figures- Please add a figure that outlines major site features, including building and areas numbers (e.g., where is building 43? Building 9? Area A? Roosevelt 3) and location of past USTs. Perhaps and updated</w:t>
      </w:r>
      <w:r>
        <w:rPr>
          <w:spacing w:val="40"/>
        </w:rPr>
        <w:t> </w:t>
      </w:r>
      <w:r>
        <w:rPr/>
        <w:t>Figure 10 (which is limited to ISM areas) before Figure 4A.</w:t>
      </w:r>
    </w:p>
    <w:p>
      <w:pPr>
        <w:pStyle w:val="BodyText"/>
        <w:spacing w:before="2"/>
        <w:rPr>
          <w:sz w:val="17"/>
        </w:rPr>
      </w:pPr>
      <w:r>
        <w:rPr/>
        <w:pict>
          <v:shape style="position:absolute;margin-left:69.465950pt;margin-top:11.696103pt;width:21.4pt;height:14.1pt;mso-position-horizontal-relative:page;mso-position-vertical-relative:paragraph;z-index:-15724032;mso-wrap-distance-left:0;mso-wrap-distance-right:0" type="#_x0000_t202" id="docshape18" filled="true" fillcolor="#fde164" stroked="false">
            <v:textbox inset="0,0,0,0">
              <w:txbxContent>
                <w:p>
                  <w:pPr>
                    <w:spacing w:before="5"/>
                    <w:ind w:left="49" w:right="0" w:firstLine="0"/>
                    <w:jc w:val="left"/>
                    <w:rPr>
                      <w:b/>
                      <w:color w:val="000000"/>
                      <w:sz w:val="22"/>
                    </w:rPr>
                  </w:pPr>
                  <w:r>
                    <w:rPr>
                      <w:b/>
                      <w:color w:val="000000"/>
                      <w:spacing w:val="-5"/>
                      <w:sz w:val="22"/>
                    </w:rPr>
                    <w:t>OK.</w:t>
                  </w:r>
                </w:p>
              </w:txbxContent>
            </v:textbox>
            <v:fill opacity="26214f" type="solid"/>
            <w10:wrap type="topAndBottom"/>
          </v:shape>
        </w:pict>
      </w:r>
    </w:p>
    <w:p>
      <w:pPr>
        <w:pStyle w:val="BodyText"/>
        <w:spacing w:before="4"/>
        <w:rPr>
          <w:sz w:val="14"/>
        </w:rPr>
      </w:pPr>
    </w:p>
    <w:p>
      <w:pPr>
        <w:pStyle w:val="BodyText"/>
        <w:spacing w:before="56"/>
        <w:ind w:left="339" w:right="156"/>
        <w:jc w:val="both"/>
      </w:pPr>
      <w:r>
        <w:rPr/>
        <w:t>Figures- Report should include figures with the current status of surface soils per analyte group, including 2018 - 2020 data. For example, all the surface PCB/PAH results should be shown on figures along with areas where removal occurred and confirmation sample results. See general comment.</w:t>
      </w:r>
    </w:p>
    <w:p>
      <w:pPr>
        <w:pStyle w:val="BodyText"/>
        <w:spacing w:before="4"/>
        <w:rPr>
          <w:sz w:val="17"/>
        </w:rPr>
      </w:pPr>
      <w:r>
        <w:rPr/>
        <w:pict>
          <v:shape style="position:absolute;margin-left:69.465950pt;margin-top:11.817575pt;width:21.4pt;height:14.1pt;mso-position-horizontal-relative:page;mso-position-vertical-relative:paragraph;z-index:-15723520;mso-wrap-distance-left:0;mso-wrap-distance-right:0" type="#_x0000_t202" id="docshape19" filled="true" fillcolor="#fde164" stroked="false">
            <v:textbox inset="0,0,0,0">
              <w:txbxContent>
                <w:p>
                  <w:pPr>
                    <w:spacing w:before="5"/>
                    <w:ind w:left="49" w:right="0" w:firstLine="0"/>
                    <w:jc w:val="left"/>
                    <w:rPr>
                      <w:b/>
                      <w:color w:val="000000"/>
                      <w:sz w:val="22"/>
                    </w:rPr>
                  </w:pPr>
                  <w:r>
                    <w:rPr>
                      <w:b/>
                      <w:color w:val="000000"/>
                      <w:spacing w:val="-5"/>
                      <w:sz w:val="22"/>
                    </w:rPr>
                    <w:t>OK.</w:t>
                  </w:r>
                </w:p>
              </w:txbxContent>
            </v:textbox>
            <v:fill opacity="26214f" type="solid"/>
            <w10:wrap type="topAndBottom"/>
          </v:shape>
        </w:pict>
      </w:r>
    </w:p>
    <w:p>
      <w:pPr>
        <w:pStyle w:val="BodyText"/>
        <w:spacing w:before="4"/>
        <w:rPr>
          <w:sz w:val="14"/>
        </w:rPr>
      </w:pPr>
    </w:p>
    <w:p>
      <w:pPr>
        <w:pStyle w:val="BodyText"/>
        <w:spacing w:before="56"/>
        <w:ind w:left="339"/>
      </w:pPr>
      <w:r>
        <w:rPr/>
        <w:t>Tables-</w:t>
      </w:r>
      <w:r>
        <w:rPr>
          <w:spacing w:val="24"/>
        </w:rPr>
        <w:t> </w:t>
      </w:r>
      <w:r>
        <w:rPr/>
        <w:t>Report</w:t>
      </w:r>
      <w:r>
        <w:rPr>
          <w:spacing w:val="25"/>
        </w:rPr>
        <w:t> </w:t>
      </w:r>
      <w:r>
        <w:rPr/>
        <w:t>should</w:t>
      </w:r>
      <w:r>
        <w:rPr>
          <w:spacing w:val="24"/>
        </w:rPr>
        <w:t> </w:t>
      </w:r>
      <w:r>
        <w:rPr/>
        <w:t>include</w:t>
      </w:r>
      <w:r>
        <w:rPr>
          <w:spacing w:val="25"/>
        </w:rPr>
        <w:t> </w:t>
      </w:r>
      <w:r>
        <w:rPr/>
        <w:t>detailed</w:t>
      </w:r>
      <w:r>
        <w:rPr>
          <w:spacing w:val="24"/>
        </w:rPr>
        <w:t> </w:t>
      </w:r>
      <w:r>
        <w:rPr/>
        <w:t>tables</w:t>
      </w:r>
      <w:r>
        <w:rPr>
          <w:spacing w:val="23"/>
        </w:rPr>
        <w:t> </w:t>
      </w:r>
      <w:r>
        <w:rPr/>
        <w:t>of</w:t>
      </w:r>
      <w:r>
        <w:rPr>
          <w:spacing w:val="25"/>
        </w:rPr>
        <w:t> </w:t>
      </w:r>
      <w:r>
        <w:rPr/>
        <w:t>all</w:t>
      </w:r>
      <w:r>
        <w:rPr>
          <w:spacing w:val="23"/>
        </w:rPr>
        <w:t> </w:t>
      </w:r>
      <w:r>
        <w:rPr/>
        <w:t>analyte</w:t>
      </w:r>
      <w:r>
        <w:rPr>
          <w:spacing w:val="25"/>
        </w:rPr>
        <w:t> </w:t>
      </w:r>
      <w:r>
        <w:rPr/>
        <w:t>results</w:t>
      </w:r>
      <w:r>
        <w:rPr>
          <w:spacing w:val="25"/>
        </w:rPr>
        <w:t> </w:t>
      </w:r>
      <w:r>
        <w:rPr/>
        <w:t>in</w:t>
      </w:r>
      <w:r>
        <w:rPr>
          <w:spacing w:val="24"/>
        </w:rPr>
        <w:t> </w:t>
      </w:r>
      <w:r>
        <w:rPr/>
        <w:t>a</w:t>
      </w:r>
      <w:r>
        <w:rPr>
          <w:spacing w:val="25"/>
        </w:rPr>
        <w:t> </w:t>
      </w:r>
      <w:r>
        <w:rPr/>
        <w:t>Tables</w:t>
      </w:r>
      <w:r>
        <w:rPr>
          <w:spacing w:val="23"/>
        </w:rPr>
        <w:t> </w:t>
      </w:r>
      <w:r>
        <w:rPr/>
        <w:t>section,</w:t>
      </w:r>
      <w:r>
        <w:rPr>
          <w:spacing w:val="25"/>
        </w:rPr>
        <w:t> </w:t>
      </w:r>
      <w:r>
        <w:rPr/>
        <w:t>not</w:t>
      </w:r>
      <w:r>
        <w:rPr>
          <w:spacing w:val="23"/>
        </w:rPr>
        <w:t> </w:t>
      </w:r>
      <w:r>
        <w:rPr/>
        <w:t>only</w:t>
      </w:r>
      <w:r>
        <w:rPr>
          <w:spacing w:val="26"/>
        </w:rPr>
        <w:t> </w:t>
      </w:r>
      <w:r>
        <w:rPr/>
        <w:t>summary tables within a specific portion of the text.</w:t>
      </w:r>
    </w:p>
    <w:p>
      <w:pPr>
        <w:pStyle w:val="BodyText"/>
        <w:spacing w:before="4"/>
        <w:rPr>
          <w:sz w:val="17"/>
        </w:rPr>
      </w:pPr>
      <w:r>
        <w:rPr/>
        <w:pict>
          <v:shape style="position:absolute;margin-left:69.466026pt;margin-top:11.809609pt;width:21.4pt;height:14.1pt;mso-position-horizontal-relative:page;mso-position-vertical-relative:paragraph;z-index:-15723008;mso-wrap-distance-left:0;mso-wrap-distance-right:0" type="#_x0000_t202" id="docshape20" filled="true" fillcolor="#fde164" stroked="false">
            <v:textbox inset="0,0,0,0">
              <w:txbxContent>
                <w:p>
                  <w:pPr>
                    <w:spacing w:before="5"/>
                    <w:ind w:left="49" w:right="0" w:firstLine="0"/>
                    <w:jc w:val="left"/>
                    <w:rPr>
                      <w:b/>
                      <w:color w:val="000000"/>
                      <w:sz w:val="22"/>
                    </w:rPr>
                  </w:pPr>
                  <w:r>
                    <w:rPr>
                      <w:b/>
                      <w:color w:val="000000"/>
                      <w:spacing w:val="-5"/>
                      <w:sz w:val="22"/>
                    </w:rPr>
                    <w:t>OK.</w:t>
                  </w:r>
                </w:p>
              </w:txbxContent>
            </v:textbox>
            <v:fill opacity="26214f" type="solid"/>
            <w10:wrap type="topAndBottom"/>
          </v:shape>
        </w:pict>
      </w:r>
    </w:p>
    <w:p>
      <w:pPr>
        <w:pStyle w:val="BodyText"/>
        <w:spacing w:before="4"/>
        <w:rPr>
          <w:sz w:val="14"/>
        </w:rPr>
      </w:pPr>
    </w:p>
    <w:p>
      <w:pPr>
        <w:pStyle w:val="BodyText"/>
        <w:spacing w:before="56"/>
        <w:ind w:left="338"/>
      </w:pPr>
      <w:r>
        <w:rPr/>
        <w:t>Appendix L-Class-N-Kustom site –PCB excavation and disposal by Hahn &amp; Associates are found in Appendix L for</w:t>
      </w:r>
      <w:r>
        <w:rPr>
          <w:spacing w:val="30"/>
        </w:rPr>
        <w:t>  </w:t>
      </w:r>
      <w:r>
        <w:rPr/>
        <w:t>Tax</w:t>
      </w:r>
      <w:r>
        <w:rPr>
          <w:spacing w:val="31"/>
        </w:rPr>
        <w:t>  </w:t>
      </w:r>
      <w:r>
        <w:rPr/>
        <w:t>lots</w:t>
      </w:r>
      <w:r>
        <w:rPr>
          <w:spacing w:val="30"/>
        </w:rPr>
        <w:t>  </w:t>
      </w:r>
      <w:r>
        <w:rPr/>
        <w:t>1N1E29DD00100</w:t>
      </w:r>
      <w:r>
        <w:rPr>
          <w:spacing w:val="32"/>
        </w:rPr>
        <w:t>  </w:t>
      </w:r>
      <w:r>
        <w:rPr/>
        <w:t>and</w:t>
      </w:r>
      <w:r>
        <w:rPr>
          <w:spacing w:val="30"/>
        </w:rPr>
        <w:t>  </w:t>
      </w:r>
      <w:r>
        <w:rPr/>
        <w:t>1N1E29DD01600</w:t>
      </w:r>
      <w:r>
        <w:rPr>
          <w:spacing w:val="31"/>
        </w:rPr>
        <w:t>  </w:t>
      </w:r>
      <w:r>
        <w:rPr/>
        <w:t>(situs</w:t>
      </w:r>
      <w:r>
        <w:rPr>
          <w:spacing w:val="30"/>
        </w:rPr>
        <w:t>  </w:t>
      </w:r>
      <w:r>
        <w:rPr/>
        <w:t>address</w:t>
      </w:r>
      <w:r>
        <w:rPr>
          <w:spacing w:val="30"/>
        </w:rPr>
        <w:t>  </w:t>
      </w:r>
      <w:r>
        <w:rPr/>
        <w:t>2141</w:t>
      </w:r>
      <w:r>
        <w:rPr>
          <w:spacing w:val="30"/>
        </w:rPr>
        <w:t>  </w:t>
      </w:r>
      <w:r>
        <w:rPr/>
        <w:t>NW</w:t>
      </w:r>
      <w:r>
        <w:rPr>
          <w:spacing w:val="30"/>
        </w:rPr>
        <w:t>  </w:t>
      </w:r>
      <w:r>
        <w:rPr/>
        <w:t>25th</w:t>
      </w:r>
      <w:r>
        <w:rPr>
          <w:spacing w:val="30"/>
        </w:rPr>
        <w:t>  </w:t>
      </w:r>
      <w:r>
        <w:rPr/>
        <w:t>Avenue)</w:t>
      </w:r>
      <w:r>
        <w:rPr>
          <w:spacing w:val="31"/>
        </w:rPr>
        <w:t>  </w:t>
      </w:r>
      <w:r>
        <w:rPr>
          <w:spacing w:val="-5"/>
        </w:rPr>
        <w:t>and</w:t>
      </w:r>
    </w:p>
    <w:p>
      <w:pPr>
        <w:spacing w:after="0"/>
        <w:sectPr>
          <w:pgSz w:w="12240" w:h="15840"/>
          <w:pgMar w:header="760" w:footer="1017" w:top="1880" w:bottom="1200" w:left="1100" w:right="920"/>
        </w:sectPr>
      </w:pPr>
    </w:p>
    <w:p>
      <w:pPr>
        <w:pStyle w:val="BodyText"/>
        <w:spacing w:before="155"/>
        <w:ind w:left="339" w:right="154"/>
        <w:jc w:val="both"/>
      </w:pPr>
      <w:r>
        <w:rPr/>
        <w:t>1N1E28CB00700 (2404 NW Nicolai Avenue). Since both are listed as part of the overall site, the information should be summarized in the main body of the text. Include a discussion of the nature and extent of contamination on the Class-N-Kustom site, if part of the Report. Please include information from Appendix L in the report.</w:t>
      </w:r>
    </w:p>
    <w:p>
      <w:pPr>
        <w:pStyle w:val="BodyText"/>
        <w:spacing w:before="9"/>
        <w:rPr>
          <w:sz w:val="19"/>
        </w:rPr>
      </w:pPr>
    </w:p>
    <w:p>
      <w:pPr>
        <w:pStyle w:val="Heading2"/>
        <w:ind w:right="153"/>
      </w:pPr>
      <w:r>
        <w:rPr/>
        <w:t>Class-N-Custom</w:t>
      </w:r>
      <w:r>
        <w:rPr>
          <w:spacing w:val="-4"/>
        </w:rPr>
        <w:t> </w:t>
      </w:r>
      <w:r>
        <w:rPr/>
        <w:t>was</w:t>
      </w:r>
      <w:r>
        <w:rPr>
          <w:spacing w:val="-1"/>
        </w:rPr>
        <w:t> </w:t>
      </w:r>
      <w:r>
        <w:rPr/>
        <w:t>never</w:t>
      </w:r>
      <w:r>
        <w:rPr>
          <w:spacing w:val="-4"/>
        </w:rPr>
        <w:t> </w:t>
      </w:r>
      <w:r>
        <w:rPr/>
        <w:t>a</w:t>
      </w:r>
      <w:r>
        <w:rPr>
          <w:spacing w:val="-3"/>
        </w:rPr>
        <w:t> </w:t>
      </w:r>
      <w:r>
        <w:rPr/>
        <w:t>part</w:t>
      </w:r>
      <w:r>
        <w:rPr>
          <w:spacing w:val="-2"/>
        </w:rPr>
        <w:t> </w:t>
      </w:r>
      <w:r>
        <w:rPr/>
        <w:t>of</w:t>
      </w:r>
      <w:r>
        <w:rPr>
          <w:spacing w:val="-2"/>
        </w:rPr>
        <w:t> </w:t>
      </w:r>
      <w:r>
        <w:rPr/>
        <w:t>the</w:t>
      </w:r>
      <w:r>
        <w:rPr>
          <w:spacing w:val="-3"/>
        </w:rPr>
        <w:t> </w:t>
      </w:r>
      <w:r>
        <w:rPr/>
        <w:t>ESCO</w:t>
      </w:r>
      <w:r>
        <w:rPr>
          <w:spacing w:val="-2"/>
        </w:rPr>
        <w:t> </w:t>
      </w:r>
      <w:r>
        <w:rPr/>
        <w:t>operation-not</w:t>
      </w:r>
      <w:r>
        <w:rPr>
          <w:spacing w:val="-2"/>
        </w:rPr>
        <w:t> </w:t>
      </w:r>
      <w:r>
        <w:rPr/>
        <w:t>even</w:t>
      </w:r>
      <w:r>
        <w:rPr>
          <w:spacing w:val="-3"/>
        </w:rPr>
        <w:t> </w:t>
      </w:r>
      <w:r>
        <w:rPr/>
        <w:t>as</w:t>
      </w:r>
      <w:r>
        <w:rPr>
          <w:spacing w:val="-1"/>
        </w:rPr>
        <w:t> </w:t>
      </w:r>
      <w:r>
        <w:rPr/>
        <w:t>a</w:t>
      </w:r>
      <w:r>
        <w:rPr>
          <w:spacing w:val="-3"/>
        </w:rPr>
        <w:t> </w:t>
      </w:r>
      <w:r>
        <w:rPr/>
        <w:t>non-manufacturing</w:t>
      </w:r>
      <w:r>
        <w:rPr>
          <w:spacing w:val="-3"/>
        </w:rPr>
        <w:t> </w:t>
      </w:r>
      <w:r>
        <w:rPr/>
        <w:t>support</w:t>
      </w:r>
      <w:r>
        <w:rPr>
          <w:spacing w:val="-2"/>
        </w:rPr>
        <w:t> </w:t>
      </w:r>
      <w:r>
        <w:rPr/>
        <w:t>building and therefore was treated in the manner that it was treated.</w:t>
      </w:r>
      <w:r>
        <w:rPr>
          <w:spacing w:val="40"/>
        </w:rPr>
        <w:t> </w:t>
      </w:r>
      <w:r>
        <w:rPr/>
        <w:t>This site should be treated separately from ESCO Plant #1/2 in our opinion.</w:t>
      </w:r>
    </w:p>
    <w:p>
      <w:pPr>
        <w:pStyle w:val="BodyText"/>
        <w:spacing w:before="6"/>
        <w:rPr>
          <w:b/>
          <w:sz w:val="19"/>
        </w:rPr>
      </w:pPr>
    </w:p>
    <w:p>
      <w:pPr>
        <w:pStyle w:val="BodyText"/>
        <w:spacing w:before="0"/>
        <w:ind w:left="339" w:right="153"/>
        <w:jc w:val="both"/>
      </w:pPr>
      <w:r>
        <w:rPr/>
        <w:t>Foundry operating from 1913 to 2015 - Please detail the nature and extent of contamination at the former location of foundry operations.</w:t>
      </w:r>
    </w:p>
    <w:p>
      <w:pPr>
        <w:pStyle w:val="BodyText"/>
        <w:spacing w:before="9"/>
        <w:rPr>
          <w:sz w:val="19"/>
        </w:rPr>
      </w:pPr>
    </w:p>
    <w:p>
      <w:pPr>
        <w:pStyle w:val="Heading2"/>
        <w:ind w:right="153"/>
      </w:pPr>
      <w:r>
        <w:rPr/>
        <w:t>We can only address the contamination identified in the Bridgewater Baseline Environmental Site Assessment Report and subsequent work conducted by Bridgewater and Point Source during demolition</w:t>
      </w:r>
      <w:r>
        <w:rPr>
          <w:spacing w:val="40"/>
        </w:rPr>
        <w:t> </w:t>
      </w:r>
      <w:r>
        <w:rPr/>
        <w:t>of the plant.</w:t>
      </w:r>
      <w:r>
        <w:rPr>
          <w:spacing w:val="40"/>
        </w:rPr>
        <w:t> </w:t>
      </w:r>
      <w:r>
        <w:rPr/>
        <w:t>We were not provided any information by ESCO which identifies prior contamination of the Site. LUST files for USTs decommissioned prior to commencement of plant demolition are addressed in Section 2.4 of the report.</w:t>
      </w:r>
      <w:r>
        <w:rPr>
          <w:spacing w:val="40"/>
        </w:rPr>
        <w:t> </w:t>
      </w:r>
      <w:r>
        <w:rPr/>
        <w:t>1535-A1</w:t>
      </w:r>
      <w:r>
        <w:rPr>
          <w:spacing w:val="-1"/>
        </w:rPr>
        <w:t> </w:t>
      </w:r>
      <w:r>
        <w:rPr/>
        <w:t>with assistance from Point Source was the originator of ECSI #6285-not </w:t>
      </w:r>
      <w:r>
        <w:rPr>
          <w:spacing w:val="-2"/>
        </w:rPr>
        <w:t>ESCO.</w:t>
      </w:r>
    </w:p>
    <w:p>
      <w:pPr>
        <w:pStyle w:val="BodyText"/>
        <w:spacing w:before="6"/>
        <w:rPr>
          <w:b/>
          <w:sz w:val="19"/>
        </w:rPr>
      </w:pPr>
    </w:p>
    <w:p>
      <w:pPr>
        <w:pStyle w:val="BodyText"/>
        <w:spacing w:before="0"/>
        <w:ind w:left="339" w:right="155"/>
        <w:jc w:val="both"/>
      </w:pPr>
      <w:r>
        <w:rPr/>
        <w:t>As a reminder, DEQ requested the following information in our December 6, 2019, letter responding to the Baseline Environmental Site Assessment (BESA). Most of these comments are still relevant and should be addressed in the Report, with references to tables, figures, and appendices as necessary. DEQ requested an updated</w:t>
      </w:r>
      <w:r>
        <w:rPr>
          <w:spacing w:val="-3"/>
        </w:rPr>
        <w:t> </w:t>
      </w:r>
      <w:r>
        <w:rPr/>
        <w:t>memo</w:t>
      </w:r>
      <w:r>
        <w:rPr>
          <w:spacing w:val="-1"/>
        </w:rPr>
        <w:t> </w:t>
      </w:r>
      <w:r>
        <w:rPr/>
        <w:t>or</w:t>
      </w:r>
      <w:r>
        <w:rPr>
          <w:spacing w:val="-4"/>
        </w:rPr>
        <w:t> </w:t>
      </w:r>
      <w:r>
        <w:rPr/>
        <w:t>Report</w:t>
      </w:r>
      <w:r>
        <w:rPr>
          <w:spacing w:val="-1"/>
        </w:rPr>
        <w:t> </w:t>
      </w:r>
      <w:r>
        <w:rPr/>
        <w:t>on</w:t>
      </w:r>
      <w:r>
        <w:rPr>
          <w:spacing w:val="-3"/>
        </w:rPr>
        <w:t> </w:t>
      </w:r>
      <w:r>
        <w:rPr/>
        <w:t>the</w:t>
      </w:r>
      <w:r>
        <w:rPr>
          <w:spacing w:val="-1"/>
        </w:rPr>
        <w:t> </w:t>
      </w:r>
      <w:r>
        <w:rPr/>
        <w:t>site’s</w:t>
      </w:r>
      <w:r>
        <w:rPr>
          <w:spacing w:val="-4"/>
        </w:rPr>
        <w:t> </w:t>
      </w:r>
      <w:r>
        <w:rPr/>
        <w:t>current</w:t>
      </w:r>
      <w:r>
        <w:rPr>
          <w:spacing w:val="-1"/>
        </w:rPr>
        <w:t> </w:t>
      </w:r>
      <w:r>
        <w:rPr/>
        <w:t>status,</w:t>
      </w:r>
      <w:r>
        <w:rPr>
          <w:spacing w:val="-2"/>
        </w:rPr>
        <w:t> </w:t>
      </w:r>
      <w:r>
        <w:rPr/>
        <w:t>including</w:t>
      </w:r>
      <w:r>
        <w:rPr>
          <w:spacing w:val="-3"/>
        </w:rPr>
        <w:t> </w:t>
      </w:r>
      <w:r>
        <w:rPr/>
        <w:t>information</w:t>
      </w:r>
      <w:r>
        <w:rPr>
          <w:spacing w:val="-3"/>
        </w:rPr>
        <w:t> </w:t>
      </w:r>
      <w:r>
        <w:rPr/>
        <w:t>on</w:t>
      </w:r>
      <w:r>
        <w:rPr>
          <w:spacing w:val="-3"/>
        </w:rPr>
        <w:t> </w:t>
      </w:r>
      <w:r>
        <w:rPr/>
        <w:t>the</w:t>
      </w:r>
      <w:r>
        <w:rPr>
          <w:spacing w:val="-1"/>
        </w:rPr>
        <w:t> </w:t>
      </w:r>
      <w:r>
        <w:rPr/>
        <w:t>different</w:t>
      </w:r>
      <w:r>
        <w:rPr>
          <w:spacing w:val="-1"/>
        </w:rPr>
        <w:t> </w:t>
      </w:r>
      <w:r>
        <w:rPr/>
        <w:t>sampling</w:t>
      </w:r>
      <w:r>
        <w:rPr>
          <w:spacing w:val="-3"/>
        </w:rPr>
        <w:t> </w:t>
      </w:r>
      <w:r>
        <w:rPr/>
        <w:t>events (e.g., during and after the BESA) and any removal or remediation actions. This resubmittal of the Report should include information on the following:</w:t>
      </w:r>
    </w:p>
    <w:p>
      <w:pPr>
        <w:pStyle w:val="BodyText"/>
        <w:spacing w:before="9"/>
        <w:rPr>
          <w:sz w:val="19"/>
        </w:rPr>
      </w:pPr>
    </w:p>
    <w:p>
      <w:pPr>
        <w:pStyle w:val="ListParagraph"/>
        <w:numPr>
          <w:ilvl w:val="0"/>
          <w:numId w:val="2"/>
        </w:numPr>
        <w:tabs>
          <w:tab w:pos="511" w:val="left" w:leader="none"/>
        </w:tabs>
        <w:spacing w:line="240" w:lineRule="auto" w:before="1" w:after="0"/>
        <w:ind w:left="519" w:right="160" w:hanging="180"/>
        <w:jc w:val="left"/>
        <w:rPr>
          <w:sz w:val="22"/>
        </w:rPr>
      </w:pPr>
      <w:r>
        <w:rPr>
          <w:sz w:val="22"/>
        </w:rPr>
        <w:t>PCB removal, including a comprehensive figure of all locations of removal and a figure of locations tested post removal with sample results.</w:t>
      </w:r>
    </w:p>
    <w:p>
      <w:pPr>
        <w:pStyle w:val="BodyText"/>
        <w:rPr>
          <w:sz w:val="19"/>
        </w:rPr>
      </w:pPr>
    </w:p>
    <w:p>
      <w:pPr>
        <w:pStyle w:val="Heading2"/>
        <w:ind w:left="526"/>
        <w:jc w:val="left"/>
      </w:pPr>
      <w:r>
        <w:rPr/>
        <w:t>Provided</w:t>
      </w:r>
      <w:r>
        <w:rPr>
          <w:spacing w:val="-5"/>
        </w:rPr>
        <w:t> </w:t>
      </w:r>
      <w:r>
        <w:rPr/>
        <w:t>in</w:t>
      </w:r>
      <w:r>
        <w:rPr>
          <w:spacing w:val="-3"/>
        </w:rPr>
        <w:t> </w:t>
      </w:r>
      <w:r>
        <w:rPr/>
        <w:t>Appendix</w:t>
      </w:r>
      <w:r>
        <w:rPr>
          <w:spacing w:val="-3"/>
        </w:rPr>
        <w:t> </w:t>
      </w:r>
      <w:r>
        <w:rPr/>
        <w:t>L</w:t>
      </w:r>
      <w:r>
        <w:rPr>
          <w:spacing w:val="-2"/>
        </w:rPr>
        <w:t> </w:t>
      </w:r>
      <w:r>
        <w:rPr/>
        <w:t>of</w:t>
      </w:r>
      <w:r>
        <w:rPr>
          <w:spacing w:val="-4"/>
        </w:rPr>
        <w:t> </w:t>
      </w:r>
      <w:r>
        <w:rPr/>
        <w:t>the</w:t>
      </w:r>
      <w:r>
        <w:rPr>
          <w:spacing w:val="-1"/>
        </w:rPr>
        <w:t> </w:t>
      </w:r>
      <w:r>
        <w:rPr>
          <w:spacing w:val="-2"/>
        </w:rPr>
        <w:t>report.</w:t>
      </w:r>
    </w:p>
    <w:p>
      <w:pPr>
        <w:pStyle w:val="BodyText"/>
        <w:spacing w:before="10"/>
        <w:rPr>
          <w:b/>
          <w:sz w:val="19"/>
        </w:rPr>
      </w:pPr>
    </w:p>
    <w:p>
      <w:pPr>
        <w:pStyle w:val="ListParagraph"/>
        <w:numPr>
          <w:ilvl w:val="0"/>
          <w:numId w:val="2"/>
        </w:numPr>
        <w:tabs>
          <w:tab w:pos="501" w:val="left" w:leader="none"/>
        </w:tabs>
        <w:spacing w:line="237" w:lineRule="auto" w:before="0" w:after="0"/>
        <w:ind w:left="519" w:right="158" w:hanging="180"/>
        <w:jc w:val="left"/>
        <w:rPr>
          <w:rFonts w:ascii="Times New Roman" w:hAnsi="Times New Roman"/>
          <w:sz w:val="22"/>
        </w:rPr>
      </w:pPr>
      <w:r>
        <w:rPr>
          <w:sz w:val="22"/>
        </w:rPr>
        <w:t>Results</w:t>
      </w:r>
      <w:r>
        <w:rPr>
          <w:spacing w:val="26"/>
          <w:sz w:val="22"/>
        </w:rPr>
        <w:t> </w:t>
      </w:r>
      <w:r>
        <w:rPr>
          <w:sz w:val="22"/>
        </w:rPr>
        <w:t>from</w:t>
      </w:r>
      <w:r>
        <w:rPr>
          <w:spacing w:val="28"/>
          <w:sz w:val="22"/>
        </w:rPr>
        <w:t> </w:t>
      </w:r>
      <w:r>
        <w:rPr>
          <w:sz w:val="22"/>
        </w:rPr>
        <w:t>sampling</w:t>
      </w:r>
      <w:r>
        <w:rPr>
          <w:spacing w:val="26"/>
          <w:sz w:val="22"/>
        </w:rPr>
        <w:t> </w:t>
      </w:r>
      <w:r>
        <w:rPr>
          <w:sz w:val="22"/>
        </w:rPr>
        <w:t>the</w:t>
      </w:r>
      <w:r>
        <w:rPr>
          <w:spacing w:val="27"/>
          <w:sz w:val="22"/>
        </w:rPr>
        <w:t> </w:t>
      </w:r>
      <w:r>
        <w:rPr>
          <w:sz w:val="22"/>
        </w:rPr>
        <w:t>quench</w:t>
      </w:r>
      <w:r>
        <w:rPr>
          <w:spacing w:val="25"/>
          <w:sz w:val="22"/>
        </w:rPr>
        <w:t> </w:t>
      </w:r>
      <w:r>
        <w:rPr>
          <w:sz w:val="22"/>
        </w:rPr>
        <w:t>pits,</w:t>
      </w:r>
      <w:r>
        <w:rPr>
          <w:spacing w:val="26"/>
          <w:sz w:val="22"/>
        </w:rPr>
        <w:t> </w:t>
      </w:r>
      <w:r>
        <w:rPr>
          <w:sz w:val="22"/>
        </w:rPr>
        <w:t>underground</w:t>
      </w:r>
      <w:r>
        <w:rPr>
          <w:spacing w:val="25"/>
          <w:sz w:val="22"/>
        </w:rPr>
        <w:t> </w:t>
      </w:r>
      <w:r>
        <w:rPr>
          <w:sz w:val="22"/>
        </w:rPr>
        <w:t>storage</w:t>
      </w:r>
      <w:r>
        <w:rPr>
          <w:spacing w:val="27"/>
          <w:sz w:val="22"/>
        </w:rPr>
        <w:t> </w:t>
      </w:r>
      <w:r>
        <w:rPr>
          <w:sz w:val="22"/>
        </w:rPr>
        <w:t>tank</w:t>
      </w:r>
      <w:r>
        <w:rPr>
          <w:spacing w:val="27"/>
          <w:sz w:val="22"/>
        </w:rPr>
        <w:t> </w:t>
      </w:r>
      <w:r>
        <w:rPr>
          <w:sz w:val="22"/>
        </w:rPr>
        <w:t>removal, asbestos</w:t>
      </w:r>
      <w:r>
        <w:rPr>
          <w:spacing w:val="26"/>
          <w:sz w:val="22"/>
        </w:rPr>
        <w:t> </w:t>
      </w:r>
      <w:r>
        <w:rPr>
          <w:sz w:val="22"/>
        </w:rPr>
        <w:t>removal,</w:t>
      </w:r>
      <w:r>
        <w:rPr>
          <w:spacing w:val="26"/>
          <w:sz w:val="22"/>
        </w:rPr>
        <w:t> </w:t>
      </w:r>
      <w:r>
        <w:rPr>
          <w:sz w:val="22"/>
        </w:rPr>
        <w:t>concrete removal, etc.</w:t>
      </w:r>
    </w:p>
    <w:p>
      <w:pPr>
        <w:pStyle w:val="BodyText"/>
        <w:spacing w:before="10"/>
        <w:rPr>
          <w:sz w:val="19"/>
        </w:rPr>
      </w:pPr>
    </w:p>
    <w:p>
      <w:pPr>
        <w:pStyle w:val="Heading2"/>
        <w:ind w:left="519"/>
        <w:jc w:val="left"/>
      </w:pPr>
      <w:r>
        <w:rPr/>
        <w:t>The</w:t>
      </w:r>
      <w:r>
        <w:rPr>
          <w:spacing w:val="20"/>
        </w:rPr>
        <w:t> </w:t>
      </w:r>
      <w:r>
        <w:rPr/>
        <w:t>Batch</w:t>
      </w:r>
      <w:r>
        <w:rPr>
          <w:spacing w:val="20"/>
        </w:rPr>
        <w:t> </w:t>
      </w:r>
      <w:r>
        <w:rPr/>
        <w:t>Permit</w:t>
      </w:r>
      <w:r>
        <w:rPr>
          <w:spacing w:val="19"/>
        </w:rPr>
        <w:t> </w:t>
      </w:r>
      <w:r>
        <w:rPr/>
        <w:t>is</w:t>
      </w:r>
      <w:r>
        <w:rPr>
          <w:spacing w:val="21"/>
        </w:rPr>
        <w:t> </w:t>
      </w:r>
      <w:r>
        <w:rPr/>
        <w:t>provided</w:t>
      </w:r>
      <w:r>
        <w:rPr>
          <w:spacing w:val="20"/>
        </w:rPr>
        <w:t> </w:t>
      </w:r>
      <w:r>
        <w:rPr/>
        <w:t>in</w:t>
      </w:r>
      <w:r>
        <w:rPr>
          <w:spacing w:val="20"/>
        </w:rPr>
        <w:t> </w:t>
      </w:r>
      <w:r>
        <w:rPr/>
        <w:t>Appendix</w:t>
      </w:r>
      <w:r>
        <w:rPr>
          <w:spacing w:val="20"/>
        </w:rPr>
        <w:t> </w:t>
      </w:r>
      <w:r>
        <w:rPr/>
        <w:t>C</w:t>
      </w:r>
      <w:r>
        <w:rPr>
          <w:spacing w:val="21"/>
        </w:rPr>
        <w:t> </w:t>
      </w:r>
      <w:r>
        <w:rPr/>
        <w:t>of</w:t>
      </w:r>
      <w:r>
        <w:rPr>
          <w:spacing w:val="20"/>
        </w:rPr>
        <w:t> </w:t>
      </w:r>
      <w:r>
        <w:rPr/>
        <w:t>the</w:t>
      </w:r>
      <w:r>
        <w:rPr>
          <w:spacing w:val="23"/>
        </w:rPr>
        <w:t> </w:t>
      </w:r>
      <w:r>
        <w:rPr/>
        <w:t>report.</w:t>
      </w:r>
      <w:r>
        <w:rPr>
          <w:spacing w:val="80"/>
        </w:rPr>
        <w:t> </w:t>
      </w:r>
      <w:r>
        <w:rPr/>
        <w:t>We</w:t>
      </w:r>
      <w:r>
        <w:rPr>
          <w:spacing w:val="20"/>
        </w:rPr>
        <w:t> </w:t>
      </w:r>
      <w:r>
        <w:rPr/>
        <w:t>will</w:t>
      </w:r>
      <w:r>
        <w:rPr>
          <w:spacing w:val="22"/>
        </w:rPr>
        <w:t> </w:t>
      </w:r>
      <w:r>
        <w:rPr/>
        <w:t>provide</w:t>
      </w:r>
      <w:r>
        <w:rPr>
          <w:spacing w:val="20"/>
        </w:rPr>
        <w:t> </w:t>
      </w:r>
      <w:r>
        <w:rPr/>
        <w:t>same</w:t>
      </w:r>
      <w:r>
        <w:rPr>
          <w:spacing w:val="20"/>
        </w:rPr>
        <w:t> </w:t>
      </w:r>
      <w:r>
        <w:rPr/>
        <w:t>analytical</w:t>
      </w:r>
      <w:r>
        <w:rPr>
          <w:spacing w:val="22"/>
        </w:rPr>
        <w:t> </w:t>
      </w:r>
      <w:r>
        <w:rPr/>
        <w:t>results</w:t>
      </w:r>
      <w:r>
        <w:rPr>
          <w:spacing w:val="21"/>
        </w:rPr>
        <w:t> </w:t>
      </w:r>
      <w:r>
        <w:rPr/>
        <w:t>as provided to BES.</w:t>
      </w:r>
    </w:p>
    <w:p>
      <w:pPr>
        <w:pStyle w:val="BodyText"/>
        <w:rPr>
          <w:b/>
          <w:sz w:val="19"/>
        </w:rPr>
      </w:pPr>
    </w:p>
    <w:p>
      <w:pPr>
        <w:pStyle w:val="ListParagraph"/>
        <w:numPr>
          <w:ilvl w:val="0"/>
          <w:numId w:val="2"/>
        </w:numPr>
        <w:tabs>
          <w:tab w:pos="472" w:val="left" w:leader="none"/>
        </w:tabs>
        <w:spacing w:line="240" w:lineRule="auto" w:before="0" w:after="0"/>
        <w:ind w:left="471" w:right="0" w:hanging="133"/>
        <w:jc w:val="left"/>
        <w:rPr>
          <w:rFonts w:ascii="Times New Roman" w:hAnsi="Times New Roman"/>
          <w:sz w:val="22"/>
        </w:rPr>
      </w:pPr>
      <w:r>
        <w:rPr>
          <w:sz w:val="22"/>
        </w:rPr>
        <w:t>Figures</w:t>
      </w:r>
      <w:r>
        <w:rPr>
          <w:spacing w:val="-4"/>
          <w:sz w:val="22"/>
        </w:rPr>
        <w:t> </w:t>
      </w:r>
      <w:r>
        <w:rPr>
          <w:sz w:val="22"/>
        </w:rPr>
        <w:t>of</w:t>
      </w:r>
      <w:r>
        <w:rPr>
          <w:spacing w:val="-3"/>
          <w:sz w:val="22"/>
        </w:rPr>
        <w:t> </w:t>
      </w:r>
      <w:r>
        <w:rPr>
          <w:sz w:val="22"/>
        </w:rPr>
        <w:t>sample</w:t>
      </w:r>
      <w:r>
        <w:rPr>
          <w:spacing w:val="-5"/>
          <w:sz w:val="22"/>
        </w:rPr>
        <w:t> </w:t>
      </w:r>
      <w:r>
        <w:rPr>
          <w:sz w:val="22"/>
        </w:rPr>
        <w:t>results</w:t>
      </w:r>
      <w:r>
        <w:rPr>
          <w:spacing w:val="-6"/>
          <w:sz w:val="22"/>
        </w:rPr>
        <w:t> </w:t>
      </w:r>
      <w:r>
        <w:rPr>
          <w:sz w:val="22"/>
        </w:rPr>
        <w:t>by</w:t>
      </w:r>
      <w:r>
        <w:rPr>
          <w:spacing w:val="-2"/>
          <w:sz w:val="22"/>
        </w:rPr>
        <w:t> </w:t>
      </w:r>
      <w:r>
        <w:rPr>
          <w:sz w:val="22"/>
        </w:rPr>
        <w:t>sample</w:t>
      </w:r>
      <w:r>
        <w:rPr>
          <w:spacing w:val="-3"/>
          <w:sz w:val="22"/>
        </w:rPr>
        <w:t> </w:t>
      </w:r>
      <w:r>
        <w:rPr>
          <w:spacing w:val="-2"/>
          <w:sz w:val="22"/>
        </w:rPr>
        <w:t>location</w:t>
      </w:r>
      <w:r>
        <w:rPr>
          <w:rFonts w:ascii="Times New Roman" w:hAnsi="Times New Roman"/>
          <w:spacing w:val="-2"/>
          <w:sz w:val="22"/>
        </w:rPr>
        <w:t>.</w:t>
      </w:r>
    </w:p>
    <w:p>
      <w:pPr>
        <w:pStyle w:val="BodyText"/>
        <w:spacing w:before="10"/>
        <w:rPr>
          <w:rFonts w:ascii="Times New Roman"/>
          <w:sz w:val="20"/>
        </w:rPr>
      </w:pPr>
    </w:p>
    <w:p>
      <w:pPr>
        <w:pStyle w:val="Heading2"/>
        <w:ind w:left="519"/>
        <w:jc w:val="left"/>
      </w:pPr>
      <w:r>
        <w:rPr/>
        <w:t>Provided</w:t>
      </w:r>
      <w:r>
        <w:rPr>
          <w:spacing w:val="-7"/>
        </w:rPr>
        <w:t> </w:t>
      </w:r>
      <w:r>
        <w:rPr/>
        <w:t>in</w:t>
      </w:r>
      <w:r>
        <w:rPr>
          <w:spacing w:val="-5"/>
        </w:rPr>
        <w:t> </w:t>
      </w:r>
      <w:r>
        <w:rPr/>
        <w:t>report</w:t>
      </w:r>
      <w:r>
        <w:rPr>
          <w:spacing w:val="-5"/>
        </w:rPr>
        <w:t> </w:t>
      </w:r>
      <w:r>
        <w:rPr/>
        <w:t>Figures</w:t>
      </w:r>
      <w:r>
        <w:rPr>
          <w:spacing w:val="-5"/>
        </w:rPr>
        <w:t> </w:t>
      </w:r>
      <w:r>
        <w:rPr/>
        <w:t>4A-</w:t>
      </w:r>
      <w:r>
        <w:rPr>
          <w:spacing w:val="-5"/>
        </w:rPr>
        <w:t>4J.</w:t>
      </w:r>
    </w:p>
    <w:p>
      <w:pPr>
        <w:pStyle w:val="BodyText"/>
        <w:rPr>
          <w:b/>
          <w:sz w:val="19"/>
        </w:rPr>
      </w:pPr>
    </w:p>
    <w:p>
      <w:pPr>
        <w:pStyle w:val="ListParagraph"/>
        <w:numPr>
          <w:ilvl w:val="0"/>
          <w:numId w:val="2"/>
        </w:numPr>
        <w:tabs>
          <w:tab w:pos="477" w:val="left" w:leader="none"/>
        </w:tabs>
        <w:spacing w:line="240" w:lineRule="auto" w:before="1" w:after="0"/>
        <w:ind w:left="519" w:right="156" w:hanging="180"/>
        <w:jc w:val="left"/>
        <w:rPr>
          <w:rFonts w:ascii="Times New Roman" w:hAnsi="Times New Roman"/>
          <w:sz w:val="22"/>
        </w:rPr>
      </w:pPr>
      <w:r>
        <w:rPr>
          <w:sz w:val="22"/>
        </w:rPr>
        <w:t>Lab reports of all other media, including groundwater data, radiation measurements, etc., similar to ESCO- ALL Properties Soil Sample Binder.</w:t>
      </w:r>
    </w:p>
    <w:p>
      <w:pPr>
        <w:pStyle w:val="BodyText"/>
        <w:spacing w:before="3"/>
        <w:rPr>
          <w:sz w:val="17"/>
        </w:rPr>
      </w:pPr>
      <w:r>
        <w:rPr/>
        <w:pict>
          <v:shape style="position:absolute;margin-left:69.463654pt;margin-top:11.760534pt;width:319.850pt;height:14.1pt;mso-position-horizontal-relative:page;mso-position-vertical-relative:paragraph;z-index:-15720960;mso-wrap-distance-left:0;mso-wrap-distance-right:0" type="#_x0000_t202" id="docshape21" filled="true" fillcolor="#fde164" stroked="false">
            <v:textbox inset="0,0,0,0">
              <w:txbxContent>
                <w:p>
                  <w:pPr>
                    <w:spacing w:before="5"/>
                    <w:ind w:left="49" w:right="0" w:firstLine="0"/>
                    <w:jc w:val="left"/>
                    <w:rPr>
                      <w:b/>
                      <w:color w:val="000000"/>
                      <w:sz w:val="22"/>
                    </w:rPr>
                  </w:pPr>
                  <w:r>
                    <w:rPr>
                      <w:b/>
                      <w:color w:val="000000"/>
                      <w:sz w:val="22"/>
                    </w:rPr>
                    <w:t>Point</w:t>
                  </w:r>
                  <w:r>
                    <w:rPr>
                      <w:b/>
                      <w:color w:val="000000"/>
                      <w:spacing w:val="-6"/>
                      <w:sz w:val="22"/>
                    </w:rPr>
                    <w:t> </w:t>
                  </w:r>
                  <w:r>
                    <w:rPr>
                      <w:b/>
                      <w:color w:val="000000"/>
                      <w:sz w:val="22"/>
                    </w:rPr>
                    <w:t>Source</w:t>
                  </w:r>
                  <w:r>
                    <w:rPr>
                      <w:b/>
                      <w:color w:val="000000"/>
                      <w:spacing w:val="-7"/>
                      <w:sz w:val="22"/>
                    </w:rPr>
                    <w:t> </w:t>
                  </w:r>
                  <w:r>
                    <w:rPr>
                      <w:b/>
                      <w:color w:val="000000"/>
                      <w:sz w:val="22"/>
                    </w:rPr>
                    <w:t>will</w:t>
                  </w:r>
                  <w:r>
                    <w:rPr>
                      <w:b/>
                      <w:color w:val="000000"/>
                      <w:spacing w:val="-2"/>
                      <w:sz w:val="22"/>
                    </w:rPr>
                    <w:t> </w:t>
                  </w:r>
                  <w:r>
                    <w:rPr>
                      <w:b/>
                      <w:color w:val="000000"/>
                      <w:sz w:val="22"/>
                    </w:rPr>
                    <w:t>provide</w:t>
                  </w:r>
                  <w:r>
                    <w:rPr>
                      <w:b/>
                      <w:color w:val="000000"/>
                      <w:spacing w:val="-4"/>
                      <w:sz w:val="22"/>
                    </w:rPr>
                    <w:t> </w:t>
                  </w:r>
                  <w:r>
                    <w:rPr>
                      <w:b/>
                      <w:color w:val="000000"/>
                      <w:sz w:val="22"/>
                    </w:rPr>
                    <w:t>information</w:t>
                  </w:r>
                  <w:r>
                    <w:rPr>
                      <w:b/>
                      <w:color w:val="000000"/>
                      <w:spacing w:val="-5"/>
                      <w:sz w:val="22"/>
                    </w:rPr>
                    <w:t> </w:t>
                  </w:r>
                  <w:r>
                    <w:rPr>
                      <w:b/>
                      <w:color w:val="000000"/>
                      <w:sz w:val="22"/>
                    </w:rPr>
                    <w:t>that</w:t>
                  </w:r>
                  <w:r>
                    <w:rPr>
                      <w:b/>
                      <w:color w:val="000000"/>
                      <w:spacing w:val="-5"/>
                      <w:sz w:val="22"/>
                    </w:rPr>
                    <w:t> </w:t>
                  </w:r>
                  <w:r>
                    <w:rPr>
                      <w:b/>
                      <w:color w:val="000000"/>
                      <w:sz w:val="22"/>
                    </w:rPr>
                    <w:t>we</w:t>
                  </w:r>
                  <w:r>
                    <w:rPr>
                      <w:b/>
                      <w:color w:val="000000"/>
                      <w:spacing w:val="-5"/>
                      <w:sz w:val="22"/>
                    </w:rPr>
                    <w:t> </w:t>
                  </w:r>
                  <w:r>
                    <w:rPr>
                      <w:b/>
                      <w:color w:val="000000"/>
                      <w:sz w:val="22"/>
                    </w:rPr>
                    <w:t>have</w:t>
                  </w:r>
                  <w:r>
                    <w:rPr>
                      <w:b/>
                      <w:color w:val="000000"/>
                      <w:spacing w:val="-4"/>
                      <w:sz w:val="22"/>
                    </w:rPr>
                    <w:t> </w:t>
                  </w:r>
                  <w:r>
                    <w:rPr>
                      <w:b/>
                      <w:color w:val="000000"/>
                      <w:sz w:val="22"/>
                    </w:rPr>
                    <w:t>in</w:t>
                  </w:r>
                  <w:r>
                    <w:rPr>
                      <w:b/>
                      <w:color w:val="000000"/>
                      <w:spacing w:val="-5"/>
                      <w:sz w:val="22"/>
                    </w:rPr>
                    <w:t> </w:t>
                  </w:r>
                  <w:r>
                    <w:rPr>
                      <w:b/>
                      <w:color w:val="000000"/>
                      <w:sz w:val="22"/>
                    </w:rPr>
                    <w:t>similar</w:t>
                  </w:r>
                  <w:r>
                    <w:rPr>
                      <w:b/>
                      <w:color w:val="000000"/>
                      <w:spacing w:val="-2"/>
                      <w:sz w:val="22"/>
                    </w:rPr>
                    <w:t> format.</w:t>
                  </w:r>
                </w:p>
              </w:txbxContent>
            </v:textbox>
            <v:fill opacity="26214f" type="solid"/>
            <w10:wrap type="topAndBottom"/>
          </v:shape>
        </w:pict>
      </w:r>
    </w:p>
    <w:p>
      <w:pPr>
        <w:pStyle w:val="BodyText"/>
        <w:spacing w:before="10"/>
        <w:rPr>
          <w:sz w:val="11"/>
        </w:rPr>
      </w:pPr>
    </w:p>
    <w:p>
      <w:pPr>
        <w:pStyle w:val="ListParagraph"/>
        <w:numPr>
          <w:ilvl w:val="0"/>
          <w:numId w:val="2"/>
        </w:numPr>
        <w:tabs>
          <w:tab w:pos="467" w:val="left" w:leader="none"/>
        </w:tabs>
        <w:spacing w:line="240" w:lineRule="auto" w:before="87" w:after="0"/>
        <w:ind w:left="466" w:right="0" w:hanging="128"/>
        <w:jc w:val="left"/>
        <w:rPr>
          <w:rFonts w:ascii="Times New Roman" w:hAnsi="Times New Roman"/>
          <w:sz w:val="22"/>
        </w:rPr>
      </w:pPr>
      <w:r>
        <w:rPr>
          <w:sz w:val="22"/>
        </w:rPr>
        <w:t>Digital</w:t>
      </w:r>
      <w:r>
        <w:rPr>
          <w:spacing w:val="-5"/>
          <w:sz w:val="22"/>
        </w:rPr>
        <w:t> </w:t>
      </w:r>
      <w:r>
        <w:rPr>
          <w:sz w:val="22"/>
        </w:rPr>
        <w:t>copies</w:t>
      </w:r>
      <w:r>
        <w:rPr>
          <w:spacing w:val="-4"/>
          <w:sz w:val="22"/>
        </w:rPr>
        <w:t> </w:t>
      </w:r>
      <w:r>
        <w:rPr>
          <w:sz w:val="22"/>
        </w:rPr>
        <w:t>of</w:t>
      </w:r>
      <w:r>
        <w:rPr>
          <w:spacing w:val="-4"/>
          <w:sz w:val="22"/>
        </w:rPr>
        <w:t> </w:t>
      </w:r>
      <w:r>
        <w:rPr>
          <w:sz w:val="22"/>
        </w:rPr>
        <w:t>the</w:t>
      </w:r>
      <w:r>
        <w:rPr>
          <w:spacing w:val="-2"/>
          <w:sz w:val="22"/>
        </w:rPr>
        <w:t> </w:t>
      </w:r>
      <w:r>
        <w:rPr>
          <w:sz w:val="22"/>
        </w:rPr>
        <w:t>data</w:t>
      </w:r>
      <w:r>
        <w:rPr>
          <w:spacing w:val="-4"/>
          <w:sz w:val="22"/>
        </w:rPr>
        <w:t> </w:t>
      </w:r>
      <w:r>
        <w:rPr>
          <w:sz w:val="22"/>
        </w:rPr>
        <w:t>on</w:t>
      </w:r>
      <w:r>
        <w:rPr>
          <w:spacing w:val="-3"/>
          <w:sz w:val="22"/>
        </w:rPr>
        <w:t> </w:t>
      </w:r>
      <w:r>
        <w:rPr>
          <w:sz w:val="22"/>
        </w:rPr>
        <w:t>the</w:t>
      </w:r>
      <w:r>
        <w:rPr>
          <w:spacing w:val="-5"/>
          <w:sz w:val="22"/>
        </w:rPr>
        <w:t> </w:t>
      </w:r>
      <w:r>
        <w:rPr>
          <w:sz w:val="22"/>
        </w:rPr>
        <w:t>site,</w:t>
      </w:r>
      <w:r>
        <w:rPr>
          <w:spacing w:val="-4"/>
          <w:sz w:val="22"/>
        </w:rPr>
        <w:t> </w:t>
      </w:r>
      <w:r>
        <w:rPr>
          <w:sz w:val="22"/>
        </w:rPr>
        <w:t>from</w:t>
      </w:r>
      <w:r>
        <w:rPr>
          <w:spacing w:val="-3"/>
          <w:sz w:val="22"/>
        </w:rPr>
        <w:t> </w:t>
      </w:r>
      <w:r>
        <w:rPr>
          <w:sz w:val="22"/>
        </w:rPr>
        <w:t>Appendix</w:t>
      </w:r>
      <w:r>
        <w:rPr>
          <w:spacing w:val="-5"/>
          <w:sz w:val="22"/>
        </w:rPr>
        <w:t> </w:t>
      </w:r>
      <w:r>
        <w:rPr>
          <w:sz w:val="22"/>
        </w:rPr>
        <w:t>G</w:t>
      </w:r>
      <w:r>
        <w:rPr>
          <w:spacing w:val="-2"/>
          <w:sz w:val="22"/>
        </w:rPr>
        <w:t> </w:t>
      </w:r>
      <w:r>
        <w:rPr>
          <w:sz w:val="22"/>
        </w:rPr>
        <w:t>in</w:t>
      </w:r>
      <w:r>
        <w:rPr>
          <w:spacing w:val="-3"/>
          <w:sz w:val="22"/>
        </w:rPr>
        <w:t> </w:t>
      </w:r>
      <w:r>
        <w:rPr>
          <w:sz w:val="22"/>
        </w:rPr>
        <w:t>the</w:t>
      </w:r>
      <w:r>
        <w:rPr>
          <w:spacing w:val="-2"/>
          <w:sz w:val="22"/>
        </w:rPr>
        <w:t> </w:t>
      </w:r>
      <w:r>
        <w:rPr>
          <w:sz w:val="22"/>
        </w:rPr>
        <w:t>BESA</w:t>
      </w:r>
      <w:r>
        <w:rPr>
          <w:spacing w:val="-2"/>
          <w:sz w:val="22"/>
        </w:rPr>
        <w:t> </w:t>
      </w:r>
      <w:r>
        <w:rPr>
          <w:sz w:val="22"/>
        </w:rPr>
        <w:t>(ESCO</w:t>
      </w:r>
      <w:r>
        <w:rPr>
          <w:spacing w:val="-2"/>
          <w:sz w:val="22"/>
        </w:rPr>
        <w:t> </w:t>
      </w:r>
      <w:r>
        <w:rPr>
          <w:sz w:val="22"/>
        </w:rPr>
        <w:t>MP-</w:t>
      </w:r>
      <w:r>
        <w:rPr>
          <w:spacing w:val="-2"/>
          <w:sz w:val="22"/>
        </w:rPr>
        <w:t>dbase)</w:t>
      </w:r>
    </w:p>
    <w:p>
      <w:pPr>
        <w:spacing w:after="0" w:line="240" w:lineRule="auto"/>
        <w:jc w:val="left"/>
        <w:rPr>
          <w:rFonts w:ascii="Times New Roman" w:hAnsi="Times New Roman"/>
          <w:sz w:val="22"/>
        </w:rPr>
        <w:sectPr>
          <w:pgSz w:w="12240" w:h="15840"/>
          <w:pgMar w:header="760" w:footer="1017" w:top="1880" w:bottom="1200" w:left="1100" w:right="920"/>
        </w:sectPr>
      </w:pPr>
    </w:p>
    <w:p>
      <w:pPr>
        <w:pStyle w:val="Heading2"/>
        <w:spacing w:before="155"/>
        <w:ind w:left="520"/>
        <w:jc w:val="left"/>
      </w:pPr>
      <w:r>
        <w:rPr/>
        <w:t>Provided</w:t>
      </w:r>
      <w:r>
        <w:rPr>
          <w:spacing w:val="-4"/>
        </w:rPr>
        <w:t> </w:t>
      </w:r>
      <w:r>
        <w:rPr/>
        <w:t>to</w:t>
      </w:r>
      <w:r>
        <w:rPr>
          <w:spacing w:val="-4"/>
        </w:rPr>
        <w:t> </w:t>
      </w:r>
      <w:r>
        <w:rPr/>
        <w:t>ODEQ</w:t>
      </w:r>
      <w:r>
        <w:rPr>
          <w:spacing w:val="-4"/>
        </w:rPr>
        <w:t> </w:t>
      </w:r>
      <w:r>
        <w:rPr/>
        <w:t>in</w:t>
      </w:r>
      <w:r>
        <w:rPr>
          <w:spacing w:val="-4"/>
        </w:rPr>
        <w:t> </w:t>
      </w:r>
      <w:r>
        <w:rPr/>
        <w:t>various</w:t>
      </w:r>
      <w:r>
        <w:rPr>
          <w:spacing w:val="-2"/>
        </w:rPr>
        <w:t> </w:t>
      </w:r>
      <w:r>
        <w:rPr/>
        <w:t>email</w:t>
      </w:r>
      <w:r>
        <w:rPr>
          <w:spacing w:val="-3"/>
        </w:rPr>
        <w:t> </w:t>
      </w:r>
      <w:r>
        <w:rPr>
          <w:spacing w:val="-2"/>
        </w:rPr>
        <w:t>correspondence.</w:t>
      </w:r>
    </w:p>
    <w:p>
      <w:pPr>
        <w:pStyle w:val="BodyText"/>
        <w:rPr>
          <w:b/>
          <w:sz w:val="19"/>
        </w:rPr>
      </w:pPr>
    </w:p>
    <w:p>
      <w:pPr>
        <w:pStyle w:val="ListParagraph"/>
        <w:numPr>
          <w:ilvl w:val="0"/>
          <w:numId w:val="2"/>
        </w:numPr>
        <w:tabs>
          <w:tab w:pos="480" w:val="left" w:leader="none"/>
        </w:tabs>
        <w:spacing w:line="240" w:lineRule="auto" w:before="1" w:after="0"/>
        <w:ind w:left="519" w:right="156" w:hanging="180"/>
        <w:jc w:val="both"/>
        <w:rPr>
          <w:rFonts w:ascii="Times New Roman" w:hAnsi="Times New Roman"/>
          <w:sz w:val="22"/>
        </w:rPr>
      </w:pPr>
      <w:r>
        <w:rPr>
          <w:sz w:val="22"/>
        </w:rPr>
        <w:t>DEQ notes the following about the BESA: PAHs: GW, soil updated with samples DC1-5; Figures 4-1 and 4-2 do</w:t>
      </w:r>
      <w:r>
        <w:rPr>
          <w:spacing w:val="-1"/>
          <w:sz w:val="22"/>
        </w:rPr>
        <w:t> </w:t>
      </w:r>
      <w:r>
        <w:rPr>
          <w:sz w:val="22"/>
        </w:rPr>
        <w:t>not</w:t>
      </w:r>
      <w:r>
        <w:rPr>
          <w:spacing w:val="-1"/>
          <w:sz w:val="22"/>
        </w:rPr>
        <w:t> </w:t>
      </w:r>
      <w:r>
        <w:rPr>
          <w:sz w:val="22"/>
        </w:rPr>
        <w:t>include</w:t>
      </w:r>
      <w:r>
        <w:rPr>
          <w:spacing w:val="-1"/>
          <w:sz w:val="22"/>
        </w:rPr>
        <w:t> </w:t>
      </w:r>
      <w:r>
        <w:rPr>
          <w:sz w:val="22"/>
        </w:rPr>
        <w:t>sample</w:t>
      </w:r>
      <w:r>
        <w:rPr>
          <w:spacing w:val="-1"/>
          <w:sz w:val="22"/>
        </w:rPr>
        <w:t> </w:t>
      </w:r>
      <w:r>
        <w:rPr>
          <w:sz w:val="22"/>
        </w:rPr>
        <w:t>locations</w:t>
      </w:r>
      <w:r>
        <w:rPr>
          <w:spacing w:val="-2"/>
          <w:sz w:val="22"/>
        </w:rPr>
        <w:t> </w:t>
      </w:r>
      <w:r>
        <w:rPr>
          <w:sz w:val="22"/>
        </w:rPr>
        <w:t>DC-1</w:t>
      </w:r>
      <w:r>
        <w:rPr>
          <w:spacing w:val="-1"/>
          <w:sz w:val="22"/>
        </w:rPr>
        <w:t> </w:t>
      </w:r>
      <w:r>
        <w:rPr>
          <w:sz w:val="22"/>
        </w:rPr>
        <w:t>through</w:t>
      </w:r>
      <w:r>
        <w:rPr>
          <w:spacing w:val="-3"/>
          <w:sz w:val="22"/>
        </w:rPr>
        <w:t> </w:t>
      </w:r>
      <w:r>
        <w:rPr>
          <w:sz w:val="22"/>
        </w:rPr>
        <w:t>DC-5,</w:t>
      </w:r>
      <w:r>
        <w:rPr>
          <w:spacing w:val="-2"/>
          <w:sz w:val="22"/>
        </w:rPr>
        <w:t> </w:t>
      </w:r>
      <w:r>
        <w:rPr>
          <w:sz w:val="22"/>
        </w:rPr>
        <w:t>although</w:t>
      </w:r>
      <w:r>
        <w:rPr>
          <w:spacing w:val="-3"/>
          <w:sz w:val="22"/>
        </w:rPr>
        <w:t> </w:t>
      </w:r>
      <w:r>
        <w:rPr>
          <w:sz w:val="22"/>
        </w:rPr>
        <w:t>Appendix</w:t>
      </w:r>
      <w:r>
        <w:rPr>
          <w:spacing w:val="-2"/>
          <w:sz w:val="22"/>
        </w:rPr>
        <w:t> </w:t>
      </w:r>
      <w:r>
        <w:rPr>
          <w:sz w:val="22"/>
        </w:rPr>
        <w:t>G</w:t>
      </w:r>
      <w:r>
        <w:rPr>
          <w:spacing w:val="-2"/>
          <w:sz w:val="22"/>
        </w:rPr>
        <w:t> </w:t>
      </w:r>
      <w:r>
        <w:rPr>
          <w:sz w:val="22"/>
        </w:rPr>
        <w:t>identifies</w:t>
      </w:r>
      <w:r>
        <w:rPr>
          <w:spacing w:val="-2"/>
          <w:sz w:val="22"/>
        </w:rPr>
        <w:t> </w:t>
      </w:r>
      <w:r>
        <w:rPr>
          <w:sz w:val="22"/>
        </w:rPr>
        <w:t>concentrations</w:t>
      </w:r>
      <w:r>
        <w:rPr>
          <w:spacing w:val="-2"/>
          <w:sz w:val="22"/>
        </w:rPr>
        <w:t> </w:t>
      </w:r>
      <w:r>
        <w:rPr>
          <w:sz w:val="22"/>
        </w:rPr>
        <w:t>greater than occupational exposure were found here.</w:t>
      </w:r>
    </w:p>
    <w:p>
      <w:pPr>
        <w:pStyle w:val="BodyText"/>
        <w:spacing w:before="4"/>
        <w:rPr>
          <w:sz w:val="17"/>
        </w:rPr>
      </w:pPr>
      <w:r>
        <w:rPr/>
        <w:pict>
          <v:shape style="position:absolute;margin-left:69.499222pt;margin-top:11.776283pt;width:377.95pt;height:14.1pt;mso-position-horizontal-relative:page;mso-position-vertical-relative:paragraph;z-index:-15720448;mso-wrap-distance-left:0;mso-wrap-distance-right:0" type="#_x0000_t202" id="docshape22" filled="true" fillcolor="#fde164" stroked="false">
            <v:textbox inset="0,0,0,0">
              <w:txbxContent>
                <w:p>
                  <w:pPr>
                    <w:spacing w:before="5"/>
                    <w:ind w:left="49" w:right="0" w:firstLine="0"/>
                    <w:jc w:val="left"/>
                    <w:rPr>
                      <w:b/>
                      <w:color w:val="000000"/>
                      <w:sz w:val="22"/>
                    </w:rPr>
                  </w:pPr>
                  <w:r>
                    <w:rPr>
                      <w:b/>
                      <w:color w:val="000000"/>
                      <w:sz w:val="22"/>
                    </w:rPr>
                    <w:t>Point</w:t>
                  </w:r>
                  <w:r>
                    <w:rPr>
                      <w:b/>
                      <w:color w:val="000000"/>
                      <w:spacing w:val="-4"/>
                      <w:sz w:val="22"/>
                    </w:rPr>
                    <w:t> </w:t>
                  </w:r>
                  <w:r>
                    <w:rPr>
                      <w:b/>
                      <w:color w:val="000000"/>
                      <w:sz w:val="22"/>
                    </w:rPr>
                    <w:t>Source</w:t>
                  </w:r>
                  <w:r>
                    <w:rPr>
                      <w:b/>
                      <w:color w:val="000000"/>
                      <w:spacing w:val="-7"/>
                      <w:sz w:val="22"/>
                    </w:rPr>
                    <w:t> </w:t>
                  </w:r>
                  <w:r>
                    <w:rPr>
                      <w:b/>
                      <w:color w:val="000000"/>
                      <w:sz w:val="22"/>
                    </w:rPr>
                    <w:t>will</w:t>
                  </w:r>
                  <w:r>
                    <w:rPr>
                      <w:b/>
                      <w:color w:val="000000"/>
                      <w:spacing w:val="-3"/>
                      <w:sz w:val="22"/>
                    </w:rPr>
                    <w:t> </w:t>
                  </w:r>
                  <w:r>
                    <w:rPr>
                      <w:b/>
                      <w:color w:val="000000"/>
                      <w:sz w:val="22"/>
                    </w:rPr>
                    <w:t>provide</w:t>
                  </w:r>
                  <w:r>
                    <w:rPr>
                      <w:b/>
                      <w:color w:val="000000"/>
                      <w:spacing w:val="-3"/>
                      <w:sz w:val="22"/>
                    </w:rPr>
                    <w:t> </w:t>
                  </w:r>
                  <w:r>
                    <w:rPr>
                      <w:b/>
                      <w:color w:val="000000"/>
                      <w:sz w:val="22"/>
                    </w:rPr>
                    <w:t>what</w:t>
                  </w:r>
                  <w:r>
                    <w:rPr>
                      <w:b/>
                      <w:color w:val="000000"/>
                      <w:spacing w:val="-4"/>
                      <w:sz w:val="22"/>
                    </w:rPr>
                    <w:t> </w:t>
                  </w:r>
                  <w:r>
                    <w:rPr>
                      <w:b/>
                      <w:color w:val="000000"/>
                      <w:sz w:val="22"/>
                    </w:rPr>
                    <w:t>information</w:t>
                  </w:r>
                  <w:r>
                    <w:rPr>
                      <w:b/>
                      <w:color w:val="000000"/>
                      <w:spacing w:val="-5"/>
                      <w:sz w:val="22"/>
                    </w:rPr>
                    <w:t> </w:t>
                  </w:r>
                  <w:r>
                    <w:rPr>
                      <w:b/>
                      <w:color w:val="000000"/>
                      <w:sz w:val="22"/>
                    </w:rPr>
                    <w:t>is</w:t>
                  </w:r>
                  <w:r>
                    <w:rPr>
                      <w:b/>
                      <w:color w:val="000000"/>
                      <w:spacing w:val="-2"/>
                      <w:sz w:val="22"/>
                    </w:rPr>
                    <w:t> </w:t>
                  </w:r>
                  <w:r>
                    <w:rPr>
                      <w:b/>
                      <w:color w:val="000000"/>
                      <w:sz w:val="22"/>
                    </w:rPr>
                    <w:t>available</w:t>
                  </w:r>
                  <w:r>
                    <w:rPr>
                      <w:b/>
                      <w:color w:val="000000"/>
                      <w:spacing w:val="-5"/>
                      <w:sz w:val="22"/>
                    </w:rPr>
                    <w:t> </w:t>
                  </w:r>
                  <w:r>
                    <w:rPr>
                      <w:b/>
                      <w:color w:val="000000"/>
                      <w:sz w:val="22"/>
                    </w:rPr>
                    <w:t>to</w:t>
                  </w:r>
                  <w:r>
                    <w:rPr>
                      <w:b/>
                      <w:color w:val="000000"/>
                      <w:spacing w:val="-5"/>
                      <w:sz w:val="22"/>
                    </w:rPr>
                    <w:t> </w:t>
                  </w:r>
                  <w:r>
                    <w:rPr>
                      <w:b/>
                      <w:color w:val="000000"/>
                      <w:sz w:val="22"/>
                    </w:rPr>
                    <w:t>us</w:t>
                  </w:r>
                  <w:r>
                    <w:rPr>
                      <w:b/>
                      <w:color w:val="000000"/>
                      <w:spacing w:val="-2"/>
                      <w:sz w:val="22"/>
                    </w:rPr>
                    <w:t> </w:t>
                  </w:r>
                  <w:r>
                    <w:rPr>
                      <w:b/>
                      <w:color w:val="000000"/>
                      <w:sz w:val="22"/>
                    </w:rPr>
                    <w:t>to</w:t>
                  </w:r>
                  <w:r>
                    <w:rPr>
                      <w:b/>
                      <w:color w:val="000000"/>
                      <w:spacing w:val="-5"/>
                      <w:sz w:val="22"/>
                    </w:rPr>
                    <w:t> </w:t>
                  </w:r>
                  <w:r>
                    <w:rPr>
                      <w:b/>
                      <w:color w:val="000000"/>
                      <w:sz w:val="22"/>
                    </w:rPr>
                    <w:t>address</w:t>
                  </w:r>
                  <w:r>
                    <w:rPr>
                      <w:b/>
                      <w:color w:val="000000"/>
                      <w:spacing w:val="-3"/>
                      <w:sz w:val="22"/>
                    </w:rPr>
                    <w:t> </w:t>
                  </w:r>
                  <w:r>
                    <w:rPr>
                      <w:b/>
                      <w:color w:val="000000"/>
                      <w:sz w:val="22"/>
                    </w:rPr>
                    <w:t>this</w:t>
                  </w:r>
                  <w:r>
                    <w:rPr>
                      <w:b/>
                      <w:color w:val="000000"/>
                      <w:spacing w:val="-5"/>
                      <w:sz w:val="22"/>
                    </w:rPr>
                    <w:t> </w:t>
                  </w:r>
                  <w:r>
                    <w:rPr>
                      <w:b/>
                      <w:color w:val="000000"/>
                      <w:spacing w:val="-2"/>
                      <w:sz w:val="22"/>
                    </w:rPr>
                    <w:t>issue.</w:t>
                  </w:r>
                </w:p>
              </w:txbxContent>
            </v:textbox>
            <v:fill opacity="26214f" type="solid"/>
            <w10:wrap type="topAndBottom"/>
          </v:shape>
        </w:pict>
      </w:r>
    </w:p>
    <w:p>
      <w:pPr>
        <w:pStyle w:val="BodyText"/>
        <w:spacing w:before="7"/>
        <w:rPr>
          <w:sz w:val="11"/>
        </w:rPr>
      </w:pPr>
    </w:p>
    <w:p>
      <w:pPr>
        <w:pStyle w:val="ListParagraph"/>
        <w:numPr>
          <w:ilvl w:val="0"/>
          <w:numId w:val="2"/>
        </w:numPr>
        <w:tabs>
          <w:tab w:pos="472" w:val="left" w:leader="none"/>
        </w:tabs>
        <w:spacing w:line="240" w:lineRule="auto" w:before="88" w:after="0"/>
        <w:ind w:left="471" w:right="0" w:hanging="133"/>
        <w:jc w:val="left"/>
        <w:rPr>
          <w:rFonts w:ascii="Times New Roman" w:hAnsi="Times New Roman"/>
          <w:sz w:val="22"/>
        </w:rPr>
      </w:pPr>
      <w:r>
        <w:rPr>
          <w:sz w:val="22"/>
        </w:rPr>
        <w:t>VOCs:</w:t>
      </w:r>
      <w:r>
        <w:rPr>
          <w:spacing w:val="-5"/>
          <w:sz w:val="22"/>
        </w:rPr>
        <w:t> </w:t>
      </w:r>
      <w:r>
        <w:rPr>
          <w:sz w:val="22"/>
        </w:rPr>
        <w:t>GW</w:t>
      </w:r>
      <w:r>
        <w:rPr>
          <w:spacing w:val="-5"/>
          <w:sz w:val="22"/>
        </w:rPr>
        <w:t> </w:t>
      </w:r>
      <w:r>
        <w:rPr>
          <w:sz w:val="22"/>
        </w:rPr>
        <w:t>maps</w:t>
      </w:r>
      <w:r>
        <w:rPr>
          <w:spacing w:val="-3"/>
          <w:sz w:val="22"/>
        </w:rPr>
        <w:t> </w:t>
      </w:r>
      <w:r>
        <w:rPr>
          <w:sz w:val="22"/>
        </w:rPr>
        <w:t>did</w:t>
      </w:r>
      <w:r>
        <w:rPr>
          <w:spacing w:val="-4"/>
          <w:sz w:val="22"/>
        </w:rPr>
        <w:t> </w:t>
      </w:r>
      <w:r>
        <w:rPr>
          <w:sz w:val="22"/>
        </w:rPr>
        <w:t>not</w:t>
      </w:r>
      <w:r>
        <w:rPr>
          <w:spacing w:val="-2"/>
          <w:sz w:val="22"/>
        </w:rPr>
        <w:t> </w:t>
      </w:r>
      <w:r>
        <w:rPr>
          <w:sz w:val="22"/>
        </w:rPr>
        <w:t>include</w:t>
      </w:r>
      <w:r>
        <w:rPr>
          <w:spacing w:val="-2"/>
          <w:sz w:val="22"/>
        </w:rPr>
        <w:t> </w:t>
      </w:r>
      <w:r>
        <w:rPr>
          <w:sz w:val="22"/>
        </w:rPr>
        <w:t>temporary</w:t>
      </w:r>
      <w:r>
        <w:rPr>
          <w:spacing w:val="-4"/>
          <w:sz w:val="22"/>
        </w:rPr>
        <w:t> </w:t>
      </w:r>
      <w:r>
        <w:rPr>
          <w:sz w:val="22"/>
        </w:rPr>
        <w:t>monitoring</w:t>
      </w:r>
      <w:r>
        <w:rPr>
          <w:spacing w:val="-4"/>
          <w:sz w:val="22"/>
        </w:rPr>
        <w:t> </w:t>
      </w:r>
      <w:r>
        <w:rPr>
          <w:sz w:val="22"/>
        </w:rPr>
        <w:t>wells</w:t>
      </w:r>
      <w:r>
        <w:rPr>
          <w:spacing w:val="-3"/>
          <w:sz w:val="22"/>
        </w:rPr>
        <w:t> </w:t>
      </w:r>
      <w:r>
        <w:rPr>
          <w:sz w:val="22"/>
        </w:rPr>
        <w:t>EB-</w:t>
      </w:r>
      <w:r>
        <w:rPr>
          <w:spacing w:val="-3"/>
          <w:sz w:val="22"/>
        </w:rPr>
        <w:t> </w:t>
      </w:r>
      <w:r>
        <w:rPr>
          <w:sz w:val="22"/>
        </w:rPr>
        <w:t>5,</w:t>
      </w:r>
      <w:r>
        <w:rPr>
          <w:spacing w:val="-5"/>
          <w:sz w:val="22"/>
        </w:rPr>
        <w:t> </w:t>
      </w:r>
      <w:r>
        <w:rPr>
          <w:sz w:val="22"/>
        </w:rPr>
        <w:t>6,</w:t>
      </w:r>
      <w:r>
        <w:rPr>
          <w:spacing w:val="-5"/>
          <w:sz w:val="22"/>
        </w:rPr>
        <w:t> </w:t>
      </w:r>
      <w:r>
        <w:rPr>
          <w:sz w:val="22"/>
        </w:rPr>
        <w:t>11,</w:t>
      </w:r>
      <w:r>
        <w:rPr>
          <w:spacing w:val="-4"/>
          <w:sz w:val="22"/>
        </w:rPr>
        <w:t> </w:t>
      </w:r>
      <w:r>
        <w:rPr>
          <w:spacing w:val="-5"/>
          <w:sz w:val="22"/>
        </w:rPr>
        <w:t>17</w:t>
      </w:r>
      <w:r>
        <w:rPr>
          <w:rFonts w:ascii="Times New Roman" w:hAnsi="Times New Roman"/>
          <w:spacing w:val="-5"/>
          <w:sz w:val="22"/>
        </w:rPr>
        <w:t>.</w:t>
      </w:r>
    </w:p>
    <w:p>
      <w:pPr>
        <w:pStyle w:val="BodyText"/>
        <w:spacing w:before="10"/>
        <w:rPr>
          <w:rFonts w:ascii="Times New Roman"/>
          <w:sz w:val="20"/>
        </w:rPr>
      </w:pPr>
    </w:p>
    <w:p>
      <w:pPr>
        <w:pStyle w:val="Heading2"/>
        <w:ind w:right="155"/>
      </w:pPr>
      <w:r>
        <w:rPr/>
        <w:t>It would appear that these borings were only used in developing the Cross Sections in Figures 3.2 and 3.3 of the Baseline Environmental Site Assessment Report and not in determining groundwater elevation </w:t>
      </w:r>
      <w:r>
        <w:rPr>
          <w:spacing w:val="-2"/>
        </w:rPr>
        <w:t>contours.</w:t>
      </w:r>
    </w:p>
    <w:p>
      <w:pPr>
        <w:pStyle w:val="BodyText"/>
        <w:rPr>
          <w:b/>
          <w:sz w:val="19"/>
        </w:rPr>
      </w:pPr>
    </w:p>
    <w:p>
      <w:pPr>
        <w:pStyle w:val="ListParagraph"/>
        <w:numPr>
          <w:ilvl w:val="0"/>
          <w:numId w:val="2"/>
        </w:numPr>
        <w:tabs>
          <w:tab w:pos="472" w:val="left" w:leader="none"/>
        </w:tabs>
        <w:spacing w:line="240" w:lineRule="auto" w:before="0" w:after="0"/>
        <w:ind w:left="471" w:right="0" w:hanging="133"/>
        <w:jc w:val="left"/>
        <w:rPr>
          <w:rFonts w:ascii="Times New Roman" w:hAnsi="Times New Roman"/>
          <w:sz w:val="22"/>
        </w:rPr>
      </w:pPr>
      <w:r>
        <w:rPr>
          <w:sz w:val="22"/>
        </w:rPr>
        <w:t>PCBs:</w:t>
      </w:r>
      <w:r>
        <w:rPr>
          <w:spacing w:val="-3"/>
          <w:sz w:val="22"/>
        </w:rPr>
        <w:t> </w:t>
      </w:r>
      <w:r>
        <w:rPr>
          <w:sz w:val="22"/>
        </w:rPr>
        <w:t>GW</w:t>
      </w:r>
      <w:r>
        <w:rPr>
          <w:spacing w:val="-4"/>
          <w:sz w:val="22"/>
        </w:rPr>
        <w:t> </w:t>
      </w:r>
      <w:r>
        <w:rPr>
          <w:sz w:val="22"/>
        </w:rPr>
        <w:t>and</w:t>
      </w:r>
      <w:r>
        <w:rPr>
          <w:spacing w:val="-2"/>
          <w:sz w:val="22"/>
        </w:rPr>
        <w:t> </w:t>
      </w:r>
      <w:r>
        <w:rPr>
          <w:spacing w:val="-4"/>
          <w:sz w:val="22"/>
        </w:rPr>
        <w:t>soil</w:t>
      </w:r>
    </w:p>
    <w:p>
      <w:pPr>
        <w:pStyle w:val="ListParagraph"/>
        <w:numPr>
          <w:ilvl w:val="0"/>
          <w:numId w:val="2"/>
        </w:numPr>
        <w:tabs>
          <w:tab w:pos="501" w:val="left" w:leader="none"/>
        </w:tabs>
        <w:spacing w:line="240" w:lineRule="auto" w:before="1" w:after="0"/>
        <w:ind w:left="500" w:right="0" w:hanging="162"/>
        <w:jc w:val="left"/>
        <w:rPr>
          <w:sz w:val="22"/>
        </w:rPr>
      </w:pPr>
      <w:r>
        <w:rPr>
          <w:sz w:val="22"/>
        </w:rPr>
        <w:t>TPHs:</w:t>
      </w:r>
      <w:r>
        <w:rPr>
          <w:spacing w:val="-5"/>
          <w:sz w:val="22"/>
        </w:rPr>
        <w:t> </w:t>
      </w:r>
      <w:r>
        <w:rPr>
          <w:sz w:val="22"/>
        </w:rPr>
        <w:t>GW</w:t>
      </w:r>
      <w:r>
        <w:rPr>
          <w:spacing w:val="-3"/>
          <w:sz w:val="22"/>
        </w:rPr>
        <w:t> </w:t>
      </w:r>
      <w:r>
        <w:rPr>
          <w:sz w:val="22"/>
        </w:rPr>
        <w:t>and</w:t>
      </w:r>
      <w:r>
        <w:rPr>
          <w:spacing w:val="-2"/>
          <w:sz w:val="22"/>
        </w:rPr>
        <w:t> </w:t>
      </w:r>
      <w:r>
        <w:rPr>
          <w:spacing w:val="-4"/>
          <w:sz w:val="22"/>
        </w:rPr>
        <w:t>soil</w:t>
      </w:r>
    </w:p>
    <w:p>
      <w:pPr>
        <w:pStyle w:val="BodyText"/>
        <w:rPr>
          <w:sz w:val="19"/>
        </w:rPr>
      </w:pPr>
    </w:p>
    <w:p>
      <w:pPr>
        <w:pStyle w:val="Heading2"/>
      </w:pPr>
      <w:r>
        <w:rPr/>
        <w:t>Not</w:t>
      </w:r>
      <w:r>
        <w:rPr>
          <w:spacing w:val="-3"/>
        </w:rPr>
        <w:t> </w:t>
      </w:r>
      <w:r>
        <w:rPr/>
        <w:t>quite</w:t>
      </w:r>
      <w:r>
        <w:rPr>
          <w:spacing w:val="-5"/>
        </w:rPr>
        <w:t> </w:t>
      </w:r>
      <w:r>
        <w:rPr/>
        <w:t>sure</w:t>
      </w:r>
      <w:r>
        <w:rPr>
          <w:spacing w:val="-5"/>
        </w:rPr>
        <w:t> </w:t>
      </w:r>
      <w:r>
        <w:rPr/>
        <w:t>what</w:t>
      </w:r>
      <w:r>
        <w:rPr>
          <w:spacing w:val="-2"/>
        </w:rPr>
        <w:t> </w:t>
      </w:r>
      <w:r>
        <w:rPr/>
        <w:t>these</w:t>
      </w:r>
      <w:r>
        <w:rPr>
          <w:spacing w:val="-5"/>
        </w:rPr>
        <w:t> </w:t>
      </w:r>
      <w:r>
        <w:rPr/>
        <w:t>two</w:t>
      </w:r>
      <w:r>
        <w:rPr>
          <w:spacing w:val="-3"/>
        </w:rPr>
        <w:t> </w:t>
      </w:r>
      <w:r>
        <w:rPr/>
        <w:t>bullet</w:t>
      </w:r>
      <w:r>
        <w:rPr>
          <w:spacing w:val="-2"/>
        </w:rPr>
        <w:t> </w:t>
      </w:r>
      <w:r>
        <w:rPr/>
        <w:t>points</w:t>
      </w:r>
      <w:r>
        <w:rPr>
          <w:spacing w:val="-4"/>
        </w:rPr>
        <w:t> </w:t>
      </w:r>
      <w:r>
        <w:rPr>
          <w:spacing w:val="-2"/>
        </w:rPr>
        <w:t>designate.</w:t>
      </w:r>
    </w:p>
    <w:p>
      <w:pPr>
        <w:pStyle w:val="BodyText"/>
        <w:rPr>
          <w:b/>
          <w:sz w:val="19"/>
        </w:rPr>
      </w:pPr>
    </w:p>
    <w:p>
      <w:pPr>
        <w:pStyle w:val="BodyText"/>
        <w:spacing w:before="0"/>
        <w:ind w:left="339"/>
        <w:jc w:val="both"/>
      </w:pPr>
      <w:r>
        <w:rPr/>
        <w:t>Figures</w:t>
      </w:r>
      <w:r>
        <w:rPr>
          <w:spacing w:val="-6"/>
        </w:rPr>
        <w:t> </w:t>
      </w:r>
      <w:r>
        <w:rPr/>
        <w:t>and</w:t>
      </w:r>
      <w:r>
        <w:rPr>
          <w:spacing w:val="-4"/>
        </w:rPr>
        <w:t> </w:t>
      </w:r>
      <w:r>
        <w:rPr/>
        <w:t>tables</w:t>
      </w:r>
      <w:r>
        <w:rPr>
          <w:spacing w:val="-3"/>
        </w:rPr>
        <w:t> </w:t>
      </w:r>
      <w:r>
        <w:rPr/>
        <w:t>are</w:t>
      </w:r>
      <w:r>
        <w:rPr>
          <w:spacing w:val="-2"/>
        </w:rPr>
        <w:t> </w:t>
      </w:r>
      <w:r>
        <w:rPr/>
        <w:t>inconsistent</w:t>
      </w:r>
      <w:r>
        <w:rPr>
          <w:spacing w:val="-2"/>
        </w:rPr>
        <w:t> </w:t>
      </w:r>
      <w:r>
        <w:rPr/>
        <w:t>in</w:t>
      </w:r>
      <w:r>
        <w:rPr>
          <w:spacing w:val="-6"/>
        </w:rPr>
        <w:t> </w:t>
      </w:r>
      <w:r>
        <w:rPr/>
        <w:t>their</w:t>
      </w:r>
      <w:r>
        <w:rPr>
          <w:spacing w:val="-3"/>
        </w:rPr>
        <w:t> </w:t>
      </w:r>
      <w:r>
        <w:rPr/>
        <w:t>use</w:t>
      </w:r>
      <w:r>
        <w:rPr>
          <w:spacing w:val="-5"/>
        </w:rPr>
        <w:t> </w:t>
      </w:r>
      <w:r>
        <w:rPr/>
        <w:t>of</w:t>
      </w:r>
      <w:r>
        <w:rPr>
          <w:spacing w:val="-5"/>
        </w:rPr>
        <w:t> </w:t>
      </w:r>
      <w:r>
        <w:rPr/>
        <w:t>colors,</w:t>
      </w:r>
      <w:r>
        <w:rPr>
          <w:spacing w:val="-3"/>
        </w:rPr>
        <w:t> </w:t>
      </w:r>
      <w:r>
        <w:rPr/>
        <w:t>for</w:t>
      </w:r>
      <w:r>
        <w:rPr>
          <w:spacing w:val="-5"/>
        </w:rPr>
        <w:t> </w:t>
      </w:r>
      <w:r>
        <w:rPr>
          <w:spacing w:val="-2"/>
        </w:rPr>
        <w:t>example:</w:t>
      </w:r>
    </w:p>
    <w:p>
      <w:pPr>
        <w:pStyle w:val="BodyText"/>
        <w:rPr>
          <w:sz w:val="19"/>
        </w:rPr>
      </w:pPr>
    </w:p>
    <w:p>
      <w:pPr>
        <w:pStyle w:val="ListParagraph"/>
        <w:numPr>
          <w:ilvl w:val="0"/>
          <w:numId w:val="2"/>
        </w:numPr>
        <w:tabs>
          <w:tab w:pos="501" w:val="left" w:leader="none"/>
        </w:tabs>
        <w:spacing w:line="240" w:lineRule="auto" w:before="0" w:after="0"/>
        <w:ind w:left="519" w:right="309" w:hanging="181"/>
        <w:jc w:val="left"/>
        <w:rPr>
          <w:sz w:val="22"/>
        </w:rPr>
      </w:pPr>
      <w:r>
        <w:rPr>
          <w:sz w:val="22"/>
        </w:rPr>
        <w:t>Blue</w:t>
      </w:r>
      <w:r>
        <w:rPr>
          <w:spacing w:val="-1"/>
          <w:sz w:val="22"/>
        </w:rPr>
        <w:t> </w:t>
      </w:r>
      <w:r>
        <w:rPr>
          <w:sz w:val="22"/>
        </w:rPr>
        <w:t>represents</w:t>
      </w:r>
      <w:r>
        <w:rPr>
          <w:spacing w:val="-2"/>
          <w:sz w:val="22"/>
        </w:rPr>
        <w:t> </w:t>
      </w:r>
      <w:r>
        <w:rPr>
          <w:sz w:val="22"/>
        </w:rPr>
        <w:t>concentrations</w:t>
      </w:r>
      <w:r>
        <w:rPr>
          <w:spacing w:val="-2"/>
          <w:sz w:val="22"/>
        </w:rPr>
        <w:t> </w:t>
      </w:r>
      <w:r>
        <w:rPr>
          <w:sz w:val="22"/>
        </w:rPr>
        <w:t>above</w:t>
      </w:r>
      <w:r>
        <w:rPr>
          <w:spacing w:val="-1"/>
          <w:sz w:val="22"/>
        </w:rPr>
        <w:t> </w:t>
      </w:r>
      <w:r>
        <w:rPr>
          <w:sz w:val="22"/>
        </w:rPr>
        <w:t>the</w:t>
      </w:r>
      <w:r>
        <w:rPr>
          <w:spacing w:val="-1"/>
          <w:sz w:val="22"/>
        </w:rPr>
        <w:t> </w:t>
      </w:r>
      <w:r>
        <w:rPr>
          <w:sz w:val="22"/>
        </w:rPr>
        <w:t>clean</w:t>
      </w:r>
      <w:r>
        <w:rPr>
          <w:spacing w:val="-3"/>
          <w:sz w:val="22"/>
        </w:rPr>
        <w:t> </w:t>
      </w:r>
      <w:r>
        <w:rPr>
          <w:sz w:val="22"/>
        </w:rPr>
        <w:t>fill</w:t>
      </w:r>
      <w:r>
        <w:rPr>
          <w:spacing w:val="-2"/>
          <w:sz w:val="22"/>
        </w:rPr>
        <w:t> </w:t>
      </w:r>
      <w:r>
        <w:rPr>
          <w:sz w:val="22"/>
        </w:rPr>
        <w:t>criteria</w:t>
      </w:r>
      <w:r>
        <w:rPr>
          <w:spacing w:val="-2"/>
          <w:sz w:val="22"/>
        </w:rPr>
        <w:t> </w:t>
      </w:r>
      <w:r>
        <w:rPr>
          <w:sz w:val="22"/>
        </w:rPr>
        <w:t>(Fig</w:t>
      </w:r>
      <w:r>
        <w:rPr>
          <w:spacing w:val="-5"/>
          <w:sz w:val="22"/>
        </w:rPr>
        <w:t> </w:t>
      </w:r>
      <w:r>
        <w:rPr>
          <w:sz w:val="22"/>
        </w:rPr>
        <w:t>4-1)</w:t>
      </w:r>
      <w:r>
        <w:rPr>
          <w:spacing w:val="-4"/>
          <w:sz w:val="22"/>
        </w:rPr>
        <w:t> </w:t>
      </w:r>
      <w:r>
        <w:rPr>
          <w:sz w:val="22"/>
        </w:rPr>
        <w:t>and</w:t>
      </w:r>
      <w:r>
        <w:rPr>
          <w:spacing w:val="-3"/>
          <w:sz w:val="22"/>
        </w:rPr>
        <w:t> </w:t>
      </w:r>
      <w:r>
        <w:rPr>
          <w:sz w:val="22"/>
        </w:rPr>
        <w:t>below</w:t>
      </w:r>
      <w:r>
        <w:rPr>
          <w:spacing w:val="-4"/>
          <w:sz w:val="22"/>
        </w:rPr>
        <w:t> </w:t>
      </w:r>
      <w:r>
        <w:rPr>
          <w:sz w:val="22"/>
        </w:rPr>
        <w:t>the</w:t>
      </w:r>
      <w:r>
        <w:rPr>
          <w:spacing w:val="-1"/>
          <w:sz w:val="22"/>
        </w:rPr>
        <w:t> </w:t>
      </w:r>
      <w:r>
        <w:rPr>
          <w:sz w:val="22"/>
        </w:rPr>
        <w:t>clean</w:t>
      </w:r>
      <w:r>
        <w:rPr>
          <w:spacing w:val="-3"/>
          <w:sz w:val="22"/>
        </w:rPr>
        <w:t> </w:t>
      </w:r>
      <w:r>
        <w:rPr>
          <w:sz w:val="22"/>
        </w:rPr>
        <w:t>fill</w:t>
      </w:r>
      <w:r>
        <w:rPr>
          <w:spacing w:val="-5"/>
          <w:sz w:val="22"/>
        </w:rPr>
        <w:t> </w:t>
      </w:r>
      <w:r>
        <w:rPr>
          <w:sz w:val="22"/>
        </w:rPr>
        <w:t>criteria</w:t>
      </w:r>
      <w:r>
        <w:rPr>
          <w:spacing w:val="-4"/>
          <w:sz w:val="22"/>
        </w:rPr>
        <w:t> </w:t>
      </w:r>
      <w:r>
        <w:rPr>
          <w:sz w:val="22"/>
        </w:rPr>
        <w:t>(Fig</w:t>
      </w:r>
      <w:r>
        <w:rPr>
          <w:spacing w:val="-3"/>
          <w:sz w:val="22"/>
        </w:rPr>
        <w:t> </w:t>
      </w:r>
      <w:r>
        <w:rPr>
          <w:sz w:val="22"/>
        </w:rPr>
        <w:t>4- </w:t>
      </w:r>
      <w:r>
        <w:rPr>
          <w:spacing w:val="-4"/>
          <w:sz w:val="22"/>
        </w:rPr>
        <w:t>3).</w:t>
      </w:r>
    </w:p>
    <w:p>
      <w:pPr>
        <w:pStyle w:val="BodyText"/>
        <w:spacing w:before="6"/>
        <w:rPr>
          <w:sz w:val="19"/>
        </w:rPr>
      </w:pPr>
    </w:p>
    <w:p>
      <w:pPr>
        <w:pStyle w:val="Heading2"/>
      </w:pPr>
      <w:r>
        <w:rPr/>
        <w:t>Point</w:t>
      </w:r>
      <w:r>
        <w:rPr>
          <w:spacing w:val="-4"/>
        </w:rPr>
        <w:t> </w:t>
      </w:r>
      <w:r>
        <w:rPr/>
        <w:t>Source</w:t>
      </w:r>
      <w:r>
        <w:rPr>
          <w:spacing w:val="-6"/>
        </w:rPr>
        <w:t> </w:t>
      </w:r>
      <w:r>
        <w:rPr/>
        <w:t>cannot</w:t>
      </w:r>
      <w:r>
        <w:rPr>
          <w:spacing w:val="-3"/>
        </w:rPr>
        <w:t> </w:t>
      </w:r>
      <w:r>
        <w:rPr/>
        <w:t>change</w:t>
      </w:r>
      <w:r>
        <w:rPr>
          <w:spacing w:val="-5"/>
        </w:rPr>
        <w:t> </w:t>
      </w:r>
      <w:r>
        <w:rPr/>
        <w:t>the</w:t>
      </w:r>
      <w:r>
        <w:rPr>
          <w:spacing w:val="-3"/>
        </w:rPr>
        <w:t> </w:t>
      </w:r>
      <w:r>
        <w:rPr/>
        <w:t>Bridgewater</w:t>
      </w:r>
      <w:r>
        <w:rPr>
          <w:spacing w:val="-5"/>
        </w:rPr>
        <w:t> </w:t>
      </w:r>
      <w:r>
        <w:rPr/>
        <w:t>work</w:t>
      </w:r>
      <w:r>
        <w:rPr>
          <w:spacing w:val="-3"/>
        </w:rPr>
        <w:t> </w:t>
      </w:r>
      <w:r>
        <w:rPr>
          <w:spacing w:val="-2"/>
        </w:rPr>
        <w:t>product.</w:t>
      </w:r>
    </w:p>
    <w:p>
      <w:pPr>
        <w:pStyle w:val="BodyText"/>
        <w:rPr>
          <w:b/>
          <w:sz w:val="19"/>
        </w:rPr>
      </w:pPr>
    </w:p>
    <w:p>
      <w:pPr>
        <w:pStyle w:val="ListParagraph"/>
        <w:numPr>
          <w:ilvl w:val="0"/>
          <w:numId w:val="2"/>
        </w:numPr>
        <w:tabs>
          <w:tab w:pos="501" w:val="left" w:leader="none"/>
        </w:tabs>
        <w:spacing w:line="240" w:lineRule="auto" w:before="0" w:after="0"/>
        <w:ind w:left="500" w:right="0" w:hanging="162"/>
        <w:jc w:val="left"/>
        <w:rPr>
          <w:sz w:val="22"/>
        </w:rPr>
      </w:pPr>
      <w:r>
        <w:rPr>
          <w:sz w:val="22"/>
        </w:rPr>
        <w:t>Yellow</w:t>
      </w:r>
      <w:r>
        <w:rPr>
          <w:spacing w:val="-8"/>
          <w:sz w:val="22"/>
        </w:rPr>
        <w:t> </w:t>
      </w:r>
      <w:r>
        <w:rPr>
          <w:sz w:val="22"/>
        </w:rPr>
        <w:t>represents</w:t>
      </w:r>
      <w:r>
        <w:rPr>
          <w:spacing w:val="-6"/>
          <w:sz w:val="22"/>
        </w:rPr>
        <w:t> </w:t>
      </w:r>
      <w:r>
        <w:rPr>
          <w:sz w:val="22"/>
        </w:rPr>
        <w:t>concentrations</w:t>
      </w:r>
      <w:r>
        <w:rPr>
          <w:spacing w:val="-5"/>
          <w:sz w:val="22"/>
        </w:rPr>
        <w:t> </w:t>
      </w:r>
      <w:r>
        <w:rPr>
          <w:sz w:val="22"/>
        </w:rPr>
        <w:t>above</w:t>
      </w:r>
      <w:r>
        <w:rPr>
          <w:spacing w:val="-6"/>
          <w:sz w:val="22"/>
        </w:rPr>
        <w:t> </w:t>
      </w:r>
      <w:r>
        <w:rPr>
          <w:sz w:val="22"/>
        </w:rPr>
        <w:t>the</w:t>
      </w:r>
      <w:r>
        <w:rPr>
          <w:spacing w:val="-6"/>
          <w:sz w:val="22"/>
        </w:rPr>
        <w:t> </w:t>
      </w:r>
      <w:r>
        <w:rPr>
          <w:sz w:val="22"/>
        </w:rPr>
        <w:t>occupational</w:t>
      </w:r>
      <w:r>
        <w:rPr>
          <w:spacing w:val="-3"/>
          <w:sz w:val="22"/>
        </w:rPr>
        <w:t> </w:t>
      </w:r>
      <w:r>
        <w:rPr>
          <w:sz w:val="22"/>
        </w:rPr>
        <w:t>RBC</w:t>
      </w:r>
      <w:r>
        <w:rPr>
          <w:spacing w:val="-6"/>
          <w:sz w:val="22"/>
        </w:rPr>
        <w:t> </w:t>
      </w:r>
      <w:r>
        <w:rPr>
          <w:sz w:val="22"/>
        </w:rPr>
        <w:t>(Fig.</w:t>
      </w:r>
      <w:r>
        <w:rPr>
          <w:spacing w:val="-4"/>
          <w:sz w:val="22"/>
        </w:rPr>
        <w:t> </w:t>
      </w:r>
      <w:r>
        <w:rPr>
          <w:sz w:val="22"/>
        </w:rPr>
        <w:t>4-1)</w:t>
      </w:r>
      <w:r>
        <w:rPr>
          <w:spacing w:val="-4"/>
          <w:sz w:val="22"/>
        </w:rPr>
        <w:t> </w:t>
      </w:r>
      <w:r>
        <w:rPr>
          <w:sz w:val="22"/>
        </w:rPr>
        <w:t>and</w:t>
      </w:r>
      <w:r>
        <w:rPr>
          <w:spacing w:val="-4"/>
          <w:sz w:val="22"/>
        </w:rPr>
        <w:t> </w:t>
      </w:r>
      <w:r>
        <w:rPr>
          <w:sz w:val="22"/>
        </w:rPr>
        <w:t>below</w:t>
      </w:r>
      <w:r>
        <w:rPr>
          <w:spacing w:val="-3"/>
          <w:sz w:val="22"/>
        </w:rPr>
        <w:t> </w:t>
      </w:r>
      <w:r>
        <w:rPr>
          <w:sz w:val="22"/>
        </w:rPr>
        <w:t>it</w:t>
      </w:r>
      <w:r>
        <w:rPr>
          <w:spacing w:val="-3"/>
          <w:sz w:val="22"/>
        </w:rPr>
        <w:t> </w:t>
      </w:r>
      <w:r>
        <w:rPr>
          <w:sz w:val="22"/>
        </w:rPr>
        <w:t>(Fig</w:t>
      </w:r>
      <w:r>
        <w:rPr>
          <w:spacing w:val="-6"/>
          <w:sz w:val="22"/>
        </w:rPr>
        <w:t> </w:t>
      </w:r>
      <w:r>
        <w:rPr>
          <w:sz w:val="22"/>
        </w:rPr>
        <w:t>4-</w:t>
      </w:r>
      <w:r>
        <w:rPr>
          <w:spacing w:val="-5"/>
          <w:sz w:val="22"/>
        </w:rPr>
        <w:t>5).</w:t>
      </w:r>
    </w:p>
    <w:p>
      <w:pPr>
        <w:pStyle w:val="BodyText"/>
        <w:spacing w:before="9"/>
        <w:rPr>
          <w:sz w:val="19"/>
        </w:rPr>
      </w:pPr>
    </w:p>
    <w:p>
      <w:pPr>
        <w:pStyle w:val="Heading2"/>
        <w:ind w:left="338"/>
      </w:pPr>
      <w:r>
        <w:rPr/>
        <w:t>Point</w:t>
      </w:r>
      <w:r>
        <w:rPr>
          <w:spacing w:val="-4"/>
        </w:rPr>
        <w:t> </w:t>
      </w:r>
      <w:r>
        <w:rPr/>
        <w:t>Source</w:t>
      </w:r>
      <w:r>
        <w:rPr>
          <w:spacing w:val="-6"/>
        </w:rPr>
        <w:t> </w:t>
      </w:r>
      <w:r>
        <w:rPr/>
        <w:t>cannot</w:t>
      </w:r>
      <w:r>
        <w:rPr>
          <w:spacing w:val="-3"/>
        </w:rPr>
        <w:t> </w:t>
      </w:r>
      <w:r>
        <w:rPr/>
        <w:t>change</w:t>
      </w:r>
      <w:r>
        <w:rPr>
          <w:spacing w:val="-5"/>
        </w:rPr>
        <w:t> </w:t>
      </w:r>
      <w:r>
        <w:rPr/>
        <w:t>the</w:t>
      </w:r>
      <w:r>
        <w:rPr>
          <w:spacing w:val="-3"/>
        </w:rPr>
        <w:t> </w:t>
      </w:r>
      <w:r>
        <w:rPr/>
        <w:t>Bridgewater</w:t>
      </w:r>
      <w:r>
        <w:rPr>
          <w:spacing w:val="-5"/>
        </w:rPr>
        <w:t> </w:t>
      </w:r>
      <w:r>
        <w:rPr/>
        <w:t>work</w:t>
      </w:r>
      <w:r>
        <w:rPr>
          <w:spacing w:val="-3"/>
        </w:rPr>
        <w:t> </w:t>
      </w:r>
      <w:r>
        <w:rPr>
          <w:spacing w:val="-2"/>
        </w:rPr>
        <w:t>product.</w:t>
      </w:r>
    </w:p>
    <w:p>
      <w:pPr>
        <w:pStyle w:val="BodyText"/>
        <w:rPr>
          <w:b/>
          <w:sz w:val="19"/>
        </w:rPr>
      </w:pPr>
    </w:p>
    <w:p>
      <w:pPr>
        <w:pStyle w:val="ListParagraph"/>
        <w:numPr>
          <w:ilvl w:val="0"/>
          <w:numId w:val="2"/>
        </w:numPr>
        <w:tabs>
          <w:tab w:pos="471" w:val="left" w:leader="none"/>
        </w:tabs>
        <w:spacing w:line="240" w:lineRule="auto" w:before="0" w:after="0"/>
        <w:ind w:left="470" w:right="0" w:hanging="133"/>
        <w:jc w:val="left"/>
        <w:rPr>
          <w:rFonts w:ascii="Times New Roman" w:hAnsi="Times New Roman"/>
          <w:sz w:val="22"/>
        </w:rPr>
      </w:pPr>
      <w:r>
        <w:rPr>
          <w:sz w:val="22"/>
        </w:rPr>
        <w:t>Please</w:t>
      </w:r>
      <w:r>
        <w:rPr>
          <w:spacing w:val="-4"/>
          <w:sz w:val="22"/>
        </w:rPr>
        <w:t> </w:t>
      </w:r>
      <w:r>
        <w:rPr>
          <w:sz w:val="22"/>
        </w:rPr>
        <w:t>note</w:t>
      </w:r>
      <w:r>
        <w:rPr>
          <w:spacing w:val="-2"/>
          <w:sz w:val="22"/>
        </w:rPr>
        <w:t> </w:t>
      </w:r>
      <w:r>
        <w:rPr>
          <w:sz w:val="22"/>
        </w:rPr>
        <w:t>if</w:t>
      </w:r>
      <w:r>
        <w:rPr>
          <w:spacing w:val="-6"/>
          <w:sz w:val="22"/>
        </w:rPr>
        <w:t> </w:t>
      </w:r>
      <w:r>
        <w:rPr>
          <w:sz w:val="22"/>
        </w:rPr>
        <w:t>analytical</w:t>
      </w:r>
      <w:r>
        <w:rPr>
          <w:spacing w:val="-2"/>
          <w:sz w:val="22"/>
        </w:rPr>
        <w:t> </w:t>
      </w:r>
      <w:r>
        <w:rPr>
          <w:sz w:val="22"/>
        </w:rPr>
        <w:t>lab</w:t>
      </w:r>
      <w:r>
        <w:rPr>
          <w:spacing w:val="-4"/>
          <w:sz w:val="22"/>
        </w:rPr>
        <w:t> </w:t>
      </w:r>
      <w:r>
        <w:rPr>
          <w:sz w:val="22"/>
        </w:rPr>
        <w:t>data</w:t>
      </w:r>
      <w:r>
        <w:rPr>
          <w:spacing w:val="-3"/>
          <w:sz w:val="22"/>
        </w:rPr>
        <w:t> </w:t>
      </w:r>
      <w:r>
        <w:rPr>
          <w:sz w:val="22"/>
        </w:rPr>
        <w:t>flagged</w:t>
      </w:r>
      <w:r>
        <w:rPr>
          <w:spacing w:val="-3"/>
          <w:sz w:val="22"/>
        </w:rPr>
        <w:t> </w:t>
      </w:r>
      <w:r>
        <w:rPr>
          <w:sz w:val="22"/>
        </w:rPr>
        <w:t>with</w:t>
      </w:r>
      <w:r>
        <w:rPr>
          <w:spacing w:val="-4"/>
          <w:sz w:val="22"/>
        </w:rPr>
        <w:t> </w:t>
      </w:r>
      <w:r>
        <w:rPr>
          <w:sz w:val="22"/>
        </w:rPr>
        <w:t>a</w:t>
      </w:r>
      <w:r>
        <w:rPr>
          <w:spacing w:val="-3"/>
          <w:sz w:val="22"/>
        </w:rPr>
        <w:t> </w:t>
      </w:r>
      <w:r>
        <w:rPr>
          <w:sz w:val="22"/>
        </w:rPr>
        <w:t>U</w:t>
      </w:r>
      <w:r>
        <w:rPr>
          <w:spacing w:val="-4"/>
          <w:sz w:val="22"/>
        </w:rPr>
        <w:t> </w:t>
      </w:r>
      <w:r>
        <w:rPr>
          <w:sz w:val="22"/>
        </w:rPr>
        <w:t>is</w:t>
      </w:r>
      <w:r>
        <w:rPr>
          <w:spacing w:val="-3"/>
          <w:sz w:val="22"/>
        </w:rPr>
        <w:t> </w:t>
      </w:r>
      <w:r>
        <w:rPr>
          <w:sz w:val="22"/>
        </w:rPr>
        <w:t>above</w:t>
      </w:r>
      <w:r>
        <w:rPr>
          <w:spacing w:val="-5"/>
          <w:sz w:val="22"/>
        </w:rPr>
        <w:t> </w:t>
      </w:r>
      <w:r>
        <w:rPr>
          <w:sz w:val="22"/>
        </w:rPr>
        <w:t>the</w:t>
      </w:r>
      <w:r>
        <w:rPr>
          <w:spacing w:val="-4"/>
          <w:sz w:val="22"/>
        </w:rPr>
        <w:t> </w:t>
      </w:r>
      <w:r>
        <w:rPr>
          <w:sz w:val="22"/>
        </w:rPr>
        <w:t>screening</w:t>
      </w:r>
      <w:r>
        <w:rPr>
          <w:spacing w:val="-4"/>
          <w:sz w:val="22"/>
        </w:rPr>
        <w:t> </w:t>
      </w:r>
      <w:r>
        <w:rPr>
          <w:sz w:val="22"/>
        </w:rPr>
        <w:t>limit</w:t>
      </w:r>
      <w:r>
        <w:rPr>
          <w:spacing w:val="-5"/>
          <w:sz w:val="22"/>
        </w:rPr>
        <w:t> </w:t>
      </w:r>
      <w:r>
        <w:rPr>
          <w:sz w:val="22"/>
        </w:rPr>
        <w:t>(e.g.,</w:t>
      </w:r>
      <w:r>
        <w:rPr>
          <w:spacing w:val="-2"/>
          <w:sz w:val="22"/>
        </w:rPr>
        <w:t> </w:t>
      </w:r>
      <w:r>
        <w:rPr>
          <w:sz w:val="22"/>
        </w:rPr>
        <w:t>PCBs,</w:t>
      </w:r>
      <w:r>
        <w:rPr>
          <w:spacing w:val="-5"/>
          <w:sz w:val="22"/>
        </w:rPr>
        <w:t> </w:t>
      </w:r>
      <w:r>
        <w:rPr>
          <w:sz w:val="22"/>
        </w:rPr>
        <w:t>TPHs</w:t>
      </w:r>
      <w:r>
        <w:rPr>
          <w:spacing w:val="-3"/>
          <w:sz w:val="22"/>
        </w:rPr>
        <w:t> </w:t>
      </w:r>
      <w:r>
        <w:rPr>
          <w:sz w:val="22"/>
        </w:rPr>
        <w:t>in</w:t>
      </w:r>
      <w:r>
        <w:rPr>
          <w:spacing w:val="-3"/>
          <w:sz w:val="22"/>
        </w:rPr>
        <w:t> </w:t>
      </w:r>
      <w:r>
        <w:rPr>
          <w:spacing w:val="-5"/>
          <w:sz w:val="22"/>
        </w:rPr>
        <w:t>GW)</w:t>
      </w:r>
    </w:p>
    <w:p>
      <w:pPr>
        <w:pStyle w:val="BodyText"/>
        <w:rPr>
          <w:sz w:val="19"/>
        </w:rPr>
      </w:pPr>
    </w:p>
    <w:p>
      <w:pPr>
        <w:pStyle w:val="Heading2"/>
        <w:ind w:left="338" w:right="156"/>
      </w:pPr>
      <w:r>
        <w:rPr/>
        <w:t>We</w:t>
      </w:r>
      <w:r>
        <w:rPr>
          <w:spacing w:val="-2"/>
        </w:rPr>
        <w:t> </w:t>
      </w:r>
      <w:r>
        <w:rPr/>
        <w:t>will try</w:t>
      </w:r>
      <w:r>
        <w:rPr>
          <w:spacing w:val="-2"/>
        </w:rPr>
        <w:t> </w:t>
      </w:r>
      <w:r>
        <w:rPr/>
        <w:t>to</w:t>
      </w:r>
      <w:r>
        <w:rPr>
          <w:spacing w:val="-2"/>
        </w:rPr>
        <w:t> </w:t>
      </w:r>
      <w:r>
        <w:rPr/>
        <w:t>confirm, however</w:t>
      </w:r>
      <w:r>
        <w:rPr>
          <w:spacing w:val="-3"/>
        </w:rPr>
        <w:t> </w:t>
      </w:r>
      <w:r>
        <w:rPr/>
        <w:t>this data</w:t>
      </w:r>
      <w:r>
        <w:rPr>
          <w:spacing w:val="-4"/>
        </w:rPr>
        <w:t> </w:t>
      </w:r>
      <w:r>
        <w:rPr/>
        <w:t>is part</w:t>
      </w:r>
      <w:r>
        <w:rPr>
          <w:spacing w:val="-1"/>
        </w:rPr>
        <w:t> </w:t>
      </w:r>
      <w:r>
        <w:rPr/>
        <w:t>of</w:t>
      </w:r>
      <w:r>
        <w:rPr>
          <w:spacing w:val="-1"/>
        </w:rPr>
        <w:t> </w:t>
      </w:r>
      <w:r>
        <w:rPr/>
        <w:t>the</w:t>
      </w:r>
      <w:r>
        <w:rPr>
          <w:spacing w:val="-1"/>
        </w:rPr>
        <w:t> </w:t>
      </w:r>
      <w:r>
        <w:rPr/>
        <w:t>Bridgewater</w:t>
      </w:r>
      <w:r>
        <w:rPr>
          <w:spacing w:val="-3"/>
        </w:rPr>
        <w:t> </w:t>
      </w:r>
      <w:r>
        <w:rPr/>
        <w:t>work</w:t>
      </w:r>
      <w:r>
        <w:rPr>
          <w:spacing w:val="-1"/>
        </w:rPr>
        <w:t> </w:t>
      </w:r>
      <w:r>
        <w:rPr/>
        <w:t>product.</w:t>
      </w:r>
      <w:r>
        <w:rPr>
          <w:spacing w:val="40"/>
        </w:rPr>
        <w:t> </w:t>
      </w:r>
      <w:r>
        <w:rPr/>
        <w:t>At</w:t>
      </w:r>
      <w:r>
        <w:rPr>
          <w:spacing w:val="-3"/>
        </w:rPr>
        <w:t> </w:t>
      </w:r>
      <w:r>
        <w:rPr/>
        <w:t>least</w:t>
      </w:r>
      <w:r>
        <w:rPr>
          <w:spacing w:val="-3"/>
        </w:rPr>
        <w:t> </w:t>
      </w:r>
      <w:r>
        <w:rPr/>
        <w:t>we</w:t>
      </w:r>
      <w:r>
        <w:rPr>
          <w:spacing w:val="-2"/>
        </w:rPr>
        <w:t> </w:t>
      </w:r>
      <w:r>
        <w:rPr/>
        <w:t>think</w:t>
      </w:r>
      <w:r>
        <w:rPr>
          <w:spacing w:val="-1"/>
        </w:rPr>
        <w:t> </w:t>
      </w:r>
      <w:r>
        <w:rPr/>
        <w:t>this</w:t>
      </w:r>
      <w:r>
        <w:rPr>
          <w:spacing w:val="-3"/>
        </w:rPr>
        <w:t> </w:t>
      </w:r>
      <w:r>
        <w:rPr/>
        <w:t>is what DEQ is referring to.</w:t>
      </w:r>
    </w:p>
    <w:p>
      <w:pPr>
        <w:pStyle w:val="BodyText"/>
        <w:rPr>
          <w:b/>
          <w:sz w:val="19"/>
        </w:rPr>
      </w:pPr>
    </w:p>
    <w:p>
      <w:pPr>
        <w:pStyle w:val="ListParagraph"/>
        <w:numPr>
          <w:ilvl w:val="0"/>
          <w:numId w:val="2"/>
        </w:numPr>
        <w:tabs>
          <w:tab w:pos="558" w:val="left" w:leader="none"/>
        </w:tabs>
        <w:spacing w:line="240" w:lineRule="auto" w:before="1" w:after="0"/>
        <w:ind w:left="525" w:right="158" w:hanging="187"/>
        <w:jc w:val="left"/>
        <w:rPr>
          <w:sz w:val="22"/>
        </w:rPr>
      </w:pPr>
      <w:r>
        <w:rPr>
          <w:sz w:val="22"/>
        </w:rPr>
        <w:t>Please</w:t>
      </w:r>
      <w:r>
        <w:rPr>
          <w:spacing w:val="40"/>
          <w:sz w:val="22"/>
        </w:rPr>
        <w:t> </w:t>
      </w:r>
      <w:r>
        <w:rPr>
          <w:sz w:val="22"/>
        </w:rPr>
        <w:t>provide</w:t>
      </w:r>
      <w:r>
        <w:rPr>
          <w:spacing w:val="40"/>
          <w:sz w:val="22"/>
        </w:rPr>
        <w:t> </w:t>
      </w:r>
      <w:r>
        <w:rPr>
          <w:sz w:val="22"/>
        </w:rPr>
        <w:t>the</w:t>
      </w:r>
      <w:r>
        <w:rPr>
          <w:spacing w:val="40"/>
          <w:sz w:val="22"/>
        </w:rPr>
        <w:t> </w:t>
      </w:r>
      <w:r>
        <w:rPr>
          <w:sz w:val="22"/>
        </w:rPr>
        <w:t>management</w:t>
      </w:r>
      <w:r>
        <w:rPr>
          <w:spacing w:val="40"/>
          <w:sz w:val="22"/>
        </w:rPr>
        <w:t> </w:t>
      </w:r>
      <w:r>
        <w:rPr>
          <w:sz w:val="22"/>
        </w:rPr>
        <w:t>of</w:t>
      </w:r>
      <w:r>
        <w:rPr>
          <w:spacing w:val="40"/>
          <w:sz w:val="22"/>
        </w:rPr>
        <w:t> </w:t>
      </w:r>
      <w:r>
        <w:rPr>
          <w:sz w:val="22"/>
        </w:rPr>
        <w:t>existing</w:t>
      </w:r>
      <w:r>
        <w:rPr>
          <w:spacing w:val="40"/>
          <w:sz w:val="22"/>
        </w:rPr>
        <w:t> </w:t>
      </w:r>
      <w:r>
        <w:rPr>
          <w:sz w:val="22"/>
        </w:rPr>
        <w:t>asbestos-containing</w:t>
      </w:r>
      <w:r>
        <w:rPr>
          <w:spacing w:val="40"/>
          <w:sz w:val="22"/>
        </w:rPr>
        <w:t> </w:t>
      </w:r>
      <w:r>
        <w:rPr>
          <w:sz w:val="22"/>
        </w:rPr>
        <w:t>materials</w:t>
      </w:r>
      <w:r>
        <w:rPr>
          <w:spacing w:val="40"/>
          <w:sz w:val="22"/>
        </w:rPr>
        <w:t> </w:t>
      </w:r>
      <w:r>
        <w:rPr>
          <w:sz w:val="22"/>
        </w:rPr>
        <w:t>and</w:t>
      </w:r>
      <w:r>
        <w:rPr>
          <w:spacing w:val="40"/>
          <w:sz w:val="22"/>
        </w:rPr>
        <w:t> </w:t>
      </w:r>
      <w:r>
        <w:rPr>
          <w:sz w:val="22"/>
        </w:rPr>
        <w:t>disposal</w:t>
      </w:r>
      <w:r>
        <w:rPr>
          <w:spacing w:val="40"/>
          <w:sz w:val="22"/>
        </w:rPr>
        <w:t> </w:t>
      </w:r>
      <w:r>
        <w:rPr>
          <w:sz w:val="22"/>
        </w:rPr>
        <w:t>of</w:t>
      </w:r>
      <w:r>
        <w:rPr>
          <w:spacing w:val="40"/>
          <w:sz w:val="22"/>
        </w:rPr>
        <w:t> </w:t>
      </w:r>
      <w:r>
        <w:rPr>
          <w:sz w:val="22"/>
        </w:rPr>
        <w:t>asbestos- containing materials.</w:t>
      </w:r>
    </w:p>
    <w:p>
      <w:pPr>
        <w:pStyle w:val="BodyText"/>
        <w:rPr>
          <w:sz w:val="19"/>
        </w:rPr>
      </w:pPr>
    </w:p>
    <w:p>
      <w:pPr>
        <w:pStyle w:val="Heading2"/>
        <w:ind w:left="338" w:right="154"/>
      </w:pPr>
      <w:r>
        <w:rPr/>
        <w:t>With the exception of the roof on Building 4 which is still in use all other asbestos was removed under the ESCO/Bridgewater demolition under permit with the appropriate DEQ program.</w:t>
      </w:r>
      <w:r>
        <w:rPr>
          <w:spacing w:val="40"/>
        </w:rPr>
        <w:t> </w:t>
      </w:r>
      <w:r>
        <w:rPr/>
        <w:t>Point Source will try to provide documentation submitted to DEQ.</w:t>
      </w:r>
    </w:p>
    <w:p>
      <w:pPr>
        <w:pStyle w:val="BodyText"/>
        <w:spacing w:before="6"/>
        <w:rPr>
          <w:b/>
          <w:sz w:val="19"/>
        </w:rPr>
      </w:pPr>
    </w:p>
    <w:p>
      <w:pPr>
        <w:pStyle w:val="ListParagraph"/>
        <w:numPr>
          <w:ilvl w:val="0"/>
          <w:numId w:val="2"/>
        </w:numPr>
        <w:tabs>
          <w:tab w:pos="500" w:val="left" w:leader="none"/>
        </w:tabs>
        <w:spacing w:line="240" w:lineRule="auto" w:before="0" w:after="0"/>
        <w:ind w:left="499" w:right="0" w:hanging="162"/>
        <w:jc w:val="left"/>
        <w:rPr>
          <w:sz w:val="22"/>
        </w:rPr>
      </w:pPr>
      <w:r>
        <w:rPr>
          <w:sz w:val="22"/>
        </w:rPr>
        <w:t>Please</w:t>
      </w:r>
      <w:r>
        <w:rPr>
          <w:spacing w:val="-7"/>
          <w:sz w:val="22"/>
        </w:rPr>
        <w:t> </w:t>
      </w:r>
      <w:r>
        <w:rPr>
          <w:sz w:val="22"/>
        </w:rPr>
        <w:t>provide</w:t>
      </w:r>
      <w:r>
        <w:rPr>
          <w:spacing w:val="-2"/>
          <w:sz w:val="22"/>
        </w:rPr>
        <w:t> </w:t>
      </w:r>
      <w:r>
        <w:rPr>
          <w:sz w:val="22"/>
        </w:rPr>
        <w:t>details</w:t>
      </w:r>
      <w:r>
        <w:rPr>
          <w:spacing w:val="-4"/>
          <w:sz w:val="22"/>
        </w:rPr>
        <w:t> </w:t>
      </w:r>
      <w:r>
        <w:rPr>
          <w:sz w:val="22"/>
        </w:rPr>
        <w:t>on</w:t>
      </w:r>
      <w:r>
        <w:rPr>
          <w:spacing w:val="-6"/>
          <w:sz w:val="22"/>
        </w:rPr>
        <w:t> </w:t>
      </w:r>
      <w:r>
        <w:rPr>
          <w:sz w:val="22"/>
        </w:rPr>
        <w:t>the</w:t>
      </w:r>
      <w:r>
        <w:rPr>
          <w:spacing w:val="-2"/>
          <w:sz w:val="22"/>
        </w:rPr>
        <w:t> </w:t>
      </w:r>
      <w:r>
        <w:rPr>
          <w:sz w:val="22"/>
        </w:rPr>
        <w:t>nature</w:t>
      </w:r>
      <w:r>
        <w:rPr>
          <w:spacing w:val="-4"/>
          <w:sz w:val="22"/>
        </w:rPr>
        <w:t> </w:t>
      </w:r>
      <w:r>
        <w:rPr>
          <w:sz w:val="22"/>
        </w:rPr>
        <w:t>and</w:t>
      </w:r>
      <w:r>
        <w:rPr>
          <w:spacing w:val="-4"/>
          <w:sz w:val="22"/>
        </w:rPr>
        <w:t> </w:t>
      </w:r>
      <w:r>
        <w:rPr>
          <w:sz w:val="22"/>
        </w:rPr>
        <w:t>extent</w:t>
      </w:r>
      <w:r>
        <w:rPr>
          <w:spacing w:val="-5"/>
          <w:sz w:val="22"/>
        </w:rPr>
        <w:t> </w:t>
      </w:r>
      <w:r>
        <w:rPr>
          <w:sz w:val="22"/>
        </w:rPr>
        <w:t>of</w:t>
      </w:r>
      <w:r>
        <w:rPr>
          <w:spacing w:val="-4"/>
          <w:sz w:val="22"/>
        </w:rPr>
        <w:t> </w:t>
      </w:r>
      <w:r>
        <w:rPr>
          <w:sz w:val="22"/>
        </w:rPr>
        <w:t>chromite</w:t>
      </w:r>
      <w:r>
        <w:rPr>
          <w:spacing w:val="-5"/>
          <w:sz w:val="22"/>
        </w:rPr>
        <w:t> </w:t>
      </w:r>
      <w:r>
        <w:rPr>
          <w:sz w:val="22"/>
        </w:rPr>
        <w:t>sands</w:t>
      </w:r>
      <w:r>
        <w:rPr>
          <w:spacing w:val="-2"/>
          <w:sz w:val="22"/>
        </w:rPr>
        <w:t> </w:t>
      </w:r>
      <w:r>
        <w:rPr>
          <w:sz w:val="22"/>
        </w:rPr>
        <w:t>and</w:t>
      </w:r>
      <w:r>
        <w:rPr>
          <w:spacing w:val="-4"/>
          <w:sz w:val="22"/>
        </w:rPr>
        <w:t> </w:t>
      </w:r>
      <w:r>
        <w:rPr>
          <w:sz w:val="22"/>
        </w:rPr>
        <w:t>disposal</w:t>
      </w:r>
      <w:r>
        <w:rPr>
          <w:spacing w:val="-7"/>
          <w:sz w:val="22"/>
        </w:rPr>
        <w:t> </w:t>
      </w:r>
      <w:r>
        <w:rPr>
          <w:spacing w:val="-2"/>
          <w:sz w:val="22"/>
        </w:rPr>
        <w:t>documentation.</w:t>
      </w:r>
    </w:p>
    <w:p>
      <w:pPr>
        <w:pStyle w:val="BodyText"/>
        <w:spacing w:before="4"/>
        <w:rPr>
          <w:sz w:val="17"/>
        </w:rPr>
      </w:pPr>
      <w:r>
        <w:rPr/>
        <w:pict>
          <v:shape style="position:absolute;margin-left:60.413326pt;margin-top:11.775976pt;width:500.05pt;height:27.55pt;mso-position-horizontal-relative:page;mso-position-vertical-relative:paragraph;z-index:-15719936;mso-wrap-distance-left:0;mso-wrap-distance-right:0" type="#_x0000_t202" id="docshape23" filled="true" fillcolor="#fde164" stroked="false">
            <v:textbox inset="0,0,0,0">
              <w:txbxContent>
                <w:p>
                  <w:pPr>
                    <w:spacing w:before="5"/>
                    <w:ind w:left="49" w:right="0" w:firstLine="0"/>
                    <w:jc w:val="left"/>
                    <w:rPr>
                      <w:b/>
                      <w:color w:val="000000"/>
                      <w:sz w:val="22"/>
                    </w:rPr>
                  </w:pPr>
                  <w:r>
                    <w:rPr>
                      <w:b/>
                      <w:color w:val="000000"/>
                      <w:sz w:val="22"/>
                    </w:rPr>
                    <w:t>Chromite sands located during the 1535-A1 demolition phase of the plant were screened for radiation and then profiled for disposal at Hillsboro Landfill.</w:t>
                  </w:r>
                  <w:r>
                    <w:rPr>
                      <w:b/>
                      <w:color w:val="000000"/>
                      <w:spacing w:val="40"/>
                      <w:sz w:val="22"/>
                    </w:rPr>
                    <w:t> </w:t>
                  </w:r>
                  <w:r>
                    <w:rPr>
                      <w:b/>
                      <w:color w:val="000000"/>
                      <w:sz w:val="22"/>
                    </w:rPr>
                    <w:t>We will provide documentation in the revised report.</w:t>
                  </w:r>
                </w:p>
              </w:txbxContent>
            </v:textbox>
            <v:fill opacity="26214f" type="solid"/>
            <w10:wrap type="topAndBottom"/>
          </v:shape>
        </w:pict>
      </w:r>
    </w:p>
    <w:sectPr>
      <w:pgSz w:w="12240" w:h="15840"/>
      <w:pgMar w:header="760" w:footer="1017" w:top="1880" w:bottom="1200" w:left="11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pict>
        <v:shape style="position:absolute;margin-left:549.479980pt;margin-top:730.159973pt;width:12.6pt;height:13.05pt;mso-position-horizontal-relative:page;mso-position-vertical-relative:page;z-index:-15901696" type="#_x0000_t202" id="docshape3" filled="false" stroked="false">
          <v:textbox inset="0,0,0,0">
            <w:txbxContent>
              <w:p>
                <w:pPr>
                  <w:spacing w:line="245" w:lineRule="exact" w:before="0"/>
                  <w:ind w:left="60" w:right="0" w:firstLine="0"/>
                  <w:jc w:val="left"/>
                  <w:rPr>
                    <w:b/>
                    <w:sz w:val="22"/>
                  </w:rPr>
                </w:pPr>
                <w:r>
                  <w:rPr>
                    <w:b/>
                    <w:w w:val="100"/>
                    <w:sz w:val="22"/>
                  </w:rPr>
                  <w:fldChar w:fldCharType="begin"/>
                </w:r>
                <w:r>
                  <w:rPr>
                    <w:b/>
                    <w:w w:val="100"/>
                    <w:sz w:val="22"/>
                  </w:rPr>
                  <w:instrText> PAGE </w:instrText>
                </w:r>
                <w:r>
                  <w:rPr>
                    <w:b/>
                    <w:w w:val="100"/>
                    <w:sz w:val="22"/>
                  </w:rPr>
                  <w:fldChar w:fldCharType="separate"/>
                </w:r>
                <w:r>
                  <w:rPr>
                    <w:b/>
                    <w:w w:val="100"/>
                    <w:sz w:val="22"/>
                  </w:rPr>
                  <w:t>1</w:t>
                </w:r>
                <w:r>
                  <w:rPr>
                    <w:b/>
                    <w:w w:val="100"/>
                    <w:sz w:val="22"/>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rPr>
        <w:sz w:val="20"/>
      </w:rPr>
    </w:pPr>
    <w:r>
      <w:rPr/>
      <w:drawing>
        <wp:anchor distT="0" distB="0" distL="0" distR="0" allowOverlap="1" layoutInCell="1" locked="0" behindDoc="1" simplePos="0" relativeHeight="487413248">
          <wp:simplePos x="0" y="0"/>
          <wp:positionH relativeFrom="page">
            <wp:posOffset>697230</wp:posOffset>
          </wp:positionH>
          <wp:positionV relativeFrom="page">
            <wp:posOffset>482600</wp:posOffset>
          </wp:positionV>
          <wp:extent cx="2793519" cy="59435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793519" cy="594359"/>
                  </a:xfrm>
                  <a:prstGeom prst="rect">
                    <a:avLst/>
                  </a:prstGeom>
                </pic:spPr>
              </pic:pic>
            </a:graphicData>
          </a:graphic>
        </wp:anchor>
      </w:drawing>
    </w:r>
    <w:r>
      <w:rPr/>
      <w:pict>
        <v:shape style="position:absolute;margin-left:48.720001pt;margin-top:86.879967pt;width:509.3pt;height:2.2pt;mso-position-horizontal-relative:page;mso-position-vertical-relative:page;z-index:-15902720" id="docshape1" coordorigin="974,1738" coordsize="10186,44" path="m11160,1738l6149,1738,6120,1738,6106,1738,974,1738,974,1781,6106,1781,6120,1781,6149,1781,11160,1781,11160,1738xe" filled="true" fillcolor="#000000" stroked="false">
          <v:path arrowok="t"/>
          <v:fill type="solid"/>
          <w10:wrap type="none"/>
        </v:shape>
      </w:pict>
    </w:r>
    <w:r>
      <w:rPr/>
      <w:pict>
        <v:shapetype id="_x0000_t202" o:spt="202" coordsize="21600,21600" path="m,l,21600r21600,l21600,xe">
          <v:stroke joinstyle="miter"/>
          <v:path gradientshapeok="t" o:connecttype="rect"/>
        </v:shapetype>
        <v:shape style="position:absolute;margin-left:457.282806pt;margin-top:56.090961pt;width:96.45pt;height:29.65pt;mso-position-horizontal-relative:page;mso-position-vertical-relative:page;z-index:-15902208" type="#_x0000_t202" id="docshape2" filled="false" stroked="false">
          <v:textbox inset="0,0,0,0">
            <w:txbxContent>
              <w:p>
                <w:pPr>
                  <w:spacing w:line="183" w:lineRule="exact" w:before="0"/>
                  <w:ind w:left="20" w:right="0" w:firstLine="0"/>
                  <w:jc w:val="left"/>
                  <w:rPr>
                    <w:b/>
                    <w:sz w:val="16"/>
                  </w:rPr>
                </w:pPr>
                <w:r>
                  <w:rPr>
                    <w:b/>
                    <w:sz w:val="16"/>
                  </w:rPr>
                  <w:t>5317</w:t>
                </w:r>
                <w:r>
                  <w:rPr>
                    <w:b/>
                    <w:spacing w:val="-3"/>
                    <w:sz w:val="16"/>
                  </w:rPr>
                  <w:t> </w:t>
                </w:r>
                <w:r>
                  <w:rPr>
                    <w:b/>
                    <w:sz w:val="16"/>
                  </w:rPr>
                  <w:t>NE</w:t>
                </w:r>
                <w:r>
                  <w:rPr>
                    <w:b/>
                    <w:spacing w:val="-3"/>
                    <w:sz w:val="16"/>
                  </w:rPr>
                  <w:t> </w:t>
                </w:r>
                <w:r>
                  <w:rPr>
                    <w:b/>
                    <w:sz w:val="16"/>
                  </w:rPr>
                  <w:t>St</w:t>
                </w:r>
                <w:r>
                  <w:rPr>
                    <w:b/>
                    <w:spacing w:val="-2"/>
                    <w:sz w:val="16"/>
                  </w:rPr>
                  <w:t> </w:t>
                </w:r>
                <w:r>
                  <w:rPr>
                    <w:b/>
                    <w:sz w:val="16"/>
                  </w:rPr>
                  <w:t>Johns</w:t>
                </w:r>
                <w:r>
                  <w:rPr>
                    <w:b/>
                    <w:spacing w:val="-4"/>
                    <w:sz w:val="16"/>
                  </w:rPr>
                  <w:t> </w:t>
                </w:r>
                <w:r>
                  <w:rPr>
                    <w:b/>
                    <w:sz w:val="16"/>
                  </w:rPr>
                  <w:t>Rd,</w:t>
                </w:r>
                <w:r>
                  <w:rPr>
                    <w:b/>
                    <w:spacing w:val="-2"/>
                    <w:sz w:val="16"/>
                  </w:rPr>
                  <w:t> </w:t>
                </w:r>
                <w:r>
                  <w:rPr>
                    <w:b/>
                    <w:sz w:val="16"/>
                  </w:rPr>
                  <w:t>Suite</w:t>
                </w:r>
                <w:r>
                  <w:rPr>
                    <w:b/>
                    <w:spacing w:val="-1"/>
                    <w:sz w:val="16"/>
                  </w:rPr>
                  <w:t> </w:t>
                </w:r>
                <w:r>
                  <w:rPr>
                    <w:b/>
                    <w:spacing w:val="-10"/>
                    <w:sz w:val="16"/>
                  </w:rPr>
                  <w:t>D</w:t>
                </w:r>
              </w:p>
              <w:p>
                <w:pPr>
                  <w:spacing w:line="195" w:lineRule="exact" w:before="0"/>
                  <w:ind w:left="0" w:right="18" w:firstLine="0"/>
                  <w:jc w:val="right"/>
                  <w:rPr>
                    <w:b/>
                    <w:sz w:val="16"/>
                  </w:rPr>
                </w:pPr>
                <w:r>
                  <w:rPr>
                    <w:b/>
                    <w:sz w:val="16"/>
                  </w:rPr>
                  <w:t>Vancouver,</w:t>
                </w:r>
                <w:r>
                  <w:rPr>
                    <w:b/>
                    <w:spacing w:val="-6"/>
                    <w:sz w:val="16"/>
                  </w:rPr>
                  <w:t> </w:t>
                </w:r>
                <w:r>
                  <w:rPr>
                    <w:b/>
                    <w:sz w:val="16"/>
                  </w:rPr>
                  <w:t>WA</w:t>
                </w:r>
                <w:r>
                  <w:rPr>
                    <w:b/>
                    <w:spacing w:val="-5"/>
                    <w:sz w:val="16"/>
                  </w:rPr>
                  <w:t> </w:t>
                </w:r>
                <w:r>
                  <w:rPr>
                    <w:b/>
                    <w:spacing w:val="-4"/>
                    <w:sz w:val="16"/>
                  </w:rPr>
                  <w:t>98661</w:t>
                </w:r>
              </w:p>
              <w:p>
                <w:pPr>
                  <w:spacing w:before="1"/>
                  <w:ind w:left="0" w:right="18" w:firstLine="0"/>
                  <w:jc w:val="right"/>
                  <w:rPr>
                    <w:b/>
                    <w:sz w:val="16"/>
                  </w:rPr>
                </w:pPr>
                <w:r>
                  <w:rPr>
                    <w:b/>
                    <w:spacing w:val="-2"/>
                    <w:sz w:val="16"/>
                  </w:rPr>
                  <w:t>503.236.5885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19" w:hanging="171"/>
      </w:pPr>
      <w:rPr>
        <w:rFonts w:hint="default" w:ascii="Calibri" w:hAnsi="Calibri" w:eastAsia="Calibri" w:cs="Calibri"/>
        <w:w w:val="100"/>
        <w:lang w:val="en-US" w:eastAsia="en-US" w:bidi="ar-SA"/>
      </w:rPr>
    </w:lvl>
    <w:lvl w:ilvl="1">
      <w:start w:val="0"/>
      <w:numFmt w:val="bullet"/>
      <w:lvlText w:val="•"/>
      <w:lvlJc w:val="left"/>
      <w:pPr>
        <w:ind w:left="1490" w:hanging="171"/>
      </w:pPr>
      <w:rPr>
        <w:rFonts w:hint="default"/>
        <w:lang w:val="en-US" w:eastAsia="en-US" w:bidi="ar-SA"/>
      </w:rPr>
    </w:lvl>
    <w:lvl w:ilvl="2">
      <w:start w:val="0"/>
      <w:numFmt w:val="bullet"/>
      <w:lvlText w:val="•"/>
      <w:lvlJc w:val="left"/>
      <w:pPr>
        <w:ind w:left="2460" w:hanging="171"/>
      </w:pPr>
      <w:rPr>
        <w:rFonts w:hint="default"/>
        <w:lang w:val="en-US" w:eastAsia="en-US" w:bidi="ar-SA"/>
      </w:rPr>
    </w:lvl>
    <w:lvl w:ilvl="3">
      <w:start w:val="0"/>
      <w:numFmt w:val="bullet"/>
      <w:lvlText w:val="•"/>
      <w:lvlJc w:val="left"/>
      <w:pPr>
        <w:ind w:left="3430" w:hanging="171"/>
      </w:pPr>
      <w:rPr>
        <w:rFonts w:hint="default"/>
        <w:lang w:val="en-US" w:eastAsia="en-US" w:bidi="ar-SA"/>
      </w:rPr>
    </w:lvl>
    <w:lvl w:ilvl="4">
      <w:start w:val="0"/>
      <w:numFmt w:val="bullet"/>
      <w:lvlText w:val="•"/>
      <w:lvlJc w:val="left"/>
      <w:pPr>
        <w:ind w:left="4400" w:hanging="171"/>
      </w:pPr>
      <w:rPr>
        <w:rFonts w:hint="default"/>
        <w:lang w:val="en-US" w:eastAsia="en-US" w:bidi="ar-SA"/>
      </w:rPr>
    </w:lvl>
    <w:lvl w:ilvl="5">
      <w:start w:val="0"/>
      <w:numFmt w:val="bullet"/>
      <w:lvlText w:val="•"/>
      <w:lvlJc w:val="left"/>
      <w:pPr>
        <w:ind w:left="5370" w:hanging="171"/>
      </w:pPr>
      <w:rPr>
        <w:rFonts w:hint="default"/>
        <w:lang w:val="en-US" w:eastAsia="en-US" w:bidi="ar-SA"/>
      </w:rPr>
    </w:lvl>
    <w:lvl w:ilvl="6">
      <w:start w:val="0"/>
      <w:numFmt w:val="bullet"/>
      <w:lvlText w:val="•"/>
      <w:lvlJc w:val="left"/>
      <w:pPr>
        <w:ind w:left="6340" w:hanging="171"/>
      </w:pPr>
      <w:rPr>
        <w:rFonts w:hint="default"/>
        <w:lang w:val="en-US" w:eastAsia="en-US" w:bidi="ar-SA"/>
      </w:rPr>
    </w:lvl>
    <w:lvl w:ilvl="7">
      <w:start w:val="0"/>
      <w:numFmt w:val="bullet"/>
      <w:lvlText w:val="•"/>
      <w:lvlJc w:val="left"/>
      <w:pPr>
        <w:ind w:left="7310" w:hanging="171"/>
      </w:pPr>
      <w:rPr>
        <w:rFonts w:hint="default"/>
        <w:lang w:val="en-US" w:eastAsia="en-US" w:bidi="ar-SA"/>
      </w:rPr>
    </w:lvl>
    <w:lvl w:ilvl="8">
      <w:start w:val="0"/>
      <w:numFmt w:val="bullet"/>
      <w:lvlText w:val="•"/>
      <w:lvlJc w:val="left"/>
      <w:pPr>
        <w:ind w:left="8280" w:hanging="171"/>
      </w:pPr>
      <w:rPr>
        <w:rFonts w:hint="default"/>
        <w:lang w:val="en-US" w:eastAsia="en-US" w:bidi="ar-SA"/>
      </w:rPr>
    </w:lvl>
  </w:abstractNum>
  <w:abstractNum w:abstractNumId="0">
    <w:multiLevelType w:val="hybridMultilevel"/>
    <w:lvl w:ilvl="0">
      <w:start w:val="1"/>
      <w:numFmt w:val="decimal"/>
      <w:lvlText w:val="%1."/>
      <w:lvlJc w:val="left"/>
      <w:pPr>
        <w:ind w:left="339" w:hanging="279"/>
        <w:jc w:val="left"/>
      </w:pPr>
      <w:rPr>
        <w:rFonts w:hint="default" w:ascii="Calibri" w:hAnsi="Calibri" w:eastAsia="Calibri" w:cs="Calibri"/>
        <w:b w:val="0"/>
        <w:bCs w:val="0"/>
        <w:i w:val="0"/>
        <w:iCs w:val="0"/>
        <w:w w:val="100"/>
        <w:sz w:val="22"/>
        <w:szCs w:val="22"/>
        <w:lang w:val="en-US" w:eastAsia="en-US" w:bidi="ar-SA"/>
      </w:rPr>
    </w:lvl>
    <w:lvl w:ilvl="1">
      <w:start w:val="0"/>
      <w:numFmt w:val="bullet"/>
      <w:lvlText w:val="•"/>
      <w:lvlJc w:val="left"/>
      <w:pPr>
        <w:ind w:left="1328" w:hanging="279"/>
      </w:pPr>
      <w:rPr>
        <w:rFonts w:hint="default"/>
        <w:lang w:val="en-US" w:eastAsia="en-US" w:bidi="ar-SA"/>
      </w:rPr>
    </w:lvl>
    <w:lvl w:ilvl="2">
      <w:start w:val="0"/>
      <w:numFmt w:val="bullet"/>
      <w:lvlText w:val="•"/>
      <w:lvlJc w:val="left"/>
      <w:pPr>
        <w:ind w:left="2316" w:hanging="279"/>
      </w:pPr>
      <w:rPr>
        <w:rFonts w:hint="default"/>
        <w:lang w:val="en-US" w:eastAsia="en-US" w:bidi="ar-SA"/>
      </w:rPr>
    </w:lvl>
    <w:lvl w:ilvl="3">
      <w:start w:val="0"/>
      <w:numFmt w:val="bullet"/>
      <w:lvlText w:val="•"/>
      <w:lvlJc w:val="left"/>
      <w:pPr>
        <w:ind w:left="3304" w:hanging="279"/>
      </w:pPr>
      <w:rPr>
        <w:rFonts w:hint="default"/>
        <w:lang w:val="en-US" w:eastAsia="en-US" w:bidi="ar-SA"/>
      </w:rPr>
    </w:lvl>
    <w:lvl w:ilvl="4">
      <w:start w:val="0"/>
      <w:numFmt w:val="bullet"/>
      <w:lvlText w:val="•"/>
      <w:lvlJc w:val="left"/>
      <w:pPr>
        <w:ind w:left="4292" w:hanging="279"/>
      </w:pPr>
      <w:rPr>
        <w:rFonts w:hint="default"/>
        <w:lang w:val="en-US" w:eastAsia="en-US" w:bidi="ar-SA"/>
      </w:rPr>
    </w:lvl>
    <w:lvl w:ilvl="5">
      <w:start w:val="0"/>
      <w:numFmt w:val="bullet"/>
      <w:lvlText w:val="•"/>
      <w:lvlJc w:val="left"/>
      <w:pPr>
        <w:ind w:left="5280" w:hanging="279"/>
      </w:pPr>
      <w:rPr>
        <w:rFonts w:hint="default"/>
        <w:lang w:val="en-US" w:eastAsia="en-US" w:bidi="ar-SA"/>
      </w:rPr>
    </w:lvl>
    <w:lvl w:ilvl="6">
      <w:start w:val="0"/>
      <w:numFmt w:val="bullet"/>
      <w:lvlText w:val="•"/>
      <w:lvlJc w:val="left"/>
      <w:pPr>
        <w:ind w:left="6268" w:hanging="279"/>
      </w:pPr>
      <w:rPr>
        <w:rFonts w:hint="default"/>
        <w:lang w:val="en-US" w:eastAsia="en-US" w:bidi="ar-SA"/>
      </w:rPr>
    </w:lvl>
    <w:lvl w:ilvl="7">
      <w:start w:val="0"/>
      <w:numFmt w:val="bullet"/>
      <w:lvlText w:val="•"/>
      <w:lvlJc w:val="left"/>
      <w:pPr>
        <w:ind w:left="7256" w:hanging="279"/>
      </w:pPr>
      <w:rPr>
        <w:rFonts w:hint="default"/>
        <w:lang w:val="en-US" w:eastAsia="en-US" w:bidi="ar-SA"/>
      </w:rPr>
    </w:lvl>
    <w:lvl w:ilvl="8">
      <w:start w:val="0"/>
      <w:numFmt w:val="bullet"/>
      <w:lvlText w:val="•"/>
      <w:lvlJc w:val="left"/>
      <w:pPr>
        <w:ind w:left="8244" w:hanging="279"/>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8"/>
    </w:pPr>
    <w:rPr>
      <w:rFonts w:ascii="Calibri" w:hAnsi="Calibri" w:eastAsia="Calibri" w:cs="Calibri"/>
      <w:sz w:val="22"/>
      <w:szCs w:val="22"/>
      <w:lang w:val="en-US" w:eastAsia="en-US" w:bidi="ar-SA"/>
    </w:rPr>
  </w:style>
  <w:style w:styleId="Heading1" w:type="paragraph">
    <w:name w:val="Heading 1"/>
    <w:basedOn w:val="Normal"/>
    <w:uiPriority w:val="1"/>
    <w:qFormat/>
    <w:pPr>
      <w:spacing w:before="5"/>
      <w:ind w:left="49"/>
      <w:outlineLvl w:val="1"/>
    </w:pPr>
    <w:rPr>
      <w:rFonts w:ascii="Calibri" w:hAnsi="Calibri" w:eastAsia="Calibri" w:cs="Calibri"/>
      <w:b/>
      <w:bCs/>
      <w:sz w:val="22"/>
      <w:szCs w:val="22"/>
      <w:lang w:val="en-US" w:eastAsia="en-US" w:bidi="ar-SA"/>
    </w:rPr>
  </w:style>
  <w:style w:styleId="Heading2" w:type="paragraph">
    <w:name w:val="Heading 2"/>
    <w:basedOn w:val="Normal"/>
    <w:uiPriority w:val="1"/>
    <w:qFormat/>
    <w:pPr>
      <w:ind w:left="339"/>
      <w:jc w:val="both"/>
      <w:outlineLvl w:val="2"/>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519" w:hanging="18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Hewlett-Packard Company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Cobb</dc:creator>
  <dcterms:created xsi:type="dcterms:W3CDTF">2023-04-17T22:31:24Z</dcterms:created>
  <dcterms:modified xsi:type="dcterms:W3CDTF">2023-04-17T22:31:24Z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Creator">
    <vt:lpwstr>Acrobat PDFMaker 15 for Word</vt:lpwstr>
  </property>
  <property fmtid="{D5CDD505-2E9C-101B-9397-08002B2CF9AE}" pid="4" name="LastSaved">
    <vt:filetime>2023-04-17T00:00:00Z</vt:filetime>
  </property>
  <property fmtid="{D5CDD505-2E9C-101B-9397-08002B2CF9AE}" pid="5" name="Producer">
    <vt:lpwstr>Adobe PDF Library 15.0</vt:lpwstr>
  </property>
  <property fmtid="{D5CDD505-2E9C-101B-9397-08002B2CF9AE}" pid="6" name="SourceModified">
    <vt:lpwstr>D:20220306202356</vt:lpwstr>
  </property>
</Properties>
</file>