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Pr="00B53634" w:rsidRDefault="000759FD" w:rsidP="0007130C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July 24, 2018</w:t>
      </w:r>
    </w:p>
    <w:p w:rsidR="0007130C" w:rsidRDefault="0007130C" w:rsidP="00E645A3">
      <w:pPr>
        <w:spacing w:line="264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9B1597" w:rsidRPr="00E35BE7" w:rsidTr="0041365C">
        <w:trPr>
          <w:trHeight w:val="1497"/>
        </w:trPr>
        <w:tc>
          <w:tcPr>
            <w:tcW w:w="4878" w:type="dxa"/>
            <w:shd w:val="clear" w:color="auto" w:fill="auto"/>
          </w:tcPr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Kurt Paschl</w:t>
            </w:r>
            <w:r>
              <w:rPr>
                <w:sz w:val="22"/>
                <w:szCs w:val="22"/>
              </w:rPr>
              <w:t xml:space="preserve">, </w:t>
            </w:r>
            <w:r w:rsidRPr="00E35BE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Pr="00E35BE7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</w:p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Beazer East</w:t>
            </w:r>
            <w:r>
              <w:rPr>
                <w:sz w:val="22"/>
                <w:szCs w:val="22"/>
              </w:rPr>
              <w:t xml:space="preserve"> </w:t>
            </w:r>
            <w:r w:rsidRPr="00E35BE7">
              <w:rPr>
                <w:sz w:val="22"/>
                <w:szCs w:val="22"/>
              </w:rPr>
              <w:t xml:space="preserve">Inc. </w:t>
            </w:r>
          </w:p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gramStart"/>
            <w:r w:rsidRPr="00E35BE7">
              <w:rPr>
                <w:sz w:val="22"/>
                <w:szCs w:val="22"/>
              </w:rPr>
              <w:t>c/o</w:t>
            </w:r>
            <w:proofErr w:type="gramEnd"/>
            <w:r w:rsidRPr="00E35BE7">
              <w:rPr>
                <w:sz w:val="22"/>
                <w:szCs w:val="22"/>
              </w:rPr>
              <w:t xml:space="preserve"> Three Rivers Management</w:t>
            </w:r>
            <w:r>
              <w:rPr>
                <w:sz w:val="22"/>
                <w:szCs w:val="22"/>
              </w:rPr>
              <w:t xml:space="preserve"> </w:t>
            </w:r>
            <w:r w:rsidRPr="00E35BE7">
              <w:rPr>
                <w:sz w:val="22"/>
                <w:szCs w:val="22"/>
              </w:rPr>
              <w:t xml:space="preserve">Inc. </w:t>
            </w:r>
          </w:p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1910 Cochran Road</w:t>
            </w:r>
            <w:r>
              <w:rPr>
                <w:sz w:val="22"/>
                <w:szCs w:val="22"/>
              </w:rPr>
              <w:t xml:space="preserve">, </w:t>
            </w:r>
            <w:r w:rsidRPr="00E35BE7">
              <w:rPr>
                <w:sz w:val="22"/>
                <w:szCs w:val="22"/>
              </w:rPr>
              <w:t>Manor Oak One</w:t>
            </w:r>
            <w:r>
              <w:rPr>
                <w:sz w:val="22"/>
                <w:szCs w:val="22"/>
              </w:rPr>
              <w:t xml:space="preserve">, </w:t>
            </w:r>
            <w:r w:rsidRPr="00E35BE7">
              <w:rPr>
                <w:sz w:val="22"/>
                <w:szCs w:val="22"/>
              </w:rPr>
              <w:t xml:space="preserve">Suite 200 </w:t>
            </w:r>
          </w:p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Pittsburgh</w:t>
            </w:r>
            <w:r>
              <w:rPr>
                <w:sz w:val="22"/>
                <w:szCs w:val="22"/>
              </w:rPr>
              <w:t xml:space="preserve">, </w:t>
            </w:r>
            <w:r w:rsidRPr="00E35BE7">
              <w:rPr>
                <w:sz w:val="22"/>
                <w:szCs w:val="22"/>
              </w:rPr>
              <w:t>PA 15220</w:t>
            </w:r>
          </w:p>
        </w:tc>
        <w:tc>
          <w:tcPr>
            <w:tcW w:w="4698" w:type="dxa"/>
            <w:shd w:val="clear" w:color="auto" w:fill="auto"/>
          </w:tcPr>
          <w:p w:rsidR="009B1597" w:rsidRPr="00E35BE7" w:rsidRDefault="009B1597" w:rsidP="00413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Hassett, P.E. </w:t>
            </w:r>
          </w:p>
          <w:p w:rsidR="009B1597" w:rsidRPr="00E35BE7" w:rsidRDefault="009B1597" w:rsidP="0041365C">
            <w:pPr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Senior Manager – Remediation</w:t>
            </w:r>
          </w:p>
          <w:p w:rsidR="009B1597" w:rsidRPr="00E35BE7" w:rsidRDefault="009B1597" w:rsidP="0041365C">
            <w:pPr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Georgia-Pacific LLC</w:t>
            </w:r>
          </w:p>
          <w:p w:rsidR="009B1597" w:rsidRPr="00E35BE7" w:rsidRDefault="009B1597" w:rsidP="0041365C">
            <w:pPr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133 Peachtree Street, NE</w:t>
            </w:r>
          </w:p>
          <w:p w:rsidR="009B1597" w:rsidRPr="00E35BE7" w:rsidRDefault="009B1597" w:rsidP="0041365C">
            <w:pPr>
              <w:rPr>
                <w:sz w:val="22"/>
                <w:szCs w:val="22"/>
              </w:rPr>
            </w:pPr>
            <w:r w:rsidRPr="00E35BE7">
              <w:rPr>
                <w:sz w:val="22"/>
                <w:szCs w:val="22"/>
              </w:rPr>
              <w:t>Atlanta, GA 30303</w:t>
            </w:r>
          </w:p>
          <w:p w:rsidR="009B1597" w:rsidRPr="00E35BE7" w:rsidRDefault="009B1597" w:rsidP="0041365C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</w:tbl>
    <w:p w:rsidR="009B1597" w:rsidRPr="00453011" w:rsidRDefault="009B1597" w:rsidP="009B1597">
      <w:pPr>
        <w:spacing w:line="264" w:lineRule="auto"/>
        <w:jc w:val="both"/>
        <w:rPr>
          <w:sz w:val="22"/>
          <w:szCs w:val="22"/>
        </w:rPr>
      </w:pPr>
    </w:p>
    <w:p w:rsidR="009B1597" w:rsidRDefault="009B1597" w:rsidP="009B1597">
      <w:pPr>
        <w:spacing w:line="264" w:lineRule="auto"/>
        <w:rPr>
          <w:b/>
          <w:sz w:val="22"/>
          <w:szCs w:val="22"/>
        </w:rPr>
      </w:pPr>
      <w:r w:rsidRPr="00453011">
        <w:rPr>
          <w:b/>
          <w:sz w:val="22"/>
          <w:szCs w:val="22"/>
        </w:rPr>
        <w:t>RE:</w:t>
      </w:r>
      <w:r w:rsidRPr="00453011">
        <w:rPr>
          <w:b/>
          <w:sz w:val="22"/>
          <w:szCs w:val="22"/>
        </w:rPr>
        <w:tab/>
      </w:r>
      <w:r w:rsidR="003C2D77">
        <w:rPr>
          <w:b/>
          <w:sz w:val="22"/>
          <w:szCs w:val="22"/>
        </w:rPr>
        <w:t>Review of three groundwater data and modeling documents</w:t>
      </w:r>
    </w:p>
    <w:p w:rsidR="009B1597" w:rsidRPr="00B14668" w:rsidRDefault="009B1597" w:rsidP="009B1597">
      <w:pPr>
        <w:spacing w:line="264" w:lineRule="auto"/>
        <w:rPr>
          <w:sz w:val="22"/>
          <w:szCs w:val="22"/>
        </w:rPr>
      </w:pPr>
      <w:r w:rsidRPr="00B14668">
        <w:rPr>
          <w:sz w:val="22"/>
          <w:szCs w:val="22"/>
        </w:rPr>
        <w:tab/>
        <w:t>Former Koppers Facility, Wauna, Oregon</w:t>
      </w:r>
    </w:p>
    <w:p w:rsidR="009B1597" w:rsidRPr="00453011" w:rsidRDefault="009B1597" w:rsidP="009B1597">
      <w:pPr>
        <w:spacing w:line="264" w:lineRule="auto"/>
        <w:ind w:firstLine="720"/>
        <w:rPr>
          <w:sz w:val="22"/>
          <w:szCs w:val="22"/>
        </w:rPr>
      </w:pPr>
      <w:r w:rsidRPr="00453011">
        <w:rPr>
          <w:sz w:val="22"/>
          <w:szCs w:val="22"/>
        </w:rPr>
        <w:t xml:space="preserve">ECSI No. </w:t>
      </w:r>
      <w:r>
        <w:rPr>
          <w:sz w:val="22"/>
          <w:szCs w:val="22"/>
        </w:rPr>
        <w:t>649</w:t>
      </w:r>
    </w:p>
    <w:p w:rsidR="009B1597" w:rsidRPr="00453011" w:rsidRDefault="009B1597" w:rsidP="009B1597">
      <w:pPr>
        <w:tabs>
          <w:tab w:val="left" w:pos="-1440"/>
          <w:tab w:val="left" w:pos="-720"/>
        </w:tabs>
        <w:suppressAutoHyphens/>
        <w:spacing w:line="264" w:lineRule="auto"/>
        <w:rPr>
          <w:sz w:val="22"/>
          <w:szCs w:val="22"/>
        </w:rPr>
      </w:pPr>
    </w:p>
    <w:p w:rsidR="009B1597" w:rsidRPr="00453011" w:rsidRDefault="009B1597" w:rsidP="009B1597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>Dear M</w:t>
      </w:r>
      <w:r>
        <w:rPr>
          <w:sz w:val="22"/>
          <w:szCs w:val="22"/>
        </w:rPr>
        <w:t>ess</w:t>
      </w:r>
      <w:r w:rsidRPr="00453011">
        <w:rPr>
          <w:sz w:val="22"/>
          <w:szCs w:val="22"/>
        </w:rPr>
        <w:t>r</w:t>
      </w:r>
      <w:r>
        <w:rPr>
          <w:sz w:val="22"/>
          <w:szCs w:val="22"/>
        </w:rPr>
        <w:t>s</w:t>
      </w:r>
      <w:r w:rsidRPr="00453011">
        <w:rPr>
          <w:sz w:val="22"/>
          <w:szCs w:val="22"/>
        </w:rPr>
        <w:t xml:space="preserve">. </w:t>
      </w:r>
      <w:r>
        <w:rPr>
          <w:sz w:val="22"/>
          <w:szCs w:val="22"/>
        </w:rPr>
        <w:t>Paschl and Hassett,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AD284E" w:rsidRPr="00B53634" w:rsidRDefault="00535646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  <w:r w:rsidRPr="00B53634">
        <w:rPr>
          <w:sz w:val="24"/>
          <w:szCs w:val="24"/>
        </w:rPr>
        <w:t xml:space="preserve">The Oregon Department of Environmental Quality (DEQ) </w:t>
      </w:r>
      <w:r w:rsidR="00B53634" w:rsidRPr="00B53634">
        <w:rPr>
          <w:sz w:val="24"/>
          <w:szCs w:val="24"/>
        </w:rPr>
        <w:t xml:space="preserve">has reviewed </w:t>
      </w:r>
      <w:r w:rsidR="0097115C">
        <w:rPr>
          <w:sz w:val="24"/>
          <w:szCs w:val="24"/>
        </w:rPr>
        <w:t xml:space="preserve">three </w:t>
      </w:r>
      <w:r w:rsidR="00B53634" w:rsidRPr="00B53634">
        <w:rPr>
          <w:sz w:val="24"/>
          <w:szCs w:val="24"/>
        </w:rPr>
        <w:t>document</w:t>
      </w:r>
      <w:r w:rsidR="00CD0A34">
        <w:rPr>
          <w:sz w:val="24"/>
          <w:szCs w:val="24"/>
        </w:rPr>
        <w:t>s presenting groundwater monitoring and analytical data collected in 2017 and 2018</w:t>
      </w:r>
      <w:r w:rsidR="0097115C">
        <w:rPr>
          <w:sz w:val="24"/>
          <w:szCs w:val="24"/>
        </w:rPr>
        <w:t xml:space="preserve"> (citations below)</w:t>
      </w:r>
      <w:r w:rsidR="00CD0A34">
        <w:rPr>
          <w:sz w:val="24"/>
          <w:szCs w:val="24"/>
        </w:rPr>
        <w:t xml:space="preserve">.  </w:t>
      </w:r>
      <w:r w:rsidR="00CD0A34">
        <w:rPr>
          <w:rFonts w:eastAsiaTheme="minorHAnsi"/>
          <w:bCs/>
          <w:sz w:val="24"/>
          <w:szCs w:val="24"/>
          <w:lang w:val="en-ZW"/>
        </w:rPr>
        <w:t xml:space="preserve">These </w:t>
      </w:r>
      <w:r w:rsidR="0097115C">
        <w:rPr>
          <w:rFonts w:eastAsiaTheme="minorHAnsi"/>
          <w:bCs/>
          <w:sz w:val="24"/>
          <w:szCs w:val="24"/>
          <w:lang w:val="en-ZW"/>
        </w:rPr>
        <w:t xml:space="preserve">three </w:t>
      </w:r>
      <w:r w:rsidR="00CD0A34">
        <w:rPr>
          <w:rFonts w:eastAsiaTheme="minorHAnsi"/>
          <w:bCs/>
          <w:sz w:val="24"/>
          <w:szCs w:val="24"/>
          <w:lang w:val="en-ZW"/>
        </w:rPr>
        <w:t>document</w:t>
      </w:r>
      <w:r w:rsidR="00883434">
        <w:rPr>
          <w:rFonts w:eastAsiaTheme="minorHAnsi"/>
          <w:bCs/>
          <w:sz w:val="24"/>
          <w:szCs w:val="24"/>
          <w:lang w:val="en-ZW"/>
        </w:rPr>
        <w:t>s</w:t>
      </w:r>
      <w:r w:rsidR="00CD0A34">
        <w:rPr>
          <w:rFonts w:eastAsiaTheme="minorHAnsi"/>
          <w:bCs/>
          <w:sz w:val="24"/>
          <w:szCs w:val="24"/>
          <w:lang w:val="en-ZW"/>
        </w:rPr>
        <w:t xml:space="preserve"> were </w:t>
      </w:r>
      <w:r w:rsidR="00B53634" w:rsidRPr="00B53634">
        <w:rPr>
          <w:rFonts w:eastAsiaTheme="minorHAnsi"/>
          <w:bCs/>
          <w:sz w:val="24"/>
          <w:szCs w:val="24"/>
          <w:lang w:val="en-ZW"/>
        </w:rPr>
        <w:t xml:space="preserve">prepared on your behalf by </w:t>
      </w:r>
      <w:r w:rsidR="00CD0A34">
        <w:rPr>
          <w:rFonts w:eastAsiaTheme="minorHAnsi"/>
          <w:bCs/>
          <w:sz w:val="24"/>
          <w:szCs w:val="24"/>
          <w:lang w:val="en-ZW"/>
        </w:rPr>
        <w:t>Amec Foster Wheeler (</w:t>
      </w:r>
      <w:r w:rsidR="00CD0A34" w:rsidRPr="00CD0A34">
        <w:rPr>
          <w:rFonts w:eastAsiaTheme="minorHAnsi"/>
          <w:bCs/>
          <w:i/>
          <w:sz w:val="24"/>
          <w:szCs w:val="24"/>
          <w:lang w:val="en-ZW"/>
        </w:rPr>
        <w:t>now</w:t>
      </w:r>
      <w:r w:rsidR="00CD0A34">
        <w:rPr>
          <w:rFonts w:eastAsiaTheme="minorHAnsi"/>
          <w:bCs/>
          <w:sz w:val="24"/>
          <w:szCs w:val="24"/>
          <w:lang w:val="en-ZW"/>
        </w:rPr>
        <w:t xml:space="preserve"> Wood Environment and Infrastructure Solutions). </w:t>
      </w:r>
      <w:r w:rsidR="00B53634" w:rsidRPr="00B53634">
        <w:rPr>
          <w:rFonts w:eastAsiaTheme="minorHAnsi"/>
          <w:bCs/>
          <w:sz w:val="24"/>
          <w:szCs w:val="24"/>
          <w:lang w:val="en-ZW"/>
        </w:rPr>
        <w:t xml:space="preserve"> </w:t>
      </w:r>
    </w:p>
    <w:p w:rsidR="00B53634" w:rsidRDefault="00B53634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</w:p>
    <w:p w:rsidR="005875C1" w:rsidRDefault="00A10F66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  <w:r w:rsidRPr="005875C1">
        <w:rPr>
          <w:rFonts w:eastAsiaTheme="minorHAnsi"/>
          <w:bCs/>
          <w:sz w:val="24"/>
          <w:szCs w:val="24"/>
          <w:lang w:val="en-ZW"/>
        </w:rPr>
        <w:t xml:space="preserve">DEQ reviewed 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 xml:space="preserve">analytical </w:t>
      </w:r>
      <w:r w:rsidRPr="005875C1">
        <w:rPr>
          <w:rFonts w:eastAsiaTheme="minorHAnsi"/>
          <w:bCs/>
          <w:sz w:val="24"/>
          <w:szCs w:val="24"/>
          <w:lang w:val="en-ZW"/>
        </w:rPr>
        <w:t xml:space="preserve">data sets representing groundwater samples collected 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on </w:t>
      </w:r>
      <w:r w:rsidRPr="005875C1">
        <w:rPr>
          <w:rFonts w:eastAsiaTheme="minorHAnsi"/>
          <w:bCs/>
          <w:sz w:val="24"/>
          <w:szCs w:val="24"/>
          <w:lang w:val="en-ZW"/>
        </w:rPr>
        <w:t xml:space="preserve">April 18, 2017, October 13, 2017 and 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 xml:space="preserve">April 2, 2018. The data 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>indicate an improving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 xml:space="preserve"> groundwater 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quality </w:t>
      </w:r>
      <w:r w:rsidR="005875C1" w:rsidRPr="005875C1">
        <w:rPr>
          <w:rFonts w:eastAsiaTheme="minorHAnsi"/>
          <w:bCs/>
          <w:sz w:val="24"/>
          <w:szCs w:val="24"/>
          <w:lang w:val="en-ZW"/>
        </w:rPr>
        <w:t>trend, which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 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>support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>s</w:t>
      </w:r>
      <w:r w:rsidR="005875C1" w:rsidRPr="005875C1">
        <w:rPr>
          <w:rFonts w:eastAsiaTheme="minorHAnsi"/>
          <w:bCs/>
          <w:sz w:val="24"/>
          <w:szCs w:val="24"/>
          <w:lang w:val="en-ZW"/>
        </w:rPr>
        <w:t xml:space="preserve"> 2016 </w:t>
      </w:r>
      <w:r w:rsidR="008959AE" w:rsidRPr="005875C1">
        <w:rPr>
          <w:rFonts w:eastAsiaTheme="minorHAnsi"/>
          <w:sz w:val="24"/>
          <w:szCs w:val="24"/>
          <w:lang w:val="en-ZW"/>
        </w:rPr>
        <w:t>natural a</w:t>
      </w:r>
      <w:r w:rsidR="008959AE" w:rsidRPr="005875C1">
        <w:rPr>
          <w:rFonts w:eastAsiaTheme="minorHAnsi"/>
          <w:sz w:val="24"/>
          <w:szCs w:val="24"/>
          <w:lang w:val="en-ZW"/>
        </w:rPr>
        <w:t xml:space="preserve">ttenuation </w:t>
      </w:r>
      <w:r w:rsidR="005875C1" w:rsidRPr="005875C1">
        <w:rPr>
          <w:rFonts w:eastAsiaTheme="minorHAnsi"/>
          <w:sz w:val="24"/>
          <w:szCs w:val="24"/>
          <w:lang w:val="en-ZW"/>
        </w:rPr>
        <w:t>modelling</w:t>
      </w:r>
      <w:r w:rsidR="005875C1">
        <w:rPr>
          <w:rFonts w:eastAsiaTheme="minorHAnsi"/>
          <w:sz w:val="24"/>
          <w:szCs w:val="24"/>
          <w:lang w:val="en-ZW"/>
        </w:rPr>
        <w:t xml:space="preserve"> predictions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. The </w:t>
      </w:r>
      <w:r w:rsidR="005875C1">
        <w:rPr>
          <w:rFonts w:eastAsiaTheme="minorHAnsi"/>
          <w:bCs/>
          <w:sz w:val="24"/>
          <w:szCs w:val="24"/>
          <w:lang w:val="en-ZW"/>
        </w:rPr>
        <w:t xml:space="preserve">improving </w:t>
      </w:r>
      <w:r w:rsidR="005875C1" w:rsidRPr="005875C1">
        <w:rPr>
          <w:rFonts w:eastAsiaTheme="minorHAnsi"/>
          <w:bCs/>
          <w:sz w:val="24"/>
          <w:szCs w:val="24"/>
          <w:lang w:val="en-ZW"/>
        </w:rPr>
        <w:t>groundwater quality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 </w:t>
      </w:r>
      <w:r w:rsidR="0097115C" w:rsidRPr="005875C1">
        <w:rPr>
          <w:rFonts w:eastAsiaTheme="minorHAnsi"/>
          <w:bCs/>
          <w:sz w:val="24"/>
          <w:szCs w:val="24"/>
          <w:lang w:val="en-ZW"/>
        </w:rPr>
        <w:t xml:space="preserve">trend </w:t>
      </w:r>
      <w:r w:rsidR="005875C1">
        <w:rPr>
          <w:rFonts w:eastAsiaTheme="minorHAnsi"/>
          <w:bCs/>
          <w:sz w:val="24"/>
          <w:szCs w:val="24"/>
          <w:lang w:val="en-ZW"/>
        </w:rPr>
        <w:t>appears to be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 xml:space="preserve"> protective of the Columbia River and meets Level II Ecological Risk Screening Level Values </w:t>
      </w:r>
      <w:r w:rsidR="005875C1">
        <w:rPr>
          <w:rFonts w:eastAsiaTheme="minorHAnsi"/>
          <w:bCs/>
          <w:sz w:val="24"/>
          <w:szCs w:val="24"/>
          <w:lang w:val="en-ZW"/>
        </w:rPr>
        <w:t>at</w:t>
      </w:r>
      <w:r w:rsidR="008959AE" w:rsidRPr="005875C1">
        <w:rPr>
          <w:rFonts w:eastAsiaTheme="minorHAnsi"/>
          <w:bCs/>
          <w:sz w:val="24"/>
          <w:szCs w:val="24"/>
          <w:lang w:val="en-ZW"/>
        </w:rPr>
        <w:t xml:space="preserve"> the two points of compliance established for the site.  </w:t>
      </w:r>
      <w:r w:rsidR="00D337B9" w:rsidRPr="005875C1">
        <w:rPr>
          <w:rFonts w:eastAsiaTheme="minorHAnsi"/>
          <w:bCs/>
          <w:sz w:val="24"/>
          <w:szCs w:val="24"/>
          <w:lang w:val="en-ZW"/>
        </w:rPr>
        <w:t xml:space="preserve"> </w:t>
      </w:r>
    </w:p>
    <w:p w:rsidR="005875C1" w:rsidRDefault="005875C1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</w:p>
    <w:p w:rsidR="00A10F66" w:rsidRPr="005875C1" w:rsidRDefault="005875C1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  <w:r>
        <w:rPr>
          <w:rFonts w:eastAsiaTheme="minorHAnsi"/>
          <w:bCs/>
          <w:sz w:val="24"/>
          <w:szCs w:val="24"/>
          <w:lang w:val="en-ZW"/>
        </w:rPr>
        <w:t>The</w:t>
      </w:r>
      <w:r w:rsidR="003C2D77">
        <w:rPr>
          <w:rFonts w:eastAsiaTheme="minorHAnsi"/>
          <w:bCs/>
          <w:sz w:val="24"/>
          <w:szCs w:val="24"/>
          <w:lang w:val="en-ZW"/>
        </w:rPr>
        <w:t xml:space="preserve"> three consecutive</w:t>
      </w:r>
      <w:r>
        <w:rPr>
          <w:rFonts w:eastAsiaTheme="minorHAnsi"/>
          <w:bCs/>
          <w:sz w:val="24"/>
          <w:szCs w:val="24"/>
          <w:lang w:val="en-ZW"/>
        </w:rPr>
        <w:t xml:space="preserve"> groundwater data </w:t>
      </w:r>
      <w:r w:rsidR="003C2D77">
        <w:rPr>
          <w:rFonts w:eastAsiaTheme="minorHAnsi"/>
          <w:bCs/>
          <w:sz w:val="24"/>
          <w:szCs w:val="24"/>
          <w:lang w:val="en-ZW"/>
        </w:rPr>
        <w:t xml:space="preserve">sets </w:t>
      </w:r>
      <w:r w:rsidR="001C27D1">
        <w:rPr>
          <w:rFonts w:eastAsiaTheme="minorHAnsi"/>
          <w:bCs/>
          <w:sz w:val="24"/>
          <w:szCs w:val="24"/>
          <w:lang w:val="en-ZW"/>
        </w:rPr>
        <w:t xml:space="preserve">collected in 2017 and 2018 </w:t>
      </w:r>
      <w:proofErr w:type="gramStart"/>
      <w:r w:rsidR="003C2D77">
        <w:rPr>
          <w:rFonts w:eastAsiaTheme="minorHAnsi"/>
          <w:bCs/>
          <w:sz w:val="24"/>
          <w:szCs w:val="24"/>
          <w:lang w:val="en-ZW"/>
        </w:rPr>
        <w:t xml:space="preserve">were </w:t>
      </w:r>
      <w:r>
        <w:rPr>
          <w:rFonts w:eastAsiaTheme="minorHAnsi"/>
          <w:bCs/>
          <w:sz w:val="24"/>
          <w:szCs w:val="24"/>
          <w:lang w:val="en-ZW"/>
        </w:rPr>
        <w:t>reviewed</w:t>
      </w:r>
      <w:proofErr w:type="gramEnd"/>
      <w:r>
        <w:rPr>
          <w:rFonts w:eastAsiaTheme="minorHAnsi"/>
          <w:bCs/>
          <w:sz w:val="24"/>
          <w:szCs w:val="24"/>
          <w:lang w:val="en-ZW"/>
        </w:rPr>
        <w:t xml:space="preserve"> in light of the evaluation criteria </w:t>
      </w:r>
      <w:r w:rsidR="003C2D77">
        <w:rPr>
          <w:rFonts w:eastAsiaTheme="minorHAnsi"/>
          <w:bCs/>
          <w:sz w:val="24"/>
          <w:szCs w:val="24"/>
          <w:lang w:val="en-ZW"/>
        </w:rPr>
        <w:t>provided below</w:t>
      </w:r>
      <w:r>
        <w:rPr>
          <w:rFonts w:eastAsiaTheme="minorHAnsi"/>
          <w:bCs/>
          <w:sz w:val="24"/>
          <w:szCs w:val="24"/>
          <w:lang w:val="en-ZW"/>
        </w:rPr>
        <w:t xml:space="preserve">. </w:t>
      </w:r>
      <w:r w:rsidR="001C27D1">
        <w:rPr>
          <w:rFonts w:eastAsiaTheme="minorHAnsi"/>
          <w:bCs/>
          <w:sz w:val="24"/>
          <w:szCs w:val="24"/>
          <w:lang w:val="en-ZW"/>
        </w:rPr>
        <w:t xml:space="preserve">The reviewed data were all well below any triggering concentrations established for the site. </w:t>
      </w:r>
    </w:p>
    <w:p w:rsidR="008959AE" w:rsidRPr="00B53634" w:rsidRDefault="008959AE" w:rsidP="00B53634">
      <w:pPr>
        <w:spacing w:line="264" w:lineRule="auto"/>
        <w:rPr>
          <w:rFonts w:eastAsiaTheme="minorHAnsi"/>
          <w:bCs/>
          <w:sz w:val="24"/>
          <w:szCs w:val="24"/>
          <w:lang w:val="en-ZW"/>
        </w:rPr>
      </w:pPr>
    </w:p>
    <w:p w:rsidR="008959AE" w:rsidRPr="0097115C" w:rsidRDefault="00CD0A34" w:rsidP="00CD0A34">
      <w:pPr>
        <w:autoSpaceDE w:val="0"/>
        <w:autoSpaceDN w:val="0"/>
        <w:adjustRightInd w:val="0"/>
        <w:ind w:left="630" w:right="630"/>
        <w:rPr>
          <w:rFonts w:eastAsiaTheme="minorHAnsi"/>
          <w:bCs/>
          <w:i/>
          <w:sz w:val="24"/>
          <w:szCs w:val="24"/>
          <w:lang w:val="en-ZW"/>
        </w:rPr>
      </w:pPr>
      <w:r w:rsidRPr="0097115C">
        <w:rPr>
          <w:rFonts w:eastAsiaTheme="minorHAnsi"/>
          <w:bCs/>
          <w:i/>
          <w:sz w:val="24"/>
          <w:szCs w:val="24"/>
          <w:lang w:val="en-ZW"/>
        </w:rPr>
        <w:t xml:space="preserve">From 2016 </w:t>
      </w:r>
      <w:r w:rsidR="005875C1" w:rsidRPr="0097115C">
        <w:rPr>
          <w:rFonts w:eastAsiaTheme="minorHAnsi"/>
          <w:i/>
          <w:sz w:val="22"/>
          <w:szCs w:val="22"/>
          <w:lang w:val="en-ZW"/>
        </w:rPr>
        <w:t xml:space="preserve">Monitored Natural Attenuation </w:t>
      </w:r>
      <w:r w:rsidRPr="0097115C">
        <w:rPr>
          <w:rFonts w:eastAsiaTheme="minorHAnsi"/>
          <w:bCs/>
          <w:i/>
          <w:sz w:val="24"/>
          <w:szCs w:val="24"/>
          <w:lang w:val="en-ZW"/>
        </w:rPr>
        <w:t>document, Page 21:</w:t>
      </w:r>
    </w:p>
    <w:p w:rsidR="00CD0A34" w:rsidRDefault="00CD0A34" w:rsidP="00CD0A34">
      <w:pPr>
        <w:autoSpaceDE w:val="0"/>
        <w:autoSpaceDN w:val="0"/>
        <w:adjustRightInd w:val="0"/>
        <w:ind w:left="630" w:right="630"/>
        <w:rPr>
          <w:rFonts w:eastAsiaTheme="minorHAnsi"/>
          <w:b/>
          <w:bCs/>
          <w:sz w:val="24"/>
          <w:szCs w:val="24"/>
          <w:lang w:val="en-ZW"/>
        </w:rPr>
      </w:pPr>
      <w:r w:rsidRPr="00CD0A34">
        <w:rPr>
          <w:rFonts w:eastAsiaTheme="minorHAnsi"/>
          <w:bCs/>
          <w:sz w:val="24"/>
          <w:szCs w:val="24"/>
          <w:lang w:val="en-ZW"/>
        </w:rPr>
        <w:br/>
      </w:r>
      <w:r w:rsidRPr="00CD0A34">
        <w:rPr>
          <w:rFonts w:eastAsiaTheme="minorHAnsi"/>
          <w:b/>
          <w:bCs/>
          <w:sz w:val="24"/>
          <w:szCs w:val="24"/>
          <w:lang w:val="en-ZW"/>
        </w:rPr>
        <w:t>Gro</w:t>
      </w:r>
      <w:r w:rsidRPr="00CD0A34">
        <w:rPr>
          <w:rFonts w:eastAsiaTheme="minorHAnsi"/>
          <w:b/>
          <w:bCs/>
          <w:sz w:val="24"/>
          <w:szCs w:val="24"/>
          <w:lang w:val="en-ZW"/>
        </w:rPr>
        <w:t>undwater Quality Evaluation</w:t>
      </w:r>
    </w:p>
    <w:p w:rsidR="008959AE" w:rsidRPr="00CD0A34" w:rsidRDefault="008959AE" w:rsidP="00CD0A34">
      <w:pPr>
        <w:autoSpaceDE w:val="0"/>
        <w:autoSpaceDN w:val="0"/>
        <w:adjustRightInd w:val="0"/>
        <w:ind w:left="630" w:right="630"/>
        <w:rPr>
          <w:rFonts w:eastAsiaTheme="minorHAnsi"/>
          <w:b/>
          <w:bCs/>
          <w:sz w:val="24"/>
          <w:szCs w:val="24"/>
          <w:lang w:val="en-ZW"/>
        </w:rPr>
      </w:pPr>
    </w:p>
    <w:p w:rsidR="00CD0A34" w:rsidRDefault="00CD0A34" w:rsidP="008959AE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  <w:r w:rsidRPr="00CD0A34">
        <w:rPr>
          <w:rFonts w:eastAsiaTheme="minorHAnsi"/>
          <w:sz w:val="24"/>
          <w:szCs w:val="24"/>
          <w:lang w:val="en-ZW"/>
        </w:rPr>
        <w:t>The groundwater quality at monitoring wells ATT-03, ATT-04, and ATT-</w:t>
      </w:r>
      <w:r>
        <w:rPr>
          <w:rFonts w:eastAsiaTheme="minorHAnsi"/>
          <w:sz w:val="24"/>
          <w:szCs w:val="24"/>
          <w:lang w:val="en-ZW"/>
        </w:rPr>
        <w:t xml:space="preserve">11 </w:t>
      </w:r>
      <w:proofErr w:type="gramStart"/>
      <w:r>
        <w:rPr>
          <w:rFonts w:eastAsiaTheme="minorHAnsi"/>
          <w:sz w:val="24"/>
          <w:szCs w:val="24"/>
          <w:lang w:val="en-ZW"/>
        </w:rPr>
        <w:t>will be evaluated</w:t>
      </w:r>
      <w:proofErr w:type="gramEnd"/>
      <w:r>
        <w:rPr>
          <w:rFonts w:eastAsiaTheme="minorHAnsi"/>
          <w:sz w:val="24"/>
          <w:szCs w:val="24"/>
          <w:lang w:val="en-ZW"/>
        </w:rPr>
        <w:t xml:space="preserve"> after each </w:t>
      </w:r>
      <w:r w:rsidRPr="00CD0A34">
        <w:rPr>
          <w:rFonts w:eastAsiaTheme="minorHAnsi"/>
          <w:sz w:val="24"/>
          <w:szCs w:val="24"/>
          <w:lang w:val="en-ZW"/>
        </w:rPr>
        <w:t>monitoring event to assess the effectiveness of natural attenuation and the need to implement the</w:t>
      </w:r>
      <w:r w:rsidR="008959AE">
        <w:rPr>
          <w:rFonts w:eastAsiaTheme="minorHAnsi"/>
          <w:sz w:val="24"/>
          <w:szCs w:val="24"/>
          <w:lang w:val="en-ZW"/>
        </w:rPr>
        <w:t xml:space="preserve"> </w:t>
      </w:r>
      <w:r w:rsidRPr="00CD0A34">
        <w:rPr>
          <w:rFonts w:eastAsiaTheme="minorHAnsi"/>
          <w:sz w:val="24"/>
          <w:szCs w:val="24"/>
          <w:lang w:val="en-ZW"/>
        </w:rPr>
        <w:t xml:space="preserve">contingent remedy. </w:t>
      </w:r>
      <w:proofErr w:type="gramStart"/>
      <w:r w:rsidRPr="00CD0A34">
        <w:rPr>
          <w:rFonts w:eastAsiaTheme="minorHAnsi"/>
          <w:sz w:val="24"/>
          <w:szCs w:val="24"/>
          <w:lang w:val="en-ZW"/>
        </w:rPr>
        <w:t>The contingent remedy would be triggered by either of the following two events</w:t>
      </w:r>
      <w:proofErr w:type="gramEnd"/>
      <w:r w:rsidRPr="00CD0A34">
        <w:rPr>
          <w:rFonts w:eastAsiaTheme="minorHAnsi"/>
          <w:sz w:val="24"/>
          <w:szCs w:val="24"/>
          <w:lang w:val="en-ZW"/>
        </w:rPr>
        <w:t>:</w:t>
      </w:r>
    </w:p>
    <w:p w:rsidR="00CD0A34" w:rsidRPr="00CD0A34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</w:p>
    <w:p w:rsidR="00CD0A34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  <w:r w:rsidRPr="00CD0A34">
        <w:rPr>
          <w:rFonts w:eastAsiaTheme="minorHAnsi"/>
          <w:sz w:val="24"/>
          <w:szCs w:val="24"/>
          <w:lang w:val="en-ZW"/>
        </w:rPr>
        <w:lastRenderedPageBreak/>
        <w:t>1. The detected concentration(s) of one or more COCs at western POC wells ATT-12 or</w:t>
      </w:r>
      <w:r>
        <w:rPr>
          <w:rFonts w:eastAsiaTheme="minorHAnsi"/>
          <w:sz w:val="24"/>
          <w:szCs w:val="24"/>
          <w:lang w:val="en-ZW"/>
        </w:rPr>
        <w:t xml:space="preserve"> </w:t>
      </w:r>
      <w:r w:rsidRPr="00CD0A34">
        <w:rPr>
          <w:rFonts w:eastAsiaTheme="minorHAnsi"/>
          <w:sz w:val="24"/>
          <w:szCs w:val="24"/>
          <w:lang w:val="en-ZW"/>
        </w:rPr>
        <w:t>PMW-7R exceeds one-half of the respective Level II SLV(s) for two consecutive</w:t>
      </w:r>
      <w:r>
        <w:rPr>
          <w:rFonts w:eastAsiaTheme="minorHAnsi"/>
          <w:sz w:val="24"/>
          <w:szCs w:val="24"/>
          <w:lang w:val="en-ZW"/>
        </w:rPr>
        <w:t xml:space="preserve"> </w:t>
      </w:r>
      <w:r w:rsidR="008959AE" w:rsidRPr="00CD0A34">
        <w:rPr>
          <w:rFonts w:eastAsiaTheme="minorHAnsi"/>
          <w:sz w:val="24"/>
          <w:szCs w:val="24"/>
          <w:lang w:val="en-ZW"/>
        </w:rPr>
        <w:t>semi-annual</w:t>
      </w:r>
      <w:r w:rsidRPr="00CD0A34">
        <w:rPr>
          <w:rFonts w:eastAsiaTheme="minorHAnsi"/>
          <w:sz w:val="24"/>
          <w:szCs w:val="24"/>
          <w:lang w:val="en-ZW"/>
        </w:rPr>
        <w:t xml:space="preserve"> monitoring events.</w:t>
      </w:r>
    </w:p>
    <w:p w:rsidR="00CD0A34" w:rsidRPr="00CD0A34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</w:p>
    <w:p w:rsidR="00CD0A34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  <w:r w:rsidRPr="00CD0A34">
        <w:rPr>
          <w:rFonts w:eastAsiaTheme="minorHAnsi"/>
          <w:sz w:val="24"/>
          <w:szCs w:val="24"/>
          <w:lang w:val="en-ZW"/>
        </w:rPr>
        <w:t>2. The detected concentration(s) of one or more COCs at Western Discharge Area wells</w:t>
      </w:r>
      <w:r>
        <w:rPr>
          <w:rFonts w:eastAsiaTheme="minorHAnsi"/>
          <w:sz w:val="24"/>
          <w:szCs w:val="24"/>
          <w:lang w:val="en-ZW"/>
        </w:rPr>
        <w:t xml:space="preserve"> </w:t>
      </w:r>
      <w:r w:rsidRPr="00CD0A34">
        <w:rPr>
          <w:rFonts w:eastAsiaTheme="minorHAnsi"/>
          <w:sz w:val="24"/>
          <w:szCs w:val="24"/>
          <w:lang w:val="en-ZW"/>
        </w:rPr>
        <w:t xml:space="preserve">ATT-11, ATT-04, or ATT-03 (located </w:t>
      </w:r>
      <w:r w:rsidR="008959AE" w:rsidRPr="00CD0A34">
        <w:rPr>
          <w:rFonts w:eastAsiaTheme="minorHAnsi"/>
          <w:sz w:val="24"/>
          <w:szCs w:val="24"/>
          <w:lang w:val="en-ZW"/>
        </w:rPr>
        <w:t>up gradient</w:t>
      </w:r>
      <w:r w:rsidRPr="00CD0A34">
        <w:rPr>
          <w:rFonts w:eastAsiaTheme="minorHAnsi"/>
          <w:sz w:val="24"/>
          <w:szCs w:val="24"/>
          <w:lang w:val="en-ZW"/>
        </w:rPr>
        <w:t xml:space="preserve"> of the POC) exceeds the respective Level</w:t>
      </w:r>
      <w:r>
        <w:rPr>
          <w:rFonts w:eastAsiaTheme="minorHAnsi"/>
          <w:sz w:val="24"/>
          <w:szCs w:val="24"/>
          <w:lang w:val="en-ZW"/>
        </w:rPr>
        <w:t xml:space="preserve"> </w:t>
      </w:r>
      <w:r w:rsidRPr="00CD0A34">
        <w:rPr>
          <w:rFonts w:eastAsiaTheme="minorHAnsi"/>
          <w:sz w:val="24"/>
          <w:szCs w:val="24"/>
          <w:lang w:val="en-ZW"/>
        </w:rPr>
        <w:t xml:space="preserve">II SLV(s) for two consecutive </w:t>
      </w:r>
      <w:r w:rsidR="008959AE" w:rsidRPr="00CD0A34">
        <w:rPr>
          <w:rFonts w:eastAsiaTheme="minorHAnsi"/>
          <w:sz w:val="24"/>
          <w:szCs w:val="24"/>
          <w:lang w:val="en-ZW"/>
        </w:rPr>
        <w:t>semi-annual</w:t>
      </w:r>
      <w:r w:rsidRPr="00CD0A34">
        <w:rPr>
          <w:rFonts w:eastAsiaTheme="minorHAnsi"/>
          <w:sz w:val="24"/>
          <w:szCs w:val="24"/>
          <w:lang w:val="en-ZW"/>
        </w:rPr>
        <w:t xml:space="preserve"> monitoring events.</w:t>
      </w:r>
    </w:p>
    <w:p w:rsidR="00CD0A34" w:rsidRPr="00CD0A34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</w:p>
    <w:p w:rsidR="00662B0F" w:rsidRDefault="00CD0A34" w:rsidP="00CD0A34">
      <w:pPr>
        <w:autoSpaceDE w:val="0"/>
        <w:autoSpaceDN w:val="0"/>
        <w:adjustRightInd w:val="0"/>
        <w:ind w:left="630" w:right="630"/>
        <w:jc w:val="both"/>
        <w:rPr>
          <w:rFonts w:eastAsiaTheme="minorHAnsi"/>
          <w:sz w:val="24"/>
          <w:szCs w:val="24"/>
          <w:lang w:val="en-ZW"/>
        </w:rPr>
      </w:pPr>
      <w:r w:rsidRPr="00CD0A34">
        <w:rPr>
          <w:rFonts w:eastAsiaTheme="minorHAnsi"/>
          <w:sz w:val="24"/>
          <w:szCs w:val="24"/>
          <w:lang w:val="en-ZW"/>
        </w:rPr>
        <w:t xml:space="preserve">If either of the above events occurs, DEQ </w:t>
      </w:r>
      <w:proofErr w:type="gramStart"/>
      <w:r w:rsidRPr="00CD0A34">
        <w:rPr>
          <w:rFonts w:eastAsiaTheme="minorHAnsi"/>
          <w:sz w:val="24"/>
          <w:szCs w:val="24"/>
          <w:lang w:val="en-ZW"/>
        </w:rPr>
        <w:t>will be notified</w:t>
      </w:r>
      <w:proofErr w:type="gramEnd"/>
      <w:r w:rsidRPr="00CD0A34">
        <w:rPr>
          <w:rFonts w:eastAsiaTheme="minorHAnsi"/>
          <w:sz w:val="24"/>
          <w:szCs w:val="24"/>
          <w:lang w:val="en-ZW"/>
        </w:rPr>
        <w:t xml:space="preserve"> via email within</w:t>
      </w:r>
      <w:r>
        <w:rPr>
          <w:rFonts w:eastAsiaTheme="minorHAnsi"/>
          <w:sz w:val="24"/>
          <w:szCs w:val="24"/>
          <w:lang w:val="en-ZW"/>
        </w:rPr>
        <w:t xml:space="preserve"> one week after receiving final </w:t>
      </w:r>
      <w:r w:rsidRPr="00CD0A34">
        <w:rPr>
          <w:rFonts w:eastAsiaTheme="minorHAnsi"/>
          <w:sz w:val="24"/>
          <w:szCs w:val="24"/>
          <w:lang w:val="en-ZW"/>
        </w:rPr>
        <w:t xml:space="preserve">analytical results from the analytical laboratory. The contingent remedy </w:t>
      </w:r>
      <w:r w:rsidR="003C2D77">
        <w:rPr>
          <w:rFonts w:eastAsiaTheme="minorHAnsi"/>
          <w:sz w:val="24"/>
          <w:szCs w:val="24"/>
          <w:lang w:val="en-ZW"/>
        </w:rPr>
        <w:t>(</w:t>
      </w:r>
      <w:r w:rsidRPr="00CD0A34">
        <w:rPr>
          <w:rFonts w:eastAsiaTheme="minorHAnsi"/>
          <w:sz w:val="24"/>
          <w:szCs w:val="24"/>
          <w:lang w:val="en-ZW"/>
        </w:rPr>
        <w:t>described in Section 5.2.2</w:t>
      </w:r>
      <w:r w:rsidR="003C2D77">
        <w:rPr>
          <w:rFonts w:eastAsiaTheme="minorHAnsi"/>
          <w:sz w:val="24"/>
          <w:szCs w:val="24"/>
          <w:lang w:val="en-ZW"/>
        </w:rPr>
        <w:t xml:space="preserve">, </w:t>
      </w:r>
      <w:r w:rsidR="003C2D77" w:rsidRPr="003C2D77">
        <w:rPr>
          <w:rFonts w:eastAsiaTheme="minorHAnsi"/>
          <w:i/>
          <w:sz w:val="24"/>
          <w:szCs w:val="24"/>
          <w:lang w:val="en-ZW"/>
        </w:rPr>
        <w:t>sic</w:t>
      </w:r>
      <w:r w:rsidR="003C2D77">
        <w:rPr>
          <w:rFonts w:eastAsiaTheme="minorHAnsi"/>
          <w:sz w:val="24"/>
          <w:szCs w:val="24"/>
          <w:lang w:val="en-ZW"/>
        </w:rPr>
        <w:t>)</w:t>
      </w:r>
      <w:r w:rsidRPr="00CD0A34">
        <w:rPr>
          <w:rFonts w:eastAsiaTheme="minorHAnsi"/>
          <w:sz w:val="24"/>
          <w:szCs w:val="24"/>
          <w:lang w:val="en-ZW"/>
        </w:rPr>
        <w:t xml:space="preserve"> </w:t>
      </w:r>
      <w:proofErr w:type="gramStart"/>
      <w:r w:rsidRPr="00CD0A34">
        <w:rPr>
          <w:rFonts w:eastAsiaTheme="minorHAnsi"/>
          <w:sz w:val="24"/>
          <w:szCs w:val="24"/>
          <w:lang w:val="en-ZW"/>
        </w:rPr>
        <w:t>will</w:t>
      </w:r>
      <w:r>
        <w:rPr>
          <w:rFonts w:eastAsiaTheme="minorHAnsi"/>
          <w:sz w:val="24"/>
          <w:szCs w:val="24"/>
          <w:lang w:val="en-ZW"/>
        </w:rPr>
        <w:t xml:space="preserve"> </w:t>
      </w:r>
      <w:r w:rsidRPr="00CD0A34">
        <w:rPr>
          <w:rFonts w:eastAsiaTheme="minorHAnsi"/>
          <w:sz w:val="24"/>
          <w:szCs w:val="24"/>
          <w:lang w:val="en-ZW"/>
        </w:rPr>
        <w:t>be implemented</w:t>
      </w:r>
      <w:proofErr w:type="gramEnd"/>
      <w:r w:rsidRPr="00CD0A34">
        <w:rPr>
          <w:rFonts w:eastAsiaTheme="minorHAnsi"/>
          <w:sz w:val="24"/>
          <w:szCs w:val="24"/>
          <w:lang w:val="en-ZW"/>
        </w:rPr>
        <w:t xml:space="preserve"> following DEQ notification.</w:t>
      </w:r>
    </w:p>
    <w:p w:rsidR="00CD0A34" w:rsidRPr="00CD0A34" w:rsidRDefault="00CD0A34" w:rsidP="00CD0A34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</w:p>
    <w:p w:rsidR="001C27D1" w:rsidRDefault="001C27D1" w:rsidP="0007130C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Please review site groundwater data to determine if a case can be made to support regulatory closure of the groundwater to surface water pathway as present no unacceptable</w:t>
      </w:r>
      <w:bookmarkStart w:id="0" w:name="_GoBack"/>
      <w:bookmarkEnd w:id="0"/>
      <w:r>
        <w:rPr>
          <w:sz w:val="24"/>
          <w:szCs w:val="24"/>
        </w:rPr>
        <w:t xml:space="preserve"> risk.</w:t>
      </w:r>
    </w:p>
    <w:p w:rsidR="001C27D1" w:rsidRDefault="001C27D1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 xml:space="preserve">Please </w:t>
      </w:r>
      <w:r w:rsidR="004053C6" w:rsidRPr="00B53634">
        <w:rPr>
          <w:sz w:val="24"/>
          <w:szCs w:val="24"/>
        </w:rPr>
        <w:t xml:space="preserve">feel free to </w:t>
      </w:r>
      <w:r w:rsidRPr="00B53634">
        <w:rPr>
          <w:sz w:val="24"/>
          <w:szCs w:val="24"/>
        </w:rPr>
        <w:t xml:space="preserve">call me with questions. 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Sincerely,</w:t>
      </w: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</w:p>
    <w:p w:rsidR="0007130C" w:rsidRPr="00B53634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Kenneth Thiessen</w:t>
      </w:r>
      <w:r w:rsidR="00B53634">
        <w:rPr>
          <w:sz w:val="24"/>
          <w:szCs w:val="24"/>
        </w:rPr>
        <w:t>,</w:t>
      </w:r>
      <w:r w:rsidRPr="00B53634">
        <w:rPr>
          <w:sz w:val="24"/>
          <w:szCs w:val="24"/>
        </w:rPr>
        <w:t xml:space="preserve"> CEG</w:t>
      </w:r>
    </w:p>
    <w:p w:rsidR="0007130C" w:rsidRDefault="0007130C" w:rsidP="0007130C">
      <w:pPr>
        <w:spacing w:line="264" w:lineRule="auto"/>
        <w:rPr>
          <w:sz w:val="24"/>
          <w:szCs w:val="24"/>
        </w:rPr>
      </w:pPr>
      <w:r w:rsidRPr="00B53634">
        <w:rPr>
          <w:sz w:val="24"/>
          <w:szCs w:val="24"/>
        </w:rPr>
        <w:t>Northwest Region Cleanup Section</w:t>
      </w:r>
    </w:p>
    <w:p w:rsidR="00B85589" w:rsidRDefault="00B85589" w:rsidP="0007130C">
      <w:pPr>
        <w:spacing w:line="264" w:lineRule="auto"/>
        <w:rPr>
          <w:sz w:val="24"/>
          <w:szCs w:val="24"/>
        </w:rPr>
      </w:pPr>
    </w:p>
    <w:p w:rsidR="00B85589" w:rsidRDefault="00B85589" w:rsidP="00B85589">
      <w:pPr>
        <w:spacing w:line="264" w:lineRule="auto"/>
        <w:rPr>
          <w:sz w:val="22"/>
          <w:szCs w:val="22"/>
        </w:rPr>
      </w:pPr>
      <w:r w:rsidRPr="00453011">
        <w:rPr>
          <w:sz w:val="22"/>
          <w:szCs w:val="22"/>
        </w:rPr>
        <w:t>cc:</w:t>
      </w:r>
      <w:r w:rsidRPr="00453011">
        <w:rPr>
          <w:sz w:val="22"/>
          <w:szCs w:val="22"/>
        </w:rPr>
        <w:tab/>
        <w:t xml:space="preserve"> </w:t>
      </w:r>
      <w:r w:rsidRPr="00453011">
        <w:rPr>
          <w:sz w:val="22"/>
          <w:szCs w:val="22"/>
        </w:rPr>
        <w:tab/>
      </w:r>
      <w:r>
        <w:rPr>
          <w:sz w:val="22"/>
          <w:szCs w:val="22"/>
        </w:rPr>
        <w:t xml:space="preserve">Christy </w:t>
      </w:r>
      <w:proofErr w:type="spellStart"/>
      <w:r>
        <w:rPr>
          <w:sz w:val="22"/>
          <w:szCs w:val="22"/>
        </w:rPr>
        <w:t>Duitman</w:t>
      </w:r>
      <w:proofErr w:type="spellEnd"/>
      <w:r>
        <w:rPr>
          <w:sz w:val="22"/>
          <w:szCs w:val="22"/>
        </w:rPr>
        <w:t>, RG, Wood</w:t>
      </w:r>
    </w:p>
    <w:p w:rsidR="00B85589" w:rsidRDefault="00B85589" w:rsidP="00B85589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Joel Eledge, CHMM, Wood</w:t>
      </w:r>
    </w:p>
    <w:p w:rsidR="00B85589" w:rsidRPr="00453011" w:rsidRDefault="00B85589" w:rsidP="00B85589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L. Littlejohn, Georgia Pacific</w:t>
      </w:r>
    </w:p>
    <w:p w:rsidR="0007130C" w:rsidRPr="00B85589" w:rsidRDefault="00C902CE" w:rsidP="00B85589">
      <w:pPr>
        <w:spacing w:line="264" w:lineRule="auto"/>
        <w:ind w:left="720" w:firstLine="720"/>
        <w:rPr>
          <w:sz w:val="22"/>
          <w:szCs w:val="22"/>
        </w:rPr>
      </w:pPr>
      <w:r>
        <w:rPr>
          <w:sz w:val="24"/>
          <w:szCs w:val="24"/>
        </w:rPr>
        <w:t>ECSI #649</w:t>
      </w:r>
    </w:p>
    <w:p w:rsidR="0007130C" w:rsidRPr="00B53634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07130C" w:rsidRPr="00B53634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5029D0" w:rsidRDefault="00220B19">
      <w:pPr>
        <w:widowControl w:val="0"/>
        <w:spacing w:before="120" w:after="80"/>
        <w:rPr>
          <w:sz w:val="24"/>
          <w:szCs w:val="24"/>
        </w:rPr>
      </w:pPr>
      <w:r>
        <w:rPr>
          <w:sz w:val="24"/>
          <w:szCs w:val="24"/>
        </w:rPr>
        <w:t>References Cited:</w:t>
      </w:r>
    </w:p>
    <w:p w:rsidR="00220B19" w:rsidRDefault="00220B19" w:rsidP="00220B1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  <w:r>
        <w:rPr>
          <w:rFonts w:eastAsiaTheme="minorHAnsi"/>
          <w:sz w:val="22"/>
          <w:szCs w:val="22"/>
          <w:lang w:val="en-ZW"/>
        </w:rPr>
        <w:t>2016</w:t>
      </w:r>
      <w:r w:rsidR="003C5572">
        <w:rPr>
          <w:rFonts w:eastAsiaTheme="minorHAnsi"/>
          <w:sz w:val="22"/>
          <w:szCs w:val="22"/>
          <w:lang w:val="en-ZW"/>
        </w:rPr>
        <w:t>.</w:t>
      </w:r>
      <w:r>
        <w:rPr>
          <w:rFonts w:eastAsiaTheme="minorHAnsi"/>
          <w:sz w:val="22"/>
          <w:szCs w:val="22"/>
          <w:lang w:val="en-ZW"/>
        </w:rPr>
        <w:t xml:space="preserve"> </w:t>
      </w:r>
      <w:r w:rsidRPr="00220B19">
        <w:rPr>
          <w:rFonts w:eastAsiaTheme="minorHAnsi"/>
          <w:sz w:val="22"/>
          <w:szCs w:val="22"/>
          <w:lang w:val="en-ZW"/>
        </w:rPr>
        <w:t xml:space="preserve">Amec Foster Wheeler Environment &amp; Infrastructure, Inc. (Amec Foster Wheeler), </w:t>
      </w:r>
      <w:r>
        <w:rPr>
          <w:rFonts w:eastAsiaTheme="minorHAnsi"/>
          <w:sz w:val="22"/>
          <w:szCs w:val="22"/>
          <w:lang w:val="en-ZW"/>
        </w:rPr>
        <w:t>Final Report: Monitored Natural Attenuation Demonstration</w:t>
      </w:r>
      <w:r w:rsidRPr="00220B19">
        <w:rPr>
          <w:rFonts w:eastAsiaTheme="minorHAnsi"/>
          <w:sz w:val="22"/>
          <w:szCs w:val="22"/>
          <w:lang w:val="en-ZW"/>
        </w:rPr>
        <w:t xml:space="preserve">, Former Koppers </w:t>
      </w:r>
      <w:r>
        <w:rPr>
          <w:rFonts w:eastAsiaTheme="minorHAnsi"/>
          <w:sz w:val="22"/>
          <w:szCs w:val="22"/>
          <w:lang w:val="en-ZW"/>
        </w:rPr>
        <w:t xml:space="preserve">Facility, Wauna, Oregon, </w:t>
      </w:r>
      <w:proofErr w:type="gramStart"/>
      <w:r>
        <w:rPr>
          <w:rFonts w:eastAsiaTheme="minorHAnsi"/>
          <w:sz w:val="22"/>
          <w:szCs w:val="22"/>
          <w:lang w:val="en-ZW"/>
        </w:rPr>
        <w:t>March</w:t>
      </w:r>
      <w:proofErr w:type="gramEnd"/>
      <w:r>
        <w:rPr>
          <w:rFonts w:eastAsiaTheme="minorHAnsi"/>
          <w:sz w:val="22"/>
          <w:szCs w:val="22"/>
          <w:lang w:val="en-ZW"/>
        </w:rPr>
        <w:t xml:space="preserve"> 31.</w:t>
      </w:r>
    </w:p>
    <w:p w:rsidR="003C5572" w:rsidRDefault="003C5572" w:rsidP="00220B1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</w:p>
    <w:p w:rsidR="003C5572" w:rsidRDefault="003C5572" w:rsidP="003C5572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  <w:r>
        <w:rPr>
          <w:rFonts w:eastAsiaTheme="minorHAnsi"/>
          <w:sz w:val="22"/>
          <w:szCs w:val="22"/>
          <w:lang w:val="en-ZW"/>
        </w:rPr>
        <w:t>2017</w:t>
      </w:r>
      <w:r>
        <w:rPr>
          <w:rFonts w:eastAsiaTheme="minorHAnsi"/>
          <w:sz w:val="22"/>
          <w:szCs w:val="22"/>
          <w:lang w:val="en-ZW"/>
        </w:rPr>
        <w:t xml:space="preserve">. </w:t>
      </w:r>
      <w:r w:rsidRPr="00220B19">
        <w:rPr>
          <w:rFonts w:eastAsiaTheme="minorHAnsi"/>
          <w:sz w:val="22"/>
          <w:szCs w:val="22"/>
          <w:lang w:val="en-ZW"/>
        </w:rPr>
        <w:t xml:space="preserve">Amec Foster Wheeler, </w:t>
      </w:r>
      <w:r w:rsidR="00905F10">
        <w:rPr>
          <w:rFonts w:eastAsiaTheme="minorHAnsi"/>
          <w:sz w:val="22"/>
          <w:szCs w:val="22"/>
          <w:lang w:val="en-ZW"/>
        </w:rPr>
        <w:t>2017 Annual Operations, Maintenance, and Monitoring Report</w:t>
      </w:r>
      <w:r w:rsidRPr="00220B19">
        <w:rPr>
          <w:rFonts w:eastAsiaTheme="minorHAnsi"/>
          <w:sz w:val="22"/>
          <w:szCs w:val="22"/>
          <w:lang w:val="en-ZW"/>
        </w:rPr>
        <w:t xml:space="preserve">, Former Koppers </w:t>
      </w:r>
      <w:r>
        <w:rPr>
          <w:rFonts w:eastAsiaTheme="minorHAnsi"/>
          <w:sz w:val="22"/>
          <w:szCs w:val="22"/>
          <w:lang w:val="en-ZW"/>
        </w:rPr>
        <w:t xml:space="preserve">Facility, Wauna, Oregon, </w:t>
      </w:r>
      <w:r w:rsidR="00905F10">
        <w:rPr>
          <w:rFonts w:eastAsiaTheme="minorHAnsi"/>
          <w:sz w:val="22"/>
          <w:szCs w:val="22"/>
          <w:lang w:val="en-ZW"/>
        </w:rPr>
        <w:t>April 20</w:t>
      </w:r>
      <w:r>
        <w:rPr>
          <w:rFonts w:eastAsiaTheme="minorHAnsi"/>
          <w:sz w:val="22"/>
          <w:szCs w:val="22"/>
          <w:lang w:val="en-ZW"/>
        </w:rPr>
        <w:t>.</w:t>
      </w:r>
    </w:p>
    <w:p w:rsidR="00905F10" w:rsidRDefault="00905F10" w:rsidP="003C5572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</w:p>
    <w:p w:rsidR="00905F10" w:rsidRDefault="00905F10" w:rsidP="00905F10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  <w:r>
        <w:rPr>
          <w:rFonts w:eastAsiaTheme="minorHAnsi"/>
          <w:sz w:val="22"/>
          <w:szCs w:val="22"/>
          <w:lang w:val="en-ZW"/>
        </w:rPr>
        <w:t>2018</w:t>
      </w:r>
      <w:r>
        <w:rPr>
          <w:rFonts w:eastAsiaTheme="minorHAnsi"/>
          <w:sz w:val="22"/>
          <w:szCs w:val="22"/>
          <w:lang w:val="en-ZW"/>
        </w:rPr>
        <w:t xml:space="preserve">. </w:t>
      </w:r>
      <w:r>
        <w:rPr>
          <w:rFonts w:eastAsiaTheme="minorHAnsi"/>
          <w:sz w:val="22"/>
          <w:szCs w:val="22"/>
          <w:lang w:val="en-ZW"/>
        </w:rPr>
        <w:t>Wood</w:t>
      </w:r>
      <w:r w:rsidRPr="00905F10">
        <w:rPr>
          <w:rFonts w:eastAsiaTheme="minorHAnsi"/>
          <w:sz w:val="22"/>
          <w:szCs w:val="22"/>
          <w:lang w:val="en-ZW"/>
        </w:rPr>
        <w:t xml:space="preserve"> </w:t>
      </w:r>
      <w:r w:rsidRPr="00220B19">
        <w:rPr>
          <w:rFonts w:eastAsiaTheme="minorHAnsi"/>
          <w:sz w:val="22"/>
          <w:szCs w:val="22"/>
          <w:lang w:val="en-ZW"/>
        </w:rPr>
        <w:t>Environment &amp; Infrastructure</w:t>
      </w:r>
      <w:r>
        <w:rPr>
          <w:rFonts w:eastAsiaTheme="minorHAnsi"/>
          <w:sz w:val="22"/>
          <w:szCs w:val="22"/>
          <w:lang w:val="en-ZW"/>
        </w:rPr>
        <w:t xml:space="preserve"> Solutions, Inc.</w:t>
      </w:r>
      <w:r w:rsidRPr="00220B19">
        <w:rPr>
          <w:rFonts w:eastAsiaTheme="minorHAnsi"/>
          <w:sz w:val="22"/>
          <w:szCs w:val="22"/>
          <w:lang w:val="en-ZW"/>
        </w:rPr>
        <w:t xml:space="preserve">, </w:t>
      </w:r>
      <w:r>
        <w:rPr>
          <w:rFonts w:eastAsiaTheme="minorHAnsi"/>
          <w:sz w:val="22"/>
          <w:szCs w:val="22"/>
          <w:lang w:val="en-ZW"/>
        </w:rPr>
        <w:t>2018 Semi-annual</w:t>
      </w:r>
      <w:r>
        <w:rPr>
          <w:rFonts w:eastAsiaTheme="minorHAnsi"/>
          <w:sz w:val="22"/>
          <w:szCs w:val="22"/>
          <w:lang w:val="en-ZW"/>
        </w:rPr>
        <w:t xml:space="preserve"> </w:t>
      </w:r>
      <w:r>
        <w:rPr>
          <w:rFonts w:eastAsiaTheme="minorHAnsi"/>
          <w:sz w:val="22"/>
          <w:szCs w:val="22"/>
          <w:lang w:val="en-ZW"/>
        </w:rPr>
        <w:t xml:space="preserve">Progress, </w:t>
      </w:r>
      <w:r>
        <w:rPr>
          <w:rFonts w:eastAsiaTheme="minorHAnsi"/>
          <w:sz w:val="22"/>
          <w:szCs w:val="22"/>
          <w:lang w:val="en-ZW"/>
        </w:rPr>
        <w:t>Operations, Monitoring</w:t>
      </w:r>
      <w:r>
        <w:rPr>
          <w:rFonts w:eastAsiaTheme="minorHAnsi"/>
          <w:sz w:val="22"/>
          <w:szCs w:val="22"/>
          <w:lang w:val="en-ZW"/>
        </w:rPr>
        <w:t xml:space="preserve"> and</w:t>
      </w:r>
      <w:r>
        <w:rPr>
          <w:rFonts w:eastAsiaTheme="minorHAnsi"/>
          <w:sz w:val="22"/>
          <w:szCs w:val="22"/>
          <w:lang w:val="en-ZW"/>
        </w:rPr>
        <w:t xml:space="preserve"> </w:t>
      </w:r>
      <w:r>
        <w:rPr>
          <w:rFonts w:eastAsiaTheme="minorHAnsi"/>
          <w:sz w:val="22"/>
          <w:szCs w:val="22"/>
          <w:lang w:val="en-ZW"/>
        </w:rPr>
        <w:t xml:space="preserve">Maintenance </w:t>
      </w:r>
      <w:r>
        <w:rPr>
          <w:rFonts w:eastAsiaTheme="minorHAnsi"/>
          <w:sz w:val="22"/>
          <w:szCs w:val="22"/>
          <w:lang w:val="en-ZW"/>
        </w:rPr>
        <w:t>Report</w:t>
      </w:r>
      <w:r w:rsidRPr="00220B19">
        <w:rPr>
          <w:rFonts w:eastAsiaTheme="minorHAnsi"/>
          <w:sz w:val="22"/>
          <w:szCs w:val="22"/>
          <w:lang w:val="en-ZW"/>
        </w:rPr>
        <w:t xml:space="preserve">, Former Koppers </w:t>
      </w:r>
      <w:r>
        <w:rPr>
          <w:rFonts w:eastAsiaTheme="minorHAnsi"/>
          <w:sz w:val="22"/>
          <w:szCs w:val="22"/>
          <w:lang w:val="en-ZW"/>
        </w:rPr>
        <w:t>F</w:t>
      </w:r>
      <w:r>
        <w:rPr>
          <w:rFonts w:eastAsiaTheme="minorHAnsi"/>
          <w:sz w:val="22"/>
          <w:szCs w:val="22"/>
          <w:lang w:val="en-ZW"/>
        </w:rPr>
        <w:t>acility, Wauna, Oregon, July 2</w:t>
      </w:r>
      <w:r>
        <w:rPr>
          <w:rFonts w:eastAsiaTheme="minorHAnsi"/>
          <w:sz w:val="22"/>
          <w:szCs w:val="22"/>
          <w:lang w:val="en-ZW"/>
        </w:rPr>
        <w:t>.</w:t>
      </w:r>
    </w:p>
    <w:p w:rsidR="00905F10" w:rsidRDefault="00905F10" w:rsidP="003C5572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</w:p>
    <w:p w:rsidR="003C5572" w:rsidRPr="00220B19" w:rsidRDefault="003C5572" w:rsidP="00220B19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ZW"/>
        </w:rPr>
      </w:pPr>
    </w:p>
    <w:p w:rsidR="00220B19" w:rsidRPr="00220B19" w:rsidRDefault="00220B19" w:rsidP="00220B19">
      <w:pPr>
        <w:widowControl w:val="0"/>
        <w:spacing w:before="120" w:after="80"/>
        <w:rPr>
          <w:sz w:val="24"/>
          <w:szCs w:val="24"/>
        </w:rPr>
      </w:pPr>
    </w:p>
    <w:sectPr w:rsidR="00220B19" w:rsidRPr="00220B19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36" w:rsidRDefault="00204B36">
      <w:r>
        <w:separator/>
      </w:r>
    </w:p>
  </w:endnote>
  <w:endnote w:type="continuationSeparator" w:id="0">
    <w:p w:rsidR="00204B36" w:rsidRDefault="0020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36" w:rsidRDefault="00204B36">
      <w:r>
        <w:separator/>
      </w:r>
    </w:p>
  </w:footnote>
  <w:footnote w:type="continuationSeparator" w:id="0">
    <w:p w:rsidR="00204B36" w:rsidRDefault="0020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204B36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69DF"/>
    <w:rsid w:val="0007130C"/>
    <w:rsid w:val="000759FD"/>
    <w:rsid w:val="000819A5"/>
    <w:rsid w:val="000C6492"/>
    <w:rsid w:val="00144302"/>
    <w:rsid w:val="001630E9"/>
    <w:rsid w:val="0018360E"/>
    <w:rsid w:val="001A2041"/>
    <w:rsid w:val="001A61CB"/>
    <w:rsid w:val="001C27D1"/>
    <w:rsid w:val="001D0EA0"/>
    <w:rsid w:val="00204B36"/>
    <w:rsid w:val="00215294"/>
    <w:rsid w:val="00216B3F"/>
    <w:rsid w:val="00220B19"/>
    <w:rsid w:val="00227F8C"/>
    <w:rsid w:val="00231D0E"/>
    <w:rsid w:val="002C5310"/>
    <w:rsid w:val="003129EB"/>
    <w:rsid w:val="00394F4E"/>
    <w:rsid w:val="003C2D77"/>
    <w:rsid w:val="003C5572"/>
    <w:rsid w:val="004053C6"/>
    <w:rsid w:val="00442032"/>
    <w:rsid w:val="00452E8E"/>
    <w:rsid w:val="00453011"/>
    <w:rsid w:val="00483A56"/>
    <w:rsid w:val="005029D0"/>
    <w:rsid w:val="005218CD"/>
    <w:rsid w:val="00535646"/>
    <w:rsid w:val="005734CB"/>
    <w:rsid w:val="00573579"/>
    <w:rsid w:val="005875C1"/>
    <w:rsid w:val="005A5A35"/>
    <w:rsid w:val="005B02CC"/>
    <w:rsid w:val="005C3EB5"/>
    <w:rsid w:val="00636083"/>
    <w:rsid w:val="00662B0F"/>
    <w:rsid w:val="006E2794"/>
    <w:rsid w:val="00712124"/>
    <w:rsid w:val="00715925"/>
    <w:rsid w:val="007A1C3E"/>
    <w:rsid w:val="0082599D"/>
    <w:rsid w:val="008673F3"/>
    <w:rsid w:val="008734B6"/>
    <w:rsid w:val="00883434"/>
    <w:rsid w:val="008959AE"/>
    <w:rsid w:val="00905F10"/>
    <w:rsid w:val="00934745"/>
    <w:rsid w:val="00957402"/>
    <w:rsid w:val="0097115C"/>
    <w:rsid w:val="009861F8"/>
    <w:rsid w:val="009B1597"/>
    <w:rsid w:val="009C7FB4"/>
    <w:rsid w:val="00A10F66"/>
    <w:rsid w:val="00A40097"/>
    <w:rsid w:val="00A52D24"/>
    <w:rsid w:val="00A741B6"/>
    <w:rsid w:val="00A741F1"/>
    <w:rsid w:val="00AD284E"/>
    <w:rsid w:val="00AE6A44"/>
    <w:rsid w:val="00AF2D53"/>
    <w:rsid w:val="00B07DC3"/>
    <w:rsid w:val="00B20C10"/>
    <w:rsid w:val="00B53634"/>
    <w:rsid w:val="00B6058C"/>
    <w:rsid w:val="00B85589"/>
    <w:rsid w:val="00BA2157"/>
    <w:rsid w:val="00BF4F5B"/>
    <w:rsid w:val="00C625D6"/>
    <w:rsid w:val="00C66C4C"/>
    <w:rsid w:val="00C70995"/>
    <w:rsid w:val="00C902CE"/>
    <w:rsid w:val="00C90B27"/>
    <w:rsid w:val="00CD0A34"/>
    <w:rsid w:val="00D20FDE"/>
    <w:rsid w:val="00D30932"/>
    <w:rsid w:val="00D337B9"/>
    <w:rsid w:val="00D463D5"/>
    <w:rsid w:val="00D62C0F"/>
    <w:rsid w:val="00D646FA"/>
    <w:rsid w:val="00D80FBC"/>
    <w:rsid w:val="00DA5A46"/>
    <w:rsid w:val="00E04940"/>
    <w:rsid w:val="00E06EFC"/>
    <w:rsid w:val="00E645A3"/>
    <w:rsid w:val="00EB76DF"/>
    <w:rsid w:val="00ED61B6"/>
    <w:rsid w:val="00F04519"/>
    <w:rsid w:val="00F97DA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ACCD09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15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NWR1\templates\DEQ%20Letterheads\ZcolorNW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ZcolorNWR.dotx</Template>
  <TotalTime>200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23</cp:revision>
  <cp:lastPrinted>2016-03-08T00:36:00Z</cp:lastPrinted>
  <dcterms:created xsi:type="dcterms:W3CDTF">2016-03-08T19:12:00Z</dcterms:created>
  <dcterms:modified xsi:type="dcterms:W3CDTF">2018-07-24T23:48:00Z</dcterms:modified>
</cp:coreProperties>
</file>