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7B15B" w14:textId="2B2753F6" w:rsidR="007700C9" w:rsidRDefault="007700C9" w:rsidP="007700C9">
      <w:pPr>
        <w:spacing w:line="240" w:lineRule="auto"/>
        <w:rPr>
          <w:rFonts w:ascii="Arial" w:hAnsi="Arial" w:cs="Arial"/>
        </w:rPr>
      </w:pPr>
      <w:r>
        <w:rPr>
          <w:rFonts w:ascii="Arial" w:hAnsi="Arial" w:cs="Arial"/>
        </w:rPr>
        <w:t xml:space="preserve">DEQ email from PM Angel </w:t>
      </w:r>
      <w:proofErr w:type="spellStart"/>
      <w:r>
        <w:rPr>
          <w:rFonts w:ascii="Arial" w:hAnsi="Arial" w:cs="Arial"/>
        </w:rPr>
        <w:t>Rovira</w:t>
      </w:r>
      <w:proofErr w:type="spellEnd"/>
      <w:r>
        <w:rPr>
          <w:rFonts w:ascii="Arial" w:hAnsi="Arial" w:cs="Arial"/>
        </w:rPr>
        <w:t xml:space="preserve"> on 2/10/2022 for additional work,</w:t>
      </w:r>
    </w:p>
    <w:p w14:paraId="17C7CCC5" w14:textId="2FB04E46" w:rsidR="007700C9" w:rsidRDefault="007700C9" w:rsidP="007700C9">
      <w:pPr>
        <w:spacing w:line="240" w:lineRule="auto"/>
        <w:rPr>
          <w:rFonts w:ascii="Arial" w:hAnsi="Arial" w:cs="Arial"/>
        </w:rPr>
      </w:pPr>
      <w:r>
        <w:rPr>
          <w:rFonts w:ascii="Arial" w:hAnsi="Arial" w:cs="Arial"/>
        </w:rPr>
        <w:t>Hello Jonathan,</w:t>
      </w:r>
    </w:p>
    <w:p w14:paraId="1EB2800B" w14:textId="77777777" w:rsidR="007700C9" w:rsidRDefault="007700C9" w:rsidP="007700C9">
      <w:pPr>
        <w:spacing w:line="240" w:lineRule="auto"/>
        <w:rPr>
          <w:rFonts w:ascii="Arial" w:hAnsi="Arial" w:cs="Arial"/>
        </w:rPr>
      </w:pPr>
      <w:r>
        <w:rPr>
          <w:rFonts w:ascii="Arial" w:hAnsi="Arial" w:cs="Arial"/>
        </w:rPr>
        <w:t xml:space="preserve">Hope all is well. </w:t>
      </w:r>
    </w:p>
    <w:p w14:paraId="73D5A141" w14:textId="1ECCDA63" w:rsidR="007700C9" w:rsidRDefault="007700C9" w:rsidP="007700C9">
      <w:pPr>
        <w:spacing w:line="240" w:lineRule="auto"/>
        <w:rPr>
          <w:rFonts w:ascii="Arial" w:hAnsi="Arial" w:cs="Arial"/>
        </w:rPr>
      </w:pPr>
      <w:r>
        <w:rPr>
          <w:rFonts w:ascii="Arial" w:hAnsi="Arial" w:cs="Arial"/>
        </w:rPr>
        <w:t>After reviewing the reports and meeting with the Lead Worker for the area, we have the following comments.</w:t>
      </w:r>
    </w:p>
    <w:p w14:paraId="1B4EDEAC" w14:textId="4AC6838B" w:rsidR="007700C9" w:rsidRPr="007700C9" w:rsidRDefault="007700C9" w:rsidP="007700C9">
      <w:pPr>
        <w:pStyle w:val="ListParagraph"/>
        <w:numPr>
          <w:ilvl w:val="0"/>
          <w:numId w:val="2"/>
        </w:numPr>
        <w:spacing w:after="0" w:line="240" w:lineRule="auto"/>
        <w:contextualSpacing w:val="0"/>
        <w:rPr>
          <w:rFonts w:ascii="Arial" w:eastAsia="Times New Roman" w:hAnsi="Arial" w:cs="Arial"/>
        </w:rPr>
      </w:pPr>
      <w:r>
        <w:rPr>
          <w:rFonts w:ascii="Arial" w:eastAsia="Times New Roman" w:hAnsi="Arial" w:cs="Arial"/>
        </w:rPr>
        <w:t xml:space="preserve">Please determine through a beneficial water use determination that surrounding properties are connected to a municipal water supply and no domestic wells are active. </w:t>
      </w:r>
    </w:p>
    <w:p w14:paraId="7F57DF78" w14:textId="2F646210" w:rsidR="007700C9" w:rsidRPr="007700C9" w:rsidRDefault="007700C9" w:rsidP="007700C9">
      <w:pPr>
        <w:pStyle w:val="ListParagraph"/>
        <w:numPr>
          <w:ilvl w:val="0"/>
          <w:numId w:val="2"/>
        </w:numPr>
        <w:spacing w:after="0" w:line="240" w:lineRule="auto"/>
        <w:contextualSpacing w:val="0"/>
        <w:rPr>
          <w:rFonts w:ascii="Arial" w:eastAsia="Times New Roman" w:hAnsi="Arial" w:cs="Arial"/>
        </w:rPr>
      </w:pPr>
      <w:r>
        <w:rPr>
          <w:rFonts w:ascii="Arial" w:eastAsia="Times New Roman" w:hAnsi="Arial" w:cs="Arial"/>
        </w:rPr>
        <w:t xml:space="preserve">DEQ notes the soil RBC for vapor intrusion of gasoline into a residence is exceed at DP-1 and DP-6. We believe that some proximate soil gas samples would likely alleviate the requirement for a residential land use restriction based on that detection. As you’re aware, there’s always the possibility the soil gas could come back with elevated detections. However, based on a lack of BTEX at the site we feel that risk is low. Also, the costs for DEQ to write, review and approve an EES document to be filed with Jackson County should be factored.      </w:t>
      </w:r>
    </w:p>
    <w:p w14:paraId="6924FE45" w14:textId="77777777" w:rsidR="007700C9" w:rsidRDefault="007700C9" w:rsidP="007700C9">
      <w:pPr>
        <w:pStyle w:val="ListParagraph"/>
        <w:numPr>
          <w:ilvl w:val="0"/>
          <w:numId w:val="2"/>
        </w:numPr>
        <w:spacing w:after="0" w:line="240" w:lineRule="auto"/>
        <w:contextualSpacing w:val="0"/>
        <w:rPr>
          <w:rFonts w:ascii="Arial" w:eastAsia="Times New Roman" w:hAnsi="Arial" w:cs="Arial"/>
        </w:rPr>
      </w:pPr>
      <w:r>
        <w:rPr>
          <w:rFonts w:ascii="Arial" w:eastAsia="Times New Roman" w:hAnsi="Arial" w:cs="Arial"/>
        </w:rPr>
        <w:t xml:space="preserve">DEQ did not observe an evaluation of building construction materials for the structures on the site. As such, an NFA may include language pertaining to the omission in the investigation as to the construction materials of the building structures. </w:t>
      </w:r>
    </w:p>
    <w:p w14:paraId="4603642A" w14:textId="5A16D55E" w:rsidR="007700C9" w:rsidRDefault="007700C9" w:rsidP="007700C9">
      <w:pPr>
        <w:pBdr>
          <w:bottom w:val="single" w:sz="12" w:space="1" w:color="auto"/>
        </w:pBdr>
        <w:spacing w:line="240" w:lineRule="auto"/>
        <w:rPr>
          <w:rFonts w:ascii="Arial" w:hAnsi="Arial" w:cs="Arial"/>
        </w:rPr>
      </w:pPr>
      <w:r>
        <w:rPr>
          <w:rFonts w:ascii="Arial" w:hAnsi="Arial" w:cs="Arial"/>
        </w:rPr>
        <w:t>Let me know if you have any questions or like to discuss further.</w:t>
      </w:r>
      <w:r>
        <w:rPr>
          <w:rFonts w:ascii="Arial" w:hAnsi="Arial" w:cs="Arial"/>
        </w:rPr>
        <w:t xml:space="preserve"> </w:t>
      </w:r>
      <w:r>
        <w:rPr>
          <w:rFonts w:ascii="Arial" w:hAnsi="Arial" w:cs="Arial"/>
        </w:rPr>
        <w:t>Thank you,</w:t>
      </w:r>
    </w:p>
    <w:p w14:paraId="390468BE" w14:textId="77777777" w:rsidR="007700C9" w:rsidRDefault="007700C9" w:rsidP="007700C9">
      <w:pPr>
        <w:pBdr>
          <w:bottom w:val="single" w:sz="12" w:space="1" w:color="auto"/>
        </w:pBdr>
        <w:spacing w:line="240" w:lineRule="auto"/>
        <w:rPr>
          <w:rFonts w:ascii="Arial" w:hAnsi="Arial" w:cs="Arial"/>
        </w:rPr>
      </w:pPr>
    </w:p>
    <w:p w14:paraId="25F264D0" w14:textId="7E5822EF" w:rsidR="00C867A8" w:rsidRDefault="007700C9" w:rsidP="007700C9">
      <w:r>
        <w:t>Response on 3/11/2022</w:t>
      </w:r>
    </w:p>
    <w:p w14:paraId="2365DA5E" w14:textId="77777777" w:rsidR="00C867A8" w:rsidRDefault="00C867A8" w:rsidP="00C867A8">
      <w:pPr>
        <w:spacing w:after="0" w:line="240" w:lineRule="auto"/>
      </w:pPr>
      <w:r>
        <w:t>Key elements of the proposed next steps are the following:</w:t>
      </w:r>
    </w:p>
    <w:p w14:paraId="15772031" w14:textId="77777777" w:rsidR="00C867A8" w:rsidRDefault="00C867A8" w:rsidP="00C867A8">
      <w:pPr>
        <w:spacing w:after="0" w:line="240" w:lineRule="auto"/>
      </w:pPr>
    </w:p>
    <w:p w14:paraId="161ABBB0" w14:textId="06FAB6C1" w:rsidR="00C867A8" w:rsidRDefault="00C867A8" w:rsidP="00C867A8">
      <w:pPr>
        <w:pStyle w:val="ListParagraph"/>
        <w:numPr>
          <w:ilvl w:val="0"/>
          <w:numId w:val="1"/>
        </w:numPr>
        <w:spacing w:after="0" w:line="240" w:lineRule="auto"/>
      </w:pPr>
      <w:r>
        <w:t xml:space="preserve">Regarding the beneficial use determination, we will complete that task by obtaining and reviewing readily available well log data from the Oregon Water Resources Department online database for water supply wells located within a 1/4-mile radius of the Site. We will prepare a figure illustrating the approximate locations of any water supply wells we identify within this radius and include the logs for these wells in the forthcoming Supplemental Investigation Report. </w:t>
      </w:r>
    </w:p>
    <w:p w14:paraId="5B41CD79" w14:textId="77777777" w:rsidR="00C867A8" w:rsidRDefault="00C867A8" w:rsidP="00C867A8">
      <w:pPr>
        <w:pStyle w:val="ListParagraph"/>
        <w:spacing w:after="0" w:line="240" w:lineRule="auto"/>
      </w:pPr>
    </w:p>
    <w:p w14:paraId="1A9F1825" w14:textId="0674801D" w:rsidR="00C867A8" w:rsidRDefault="00C867A8" w:rsidP="00C867A8">
      <w:pPr>
        <w:pStyle w:val="ListParagraph"/>
        <w:numPr>
          <w:ilvl w:val="0"/>
          <w:numId w:val="1"/>
        </w:numPr>
        <w:spacing w:after="0" w:line="240" w:lineRule="auto"/>
      </w:pPr>
      <w:r>
        <w:t>Regarding the soil gas issue, we will collect two soil gas samples proximal to the borings (DP-1 and DP-6) where we had residual TPH-g concentrations in deeper soil (</w:t>
      </w:r>
      <w:proofErr w:type="gramStart"/>
      <w:r>
        <w:t>i.e.</w:t>
      </w:r>
      <w:proofErr w:type="gramEnd"/>
      <w:r>
        <w:t xml:space="preserve"> 8 feet below ground surface) that exceeded the generic risk-based concentration (RBC) for vapor intrusion into buildings for residential receptors. Please review the attached figure which illustrates the proposed soil gas sample locations to confirm we have the proposed locations in the correct spots.</w:t>
      </w:r>
    </w:p>
    <w:p w14:paraId="3E639441" w14:textId="77777777" w:rsidR="00C867A8" w:rsidRDefault="00C867A8" w:rsidP="00C867A8">
      <w:pPr>
        <w:spacing w:after="0" w:line="240" w:lineRule="auto"/>
      </w:pPr>
    </w:p>
    <w:p w14:paraId="646E08AC" w14:textId="42172A90" w:rsidR="00C867A8" w:rsidRDefault="00C867A8" w:rsidP="00C867A8">
      <w:pPr>
        <w:pStyle w:val="ListParagraph"/>
        <w:numPr>
          <w:ilvl w:val="0"/>
          <w:numId w:val="1"/>
        </w:numPr>
        <w:spacing w:after="0" w:line="240" w:lineRule="auto"/>
      </w:pPr>
      <w:r>
        <w:t>The objective of this approach is to determine whether residual gasoline-related contamination in soil at the Site truly pose a risk to human receptors via the vapor intrusion into buildings pathway, or if that pathway can be eliminated from concern by the soil gas sample analytical results.</w:t>
      </w:r>
    </w:p>
    <w:p w14:paraId="0DC8C031" w14:textId="77777777" w:rsidR="00C867A8" w:rsidRDefault="00C867A8" w:rsidP="00C867A8">
      <w:pPr>
        <w:spacing w:after="0" w:line="240" w:lineRule="auto"/>
      </w:pPr>
    </w:p>
    <w:p w14:paraId="6C4FA864" w14:textId="6DD3034A" w:rsidR="00C867A8" w:rsidRDefault="00C867A8" w:rsidP="00C867A8">
      <w:pPr>
        <w:pStyle w:val="ListParagraph"/>
        <w:numPr>
          <w:ilvl w:val="0"/>
          <w:numId w:val="1"/>
        </w:numPr>
        <w:spacing w:after="0" w:line="240" w:lineRule="auto"/>
      </w:pPr>
      <w:r>
        <w:t xml:space="preserve">The soil gas samples would be collected by driving stainless steel soil gas probes 2 to 3 feet below ground surface. Soil gas sampling will be completed consistent with the protocols outlined in the June 2015 EPA Office of Solid Waste and Emergency Response (OSWER) </w:t>
      </w:r>
      <w:r>
        <w:lastRenderedPageBreak/>
        <w:t>Technical Guide for Assessing and Mitigating the Vapor Intrusion Pathway from Subsurface Vapor Sources to Indoor Air, which incorporates by reference the quantitative leak testing protocols presented in the California Environmental Protection Agency (CalEPA) Department of Toxic Substances Control (DTSC) Advisory – Active Soil Gas Investigations of 2015.</w:t>
      </w:r>
    </w:p>
    <w:p w14:paraId="5332307B" w14:textId="77777777" w:rsidR="00C867A8" w:rsidRDefault="00C867A8" w:rsidP="00C867A8">
      <w:pPr>
        <w:spacing w:after="0" w:line="240" w:lineRule="auto"/>
      </w:pPr>
    </w:p>
    <w:p w14:paraId="46FBF279" w14:textId="2B34A698" w:rsidR="00C867A8" w:rsidRDefault="00C867A8" w:rsidP="00C867A8">
      <w:pPr>
        <w:pStyle w:val="ListParagraph"/>
        <w:numPr>
          <w:ilvl w:val="0"/>
          <w:numId w:val="1"/>
        </w:numPr>
        <w:spacing w:after="0" w:line="240" w:lineRule="auto"/>
      </w:pPr>
      <w:r>
        <w:t xml:space="preserve">The two soil gas samples would be collected in 1-liter Summa canisters and submitted to Eurofins laboratory of Garden Grove, California or ALS Group USA of Simi Valley, California. </w:t>
      </w:r>
    </w:p>
    <w:p w14:paraId="1DE7D3F0" w14:textId="77777777" w:rsidR="00C867A8" w:rsidRDefault="00C867A8" w:rsidP="00C867A8">
      <w:pPr>
        <w:spacing w:after="0" w:line="240" w:lineRule="auto"/>
      </w:pPr>
    </w:p>
    <w:p w14:paraId="5897FC22" w14:textId="1833F69E" w:rsidR="00C867A8" w:rsidRDefault="00C867A8" w:rsidP="00C867A8">
      <w:pPr>
        <w:pStyle w:val="ListParagraph"/>
        <w:numPr>
          <w:ilvl w:val="0"/>
          <w:numId w:val="1"/>
        </w:numPr>
        <w:spacing w:after="0" w:line="240" w:lineRule="auto"/>
      </w:pPr>
      <w:r>
        <w:t>Both soil gas samples would be submitted for the following analyses: TPH-g by USEPA TO-3 Modified or equivalent and helium by USEPA Method D1946.</w:t>
      </w:r>
    </w:p>
    <w:p w14:paraId="34FCCDDA" w14:textId="77777777" w:rsidR="00C867A8" w:rsidRDefault="00C867A8" w:rsidP="00C867A8">
      <w:pPr>
        <w:spacing w:after="0" w:line="240" w:lineRule="auto"/>
      </w:pPr>
    </w:p>
    <w:p w14:paraId="5A4093BF" w14:textId="6171FA10" w:rsidR="00C867A8" w:rsidRDefault="00C867A8" w:rsidP="00C867A8">
      <w:pPr>
        <w:pStyle w:val="ListParagraph"/>
        <w:numPr>
          <w:ilvl w:val="0"/>
          <w:numId w:val="1"/>
        </w:numPr>
        <w:spacing w:after="0" w:line="240" w:lineRule="auto"/>
      </w:pPr>
      <w:r>
        <w:t xml:space="preserve">The analytical results will then be compared to the generic RBC for the vapor intrusion into buildings pathway for residential receptors. </w:t>
      </w:r>
    </w:p>
    <w:p w14:paraId="6C9317CB" w14:textId="77777777" w:rsidR="00C867A8" w:rsidRDefault="00C867A8" w:rsidP="00C867A8">
      <w:pPr>
        <w:pStyle w:val="ListParagraph"/>
        <w:spacing w:after="0" w:line="240" w:lineRule="auto"/>
      </w:pPr>
    </w:p>
    <w:p w14:paraId="7A70E52B" w14:textId="6204BABC" w:rsidR="00C867A8" w:rsidRDefault="00C867A8" w:rsidP="00C867A8">
      <w:pPr>
        <w:pStyle w:val="ListParagraph"/>
        <w:numPr>
          <w:ilvl w:val="0"/>
          <w:numId w:val="1"/>
        </w:numPr>
        <w:spacing w:after="0" w:line="240" w:lineRule="auto"/>
      </w:pPr>
      <w:r>
        <w:t xml:space="preserve">Regarding the issue of building materials, the client has shared with us an asbestos survey report dated May 2019 for the restaurant building. We will include this asbestos survey report as an attachment to the Supplemental Investigation Report. Not surprisingly given the vintage of the restaurant building, some asbestos containing material (ACM) was identified. The client understands this ACM will need to properly </w:t>
      </w:r>
      <w:proofErr w:type="gramStart"/>
      <w:r>
        <w:t>abated</w:t>
      </w:r>
      <w:proofErr w:type="gramEnd"/>
      <w:r>
        <w:t xml:space="preserve"> prior to building demolition should the building be demolished. We don’t believe an asbestos survey report has been completed for the garage on the southern end of the Site. The client also understands that prior to demolition of the garage building, an asbestos survey and abatement of any identified ACM would be required should this building be demolished in the future.</w:t>
      </w:r>
    </w:p>
    <w:p w14:paraId="6A7C9F07" w14:textId="77777777" w:rsidR="00C867A8" w:rsidRDefault="00C867A8" w:rsidP="00C867A8">
      <w:pPr>
        <w:spacing w:after="0" w:line="240" w:lineRule="auto"/>
      </w:pPr>
    </w:p>
    <w:p w14:paraId="58149A35" w14:textId="2BD88652" w:rsidR="00C867A8" w:rsidRDefault="00C867A8" w:rsidP="00C867A8">
      <w:pPr>
        <w:pStyle w:val="ListParagraph"/>
        <w:numPr>
          <w:ilvl w:val="0"/>
          <w:numId w:val="1"/>
        </w:numPr>
        <w:spacing w:after="0" w:line="240" w:lineRule="auto"/>
      </w:pPr>
      <w:r>
        <w:t>The results of the beneficial use survey and soil gas sampling would be documented in a Supplemental Investigation Report. In addition, we’ll attach copies of the well logs, soil gas Field Sampling Data Sheets, photos of the soil gas sampling activities, the full soil gas analytical report, and a copy of the asbestos survey report for the restaurant building.</w:t>
      </w:r>
    </w:p>
    <w:p w14:paraId="296CB933" w14:textId="77777777" w:rsidR="00C867A8" w:rsidRDefault="00C867A8" w:rsidP="00C867A8">
      <w:pPr>
        <w:spacing w:after="0" w:line="240" w:lineRule="auto"/>
      </w:pPr>
    </w:p>
    <w:p w14:paraId="5B08981A" w14:textId="16412543" w:rsidR="00C867A8" w:rsidRDefault="00C867A8" w:rsidP="00C867A8">
      <w:pPr>
        <w:spacing w:after="0" w:line="240" w:lineRule="auto"/>
      </w:pPr>
      <w:r>
        <w:t>If you are comfortable with this proposed scope of work for the Supplemental Investigation, we will order the Summa canisters and proceed with the work later in March. All questions and comments are good, so please beat up the summary and let me know if you have any questions.</w:t>
      </w:r>
    </w:p>
    <w:p w14:paraId="5C3F2752" w14:textId="7DD46687" w:rsidR="007700C9" w:rsidRDefault="007700C9" w:rsidP="00C867A8">
      <w:pPr>
        <w:spacing w:after="0" w:line="240" w:lineRule="auto"/>
      </w:pPr>
    </w:p>
    <w:p w14:paraId="1870197C" w14:textId="77777777" w:rsidR="007700C9" w:rsidRDefault="007700C9" w:rsidP="007700C9">
      <w:pPr>
        <w:spacing w:after="0" w:line="240" w:lineRule="auto"/>
      </w:pPr>
      <w:r>
        <w:t>Jonathan D. Williams, R.G.</w:t>
      </w:r>
    </w:p>
    <w:p w14:paraId="1F8E5D4D" w14:textId="77777777" w:rsidR="007700C9" w:rsidRDefault="007700C9" w:rsidP="007700C9">
      <w:pPr>
        <w:spacing w:after="0" w:line="240" w:lineRule="auto"/>
      </w:pPr>
      <w:r>
        <w:t>Senior Hydrogeologist, Principal</w:t>
      </w:r>
    </w:p>
    <w:p w14:paraId="339E0FBE" w14:textId="77777777" w:rsidR="007700C9" w:rsidRDefault="007700C9" w:rsidP="007700C9">
      <w:pPr>
        <w:spacing w:after="0" w:line="240" w:lineRule="auto"/>
      </w:pPr>
      <w:r>
        <w:t>Alpine Environmental Consultants, LLC</w:t>
      </w:r>
    </w:p>
    <w:p w14:paraId="51CEAB69" w14:textId="77777777" w:rsidR="007700C9" w:rsidRDefault="007700C9" w:rsidP="007700C9">
      <w:pPr>
        <w:spacing w:after="0" w:line="240" w:lineRule="auto"/>
      </w:pPr>
      <w:r>
        <w:t>12210 Antioch Road</w:t>
      </w:r>
    </w:p>
    <w:p w14:paraId="0092CE9D" w14:textId="77777777" w:rsidR="007700C9" w:rsidRDefault="007700C9" w:rsidP="007700C9">
      <w:pPr>
        <w:spacing w:after="0" w:line="240" w:lineRule="auto"/>
      </w:pPr>
      <w:r>
        <w:t>White City, Oregon 97503</w:t>
      </w:r>
    </w:p>
    <w:p w14:paraId="1B0D0CFE" w14:textId="77777777" w:rsidR="007700C9" w:rsidRDefault="007700C9" w:rsidP="007700C9">
      <w:pPr>
        <w:spacing w:after="0" w:line="240" w:lineRule="auto"/>
      </w:pPr>
      <w:r>
        <w:t>541.944.4685</w:t>
      </w:r>
    </w:p>
    <w:p w14:paraId="5EB82957" w14:textId="77777777" w:rsidR="007700C9" w:rsidRDefault="007700C9" w:rsidP="007700C9">
      <w:pPr>
        <w:spacing w:after="0" w:line="240" w:lineRule="auto"/>
      </w:pPr>
      <w:hyperlink r:id="rId5" w:history="1">
        <w:r w:rsidRPr="00113226">
          <w:rPr>
            <w:rStyle w:val="Hyperlink"/>
          </w:rPr>
          <w:t>jwilliams@alpine-env-llc.com</w:t>
        </w:r>
      </w:hyperlink>
      <w:r>
        <w:t xml:space="preserve"> </w:t>
      </w:r>
    </w:p>
    <w:p w14:paraId="586E3EE7" w14:textId="77777777" w:rsidR="007700C9" w:rsidRDefault="007700C9" w:rsidP="00C867A8">
      <w:pPr>
        <w:spacing w:after="0" w:line="240" w:lineRule="auto"/>
      </w:pPr>
    </w:p>
    <w:sectPr w:rsidR="00770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7841"/>
    <w:multiLevelType w:val="hybridMultilevel"/>
    <w:tmpl w:val="4A5617BE"/>
    <w:lvl w:ilvl="0" w:tplc="2288298C">
      <w:start w:val="54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77ED4"/>
    <w:multiLevelType w:val="hybridMultilevel"/>
    <w:tmpl w:val="C4C2C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A8"/>
    <w:rsid w:val="007700C9"/>
    <w:rsid w:val="00C8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69E6"/>
  <w15:chartTrackingRefBased/>
  <w15:docId w15:val="{DCAFB6C4-4BA4-463A-84E2-A7C25465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7A8"/>
    <w:rPr>
      <w:color w:val="0563C1"/>
      <w:u w:val="single"/>
    </w:rPr>
  </w:style>
  <w:style w:type="character" w:styleId="UnresolvedMention">
    <w:name w:val="Unresolved Mention"/>
    <w:basedOn w:val="DefaultParagraphFont"/>
    <w:uiPriority w:val="99"/>
    <w:semiHidden/>
    <w:unhideWhenUsed/>
    <w:rsid w:val="00C867A8"/>
    <w:rPr>
      <w:color w:val="605E5C"/>
      <w:shd w:val="clear" w:color="auto" w:fill="E1DFDD"/>
    </w:rPr>
  </w:style>
  <w:style w:type="paragraph" w:styleId="ListParagraph">
    <w:name w:val="List Paragraph"/>
    <w:basedOn w:val="Normal"/>
    <w:uiPriority w:val="34"/>
    <w:qFormat/>
    <w:rsid w:val="00C86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420">
      <w:bodyDiv w:val="1"/>
      <w:marLeft w:val="0"/>
      <w:marRight w:val="0"/>
      <w:marTop w:val="0"/>
      <w:marBottom w:val="0"/>
      <w:divBdr>
        <w:top w:val="none" w:sz="0" w:space="0" w:color="auto"/>
        <w:left w:val="none" w:sz="0" w:space="0" w:color="auto"/>
        <w:bottom w:val="none" w:sz="0" w:space="0" w:color="auto"/>
        <w:right w:val="none" w:sz="0" w:space="0" w:color="auto"/>
      </w:divBdr>
    </w:div>
    <w:div w:id="16059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williams@alpine-env-ll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ROVIRA Angel * DEQ</dc:creator>
  <cp:keywords/>
  <dc:description/>
  <cp:lastModifiedBy>ROVIRA Angel * DEQ</cp:lastModifiedBy>
  <cp:revision>2</cp:revision>
  <dcterms:created xsi:type="dcterms:W3CDTF">2022-03-11T21:06:00Z</dcterms:created>
  <dcterms:modified xsi:type="dcterms:W3CDTF">2022-04-29T15:23:00Z</dcterms:modified>
</cp:coreProperties>
</file>