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14" w:type="dxa"/>
        <w:tblLayout w:type="fixed"/>
        <w:tblLook w:val="0000" w:firstRow="0" w:lastRow="0" w:firstColumn="0" w:lastColumn="0" w:noHBand="0" w:noVBand="0"/>
      </w:tblPr>
      <w:tblGrid>
        <w:gridCol w:w="9614"/>
      </w:tblGrid>
      <w:tr w:rsidR="00A128C2" w:rsidRPr="00E14A43" w14:paraId="6ED1F411" w14:textId="77777777" w:rsidTr="00D90844">
        <w:trPr>
          <w:trHeight w:val="864"/>
        </w:trPr>
        <w:tc>
          <w:tcPr>
            <w:tcW w:w="9614" w:type="dxa"/>
          </w:tcPr>
          <w:p w14:paraId="2D37F83D" w14:textId="7E0F3FFC" w:rsidR="00C067F4" w:rsidRDefault="00B85DD3" w:rsidP="0046175C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19614324" wp14:editId="0292088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891540" cy="8858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ichardson\AppData\Local\Microsoft\Windows\INetCache\Content.Word\2 inch Emblem Sp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73B0238" w14:textId="33F87014" w:rsidR="00724878" w:rsidRDefault="00724878" w:rsidP="00724878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</w:rPr>
            </w:pPr>
          </w:p>
          <w:p w14:paraId="0DD0F1D1" w14:textId="0CCC97A0" w:rsidR="00A128C2" w:rsidRPr="00BC4B89" w:rsidRDefault="00390409" w:rsidP="00B85DD3">
            <w:pPr>
              <w:tabs>
                <w:tab w:val="left" w:pos="907"/>
              </w:tabs>
              <w:spacing w:after="0" w:line="240" w:lineRule="auto"/>
              <w:rPr>
                <w:b/>
                <w:noProof/>
                <w:sz w:val="24"/>
                <w:u w:val="single"/>
              </w:rPr>
            </w:pPr>
            <w:r w:rsidRPr="00A27898">
              <w:rPr>
                <w:b/>
                <w:noProof/>
                <w:sz w:val="28"/>
                <w:szCs w:val="28"/>
              </w:rPr>
              <w:t>RESOLUTION</w:t>
            </w:r>
            <w:r w:rsidR="00A128C2" w:rsidRPr="00A27898">
              <w:rPr>
                <w:b/>
                <w:noProof/>
                <w:sz w:val="28"/>
                <w:szCs w:val="28"/>
              </w:rPr>
              <w:t xml:space="preserve"> NUMBER</w:t>
            </w:r>
            <w:r w:rsidR="00BC4B89">
              <w:rPr>
                <w:b/>
                <w:noProof/>
                <w:sz w:val="24"/>
              </w:rPr>
              <w:t xml:space="preserve"> </w:t>
            </w:r>
            <w:r w:rsidR="003C112E" w:rsidRPr="00C8688F">
              <w:rPr>
                <w:b/>
                <w:noProof/>
                <w:sz w:val="28"/>
                <w:szCs w:val="28"/>
              </w:rPr>
              <w:t>202</w:t>
            </w:r>
            <w:r w:rsidR="00C8688F">
              <w:rPr>
                <w:b/>
                <w:noProof/>
                <w:sz w:val="28"/>
                <w:szCs w:val="28"/>
              </w:rPr>
              <w:t>1-02</w:t>
            </w:r>
          </w:p>
          <w:p w14:paraId="1FC6D225" w14:textId="2BBAA2BB" w:rsidR="00D90844" w:rsidRDefault="00D90844" w:rsidP="00A128C2">
            <w:pPr>
              <w:tabs>
                <w:tab w:val="left" w:pos="907"/>
              </w:tabs>
              <w:spacing w:after="0" w:line="240" w:lineRule="auto"/>
              <w:jc w:val="center"/>
              <w:rPr>
                <w:b/>
                <w:noProof/>
                <w:sz w:val="24"/>
              </w:rPr>
            </w:pPr>
          </w:p>
          <w:p w14:paraId="23D99FBE" w14:textId="297889E5" w:rsidR="00403199" w:rsidRDefault="00403199" w:rsidP="00A128C2">
            <w:pPr>
              <w:tabs>
                <w:tab w:val="left" w:pos="907"/>
              </w:tabs>
              <w:spacing w:after="0" w:line="240" w:lineRule="auto"/>
              <w:jc w:val="center"/>
              <w:rPr>
                <w:b/>
                <w:noProof/>
                <w:sz w:val="24"/>
              </w:rPr>
            </w:pPr>
          </w:p>
        </w:tc>
      </w:tr>
      <w:tr w:rsidR="007841A2" w:rsidRPr="00E14A43" w14:paraId="4DC253C7" w14:textId="77777777" w:rsidTr="00D90844">
        <w:trPr>
          <w:trHeight w:val="864"/>
        </w:trPr>
        <w:tc>
          <w:tcPr>
            <w:tcW w:w="9614" w:type="dxa"/>
          </w:tcPr>
          <w:p w14:paraId="078D2B49" w14:textId="715A1C0F" w:rsidR="007841A2" w:rsidRPr="00390409" w:rsidRDefault="00390409" w:rsidP="00390409">
            <w:pPr>
              <w:pStyle w:val="BodyText"/>
              <w:tabs>
                <w:tab w:val="left" w:pos="2300"/>
              </w:tabs>
              <w:spacing w:line="244" w:lineRule="auto"/>
              <w:ind w:left="148" w:right="235" w:firstLine="734"/>
              <w:jc w:val="center"/>
              <w:rPr>
                <w:rFonts w:ascii="Century Gothic" w:hAnsi="Century Gothic" w:cs="Times New Roman"/>
                <w:b/>
                <w:i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</w:rPr>
              <w:t>A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 xml:space="preserve"> </w:t>
            </w:r>
            <w:r>
              <w:rPr>
                <w:rFonts w:ascii="Century Gothic" w:hAnsi="Century Gothic"/>
                <w:b/>
                <w:sz w:val="28"/>
              </w:rPr>
              <w:t>RESOLUTION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 xml:space="preserve"> OF THE CITY OF </w:t>
            </w:r>
            <w:r w:rsidR="00A128C2">
              <w:rPr>
                <w:rFonts w:ascii="Century Gothic" w:hAnsi="Century Gothic"/>
                <w:b/>
                <w:sz w:val="28"/>
              </w:rPr>
              <w:t>MOLALLA</w:t>
            </w:r>
            <w:r w:rsidR="00A128C2" w:rsidRPr="00A128C2">
              <w:rPr>
                <w:rFonts w:ascii="Century Gothic" w:hAnsi="Century Gothic"/>
                <w:b/>
                <w:sz w:val="28"/>
              </w:rPr>
              <w:t>, OREGON</w:t>
            </w:r>
            <w:r w:rsidR="00BC4B89">
              <w:rPr>
                <w:rFonts w:ascii="Century Gothic" w:hAnsi="Century Gothic"/>
                <w:b/>
                <w:sz w:val="28"/>
              </w:rPr>
              <w:t>,</w:t>
            </w:r>
            <w:r w:rsidR="00A6694B">
              <w:rPr>
                <w:rFonts w:ascii="Century Gothic" w:hAnsi="Century Gothic"/>
                <w:b/>
                <w:sz w:val="28"/>
              </w:rPr>
              <w:t xml:space="preserve"> </w:t>
            </w:r>
            <w:r w:rsidR="003C112E">
              <w:rPr>
                <w:rFonts w:ascii="Century Gothic" w:hAnsi="Century Gothic"/>
                <w:b/>
                <w:sz w:val="28"/>
              </w:rPr>
              <w:t xml:space="preserve">AUTHORIZING </w:t>
            </w:r>
            <w:r w:rsidR="00C8688F">
              <w:rPr>
                <w:rFonts w:ascii="Century Gothic" w:hAnsi="Century Gothic"/>
                <w:b/>
                <w:sz w:val="28"/>
              </w:rPr>
              <w:t>A LAND USE AND ZONING LETTER FEE</w:t>
            </w:r>
          </w:p>
        </w:tc>
      </w:tr>
      <w:tr w:rsidR="001B3578" w:rsidRPr="000E0160" w14:paraId="43AF1199" w14:textId="77777777" w:rsidTr="00D90844">
        <w:trPr>
          <w:trHeight w:val="252"/>
        </w:trPr>
        <w:tc>
          <w:tcPr>
            <w:tcW w:w="9614" w:type="dxa"/>
            <w:vAlign w:val="center"/>
          </w:tcPr>
          <w:p w14:paraId="3314E557" w14:textId="77777777" w:rsidR="001B3578" w:rsidRPr="000E0160" w:rsidRDefault="001B3578" w:rsidP="00210AEA">
            <w:pPr>
              <w:tabs>
                <w:tab w:val="left" w:pos="907"/>
              </w:tabs>
              <w:spacing w:after="0" w:line="240" w:lineRule="auto"/>
              <w:rPr>
                <w:rFonts w:ascii="Century Gothic" w:hAnsi="Century Gothic"/>
                <w:b/>
                <w:sz w:val="16"/>
                <w:szCs w:val="28"/>
              </w:rPr>
            </w:pPr>
          </w:p>
        </w:tc>
      </w:tr>
    </w:tbl>
    <w:p w14:paraId="2533CA20" w14:textId="3305380B" w:rsidR="000444F7" w:rsidRDefault="000444F7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>WHEREAS</w:t>
      </w:r>
      <w:r w:rsidR="00461878">
        <w:rPr>
          <w:rFonts w:ascii="Palatino Linotype" w:hAnsi="Palatino Linotype"/>
          <w:b/>
          <w:sz w:val="24"/>
          <w:szCs w:val="28"/>
        </w:rPr>
        <w:t xml:space="preserve">, </w:t>
      </w:r>
      <w:r w:rsidR="00A6694B">
        <w:rPr>
          <w:rFonts w:ascii="Palatino Linotype" w:hAnsi="Palatino Linotype"/>
          <w:sz w:val="24"/>
          <w:szCs w:val="28"/>
        </w:rPr>
        <w:t>the City of Molalla</w:t>
      </w:r>
      <w:r w:rsidRPr="00A11D51">
        <w:rPr>
          <w:rFonts w:ascii="Palatino Linotype" w:hAnsi="Palatino Linotype"/>
          <w:sz w:val="24"/>
          <w:szCs w:val="28"/>
        </w:rPr>
        <w:t xml:space="preserve"> </w:t>
      </w:r>
      <w:r w:rsidR="00C8688F">
        <w:rPr>
          <w:rFonts w:ascii="Palatino Linotype" w:hAnsi="Palatino Linotype"/>
          <w:sz w:val="24"/>
          <w:szCs w:val="28"/>
        </w:rPr>
        <w:t xml:space="preserve">has adopted a Development Ordinance and a Comprehensive Plan for the safe, efficient, structured growth and modernization of the City; and </w:t>
      </w:r>
    </w:p>
    <w:p w14:paraId="537A3592" w14:textId="6359D8D0" w:rsidR="00BC4B89" w:rsidRPr="00DE64FB" w:rsidRDefault="00BC4B89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4"/>
          <w:szCs w:val="28"/>
        </w:rPr>
      </w:pPr>
      <w:proofErr w:type="gramStart"/>
      <w:r w:rsidRPr="00A11D51">
        <w:rPr>
          <w:rFonts w:ascii="Palatino Linotype" w:hAnsi="Palatino Linotype"/>
          <w:b/>
          <w:sz w:val="24"/>
          <w:szCs w:val="28"/>
        </w:rPr>
        <w:t>WHEREAS,</w:t>
      </w:r>
      <w:proofErr w:type="gramEnd"/>
      <w:r>
        <w:rPr>
          <w:rFonts w:ascii="Palatino Linotype" w:hAnsi="Palatino Linotype"/>
          <w:b/>
          <w:sz w:val="24"/>
          <w:szCs w:val="28"/>
        </w:rPr>
        <w:t xml:space="preserve"> </w:t>
      </w:r>
      <w:r w:rsidR="00C8688F">
        <w:rPr>
          <w:rFonts w:ascii="Palatino Linotype" w:hAnsi="Palatino Linotype"/>
          <w:sz w:val="24"/>
          <w:szCs w:val="28"/>
        </w:rPr>
        <w:t xml:space="preserve">the City of Molalla Development Code and Comprehensive Plan dictate: what, when, where, and how land within the City may developed; and </w:t>
      </w:r>
    </w:p>
    <w:p w14:paraId="0432D32E" w14:textId="54A4E1DA" w:rsidR="00F649C0" w:rsidRPr="00DE64FB" w:rsidRDefault="00F649C0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4"/>
          <w:szCs w:val="28"/>
        </w:rPr>
      </w:pPr>
      <w:proofErr w:type="gramStart"/>
      <w:r w:rsidRPr="00DE64FB">
        <w:rPr>
          <w:rFonts w:ascii="Palatino Linotype" w:hAnsi="Palatino Linotype"/>
          <w:b/>
          <w:sz w:val="24"/>
          <w:szCs w:val="28"/>
        </w:rPr>
        <w:t>WHEREAS,</w:t>
      </w:r>
      <w:proofErr w:type="gramEnd"/>
      <w:r w:rsidRPr="00DE64FB">
        <w:rPr>
          <w:rFonts w:ascii="Palatino Linotype" w:hAnsi="Palatino Linotype"/>
          <w:b/>
          <w:sz w:val="24"/>
          <w:szCs w:val="28"/>
        </w:rPr>
        <w:t xml:space="preserve"> </w:t>
      </w:r>
      <w:r w:rsidR="00C8688F">
        <w:rPr>
          <w:rFonts w:ascii="Palatino Linotype" w:hAnsi="Palatino Linotype"/>
          <w:sz w:val="24"/>
          <w:szCs w:val="28"/>
        </w:rPr>
        <w:t>development related inquiries are inherently complex</w:t>
      </w:r>
      <w:r w:rsidRPr="00DE64FB">
        <w:rPr>
          <w:rFonts w:ascii="Palatino Linotype" w:hAnsi="Palatino Linotype"/>
          <w:sz w:val="24"/>
          <w:szCs w:val="28"/>
        </w:rPr>
        <w:t>; and</w:t>
      </w:r>
    </w:p>
    <w:p w14:paraId="5CF1A784" w14:textId="77777777" w:rsidR="00C8688F" w:rsidRDefault="000444F7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sz w:val="24"/>
          <w:szCs w:val="28"/>
        </w:rPr>
      </w:pPr>
      <w:proofErr w:type="gramStart"/>
      <w:r w:rsidRPr="00DE64FB">
        <w:rPr>
          <w:rFonts w:ascii="Palatino Linotype" w:hAnsi="Palatino Linotype"/>
          <w:b/>
          <w:sz w:val="24"/>
          <w:szCs w:val="28"/>
        </w:rPr>
        <w:t>WHEREAS,</w:t>
      </w:r>
      <w:proofErr w:type="gramEnd"/>
      <w:r w:rsidR="00461878" w:rsidRPr="00DE64FB">
        <w:rPr>
          <w:rFonts w:ascii="Palatino Linotype" w:hAnsi="Palatino Linotype"/>
          <w:b/>
          <w:sz w:val="24"/>
          <w:szCs w:val="28"/>
        </w:rPr>
        <w:t xml:space="preserve"> </w:t>
      </w:r>
      <w:r w:rsidR="00C8688F">
        <w:rPr>
          <w:rFonts w:ascii="Palatino Linotype" w:hAnsi="Palatino Linotype"/>
          <w:sz w:val="24"/>
          <w:szCs w:val="28"/>
        </w:rPr>
        <w:t>some development speculators require official letters that require special attention and result in some risk; and</w:t>
      </w:r>
    </w:p>
    <w:p w14:paraId="49E3AFBB" w14:textId="77777777" w:rsidR="00C8688F" w:rsidRDefault="00C8688F" w:rsidP="00C0075E">
      <w:pPr>
        <w:tabs>
          <w:tab w:val="left" w:pos="907"/>
        </w:tabs>
        <w:spacing w:after="120" w:line="240" w:lineRule="auto"/>
        <w:ind w:firstLine="360"/>
        <w:rPr>
          <w:rFonts w:ascii="Palatino Linotype" w:hAnsi="Palatino Linotype"/>
          <w:bCs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>WHEREAS,</w:t>
      </w:r>
      <w:r>
        <w:rPr>
          <w:rFonts w:ascii="Palatino Linotype" w:hAnsi="Palatino Linotype"/>
          <w:b/>
          <w:sz w:val="24"/>
          <w:szCs w:val="28"/>
        </w:rPr>
        <w:t xml:space="preserve"> </w:t>
      </w:r>
      <w:r>
        <w:rPr>
          <w:rFonts w:ascii="Palatino Linotype" w:hAnsi="Palatino Linotype"/>
          <w:bCs/>
          <w:sz w:val="24"/>
          <w:szCs w:val="28"/>
        </w:rPr>
        <w:t>the benefit of development is primarily born by the individual developer, thus the costs associate with it should also be born by the individual developer; and</w:t>
      </w:r>
    </w:p>
    <w:p w14:paraId="4EDDE5BF" w14:textId="1DAFBB43" w:rsidR="000444F7" w:rsidRDefault="00C8688F" w:rsidP="00C8688F">
      <w:pPr>
        <w:tabs>
          <w:tab w:val="left" w:pos="907"/>
        </w:tabs>
        <w:spacing w:after="240" w:line="240" w:lineRule="auto"/>
        <w:ind w:firstLine="360"/>
        <w:rPr>
          <w:rFonts w:ascii="Palatino Linotype" w:hAnsi="Palatino Linotype"/>
          <w:sz w:val="24"/>
          <w:szCs w:val="28"/>
        </w:rPr>
      </w:pPr>
      <w:proofErr w:type="gramStart"/>
      <w:r w:rsidRPr="00A11D51">
        <w:rPr>
          <w:rFonts w:ascii="Palatino Linotype" w:hAnsi="Palatino Linotype"/>
          <w:b/>
          <w:sz w:val="24"/>
          <w:szCs w:val="28"/>
        </w:rPr>
        <w:t>WHEREAS,</w:t>
      </w:r>
      <w:proofErr w:type="gramEnd"/>
      <w:r>
        <w:rPr>
          <w:rFonts w:ascii="Palatino Linotype" w:hAnsi="Palatino Linotype"/>
          <w:b/>
          <w:sz w:val="24"/>
          <w:szCs w:val="28"/>
        </w:rPr>
        <w:t xml:space="preserve"> </w:t>
      </w:r>
      <w:r>
        <w:rPr>
          <w:rFonts w:ascii="Palatino Linotype" w:hAnsi="Palatino Linotype"/>
          <w:bCs/>
          <w:sz w:val="24"/>
          <w:szCs w:val="28"/>
        </w:rPr>
        <w:t xml:space="preserve">the taxpayers of Molalla should not have to foot the bill for development speculation that is not their own. </w:t>
      </w:r>
    </w:p>
    <w:p w14:paraId="3AAE2182" w14:textId="77777777" w:rsidR="000444F7" w:rsidRPr="00193ABE" w:rsidRDefault="000444F7" w:rsidP="00C8688F">
      <w:pPr>
        <w:tabs>
          <w:tab w:val="left" w:pos="907"/>
        </w:tabs>
        <w:spacing w:after="240" w:line="240" w:lineRule="auto"/>
        <w:ind w:firstLine="360"/>
        <w:rPr>
          <w:rFonts w:ascii="Palatino Linotype" w:hAnsi="Palatino Linotype"/>
          <w:b/>
          <w:sz w:val="24"/>
          <w:szCs w:val="28"/>
        </w:rPr>
      </w:pPr>
      <w:r w:rsidRPr="00A11D51">
        <w:rPr>
          <w:rFonts w:ascii="Palatino Linotype" w:hAnsi="Palatino Linotype"/>
          <w:b/>
          <w:sz w:val="24"/>
          <w:szCs w:val="28"/>
        </w:rPr>
        <w:t xml:space="preserve">Now, </w:t>
      </w:r>
      <w:r w:rsidRPr="00193ABE">
        <w:rPr>
          <w:rFonts w:ascii="Palatino Linotype" w:hAnsi="Palatino Linotype"/>
          <w:b/>
          <w:sz w:val="24"/>
          <w:szCs w:val="28"/>
        </w:rPr>
        <w:t xml:space="preserve">Therefore, the City of </w:t>
      </w:r>
      <w:r w:rsidR="00461878" w:rsidRPr="00193ABE">
        <w:rPr>
          <w:rFonts w:ascii="Palatino Linotype" w:hAnsi="Palatino Linotype"/>
          <w:b/>
          <w:sz w:val="24"/>
          <w:szCs w:val="28"/>
        </w:rPr>
        <w:t>Molalla</w:t>
      </w:r>
      <w:r w:rsidRPr="00193ABE">
        <w:rPr>
          <w:rFonts w:ascii="Palatino Linotype" w:hAnsi="Palatino Linotype"/>
          <w:b/>
          <w:sz w:val="24"/>
          <w:szCs w:val="28"/>
        </w:rPr>
        <w:t xml:space="preserve"> </w:t>
      </w:r>
      <w:r w:rsidR="00390409" w:rsidRPr="00193ABE">
        <w:rPr>
          <w:rFonts w:ascii="Palatino Linotype" w:hAnsi="Palatino Linotype"/>
          <w:b/>
          <w:sz w:val="24"/>
          <w:szCs w:val="28"/>
        </w:rPr>
        <w:t>resolves</w:t>
      </w:r>
      <w:r w:rsidRPr="00193ABE">
        <w:rPr>
          <w:rFonts w:ascii="Palatino Linotype" w:hAnsi="Palatino Linotype"/>
          <w:b/>
          <w:sz w:val="24"/>
          <w:szCs w:val="28"/>
        </w:rPr>
        <w:t xml:space="preserve"> as follows:</w:t>
      </w:r>
    </w:p>
    <w:p w14:paraId="2BA83A8B" w14:textId="7B86B5AF" w:rsidR="00A519FC" w:rsidRPr="00193ABE" w:rsidRDefault="000444F7" w:rsidP="00F22083">
      <w:pPr>
        <w:tabs>
          <w:tab w:val="left" w:pos="907"/>
        </w:tabs>
        <w:spacing w:after="0" w:line="240" w:lineRule="auto"/>
        <w:ind w:firstLine="360"/>
        <w:rPr>
          <w:rFonts w:ascii="Palatino Linotype" w:hAnsi="Palatino Linotype"/>
          <w:sz w:val="24"/>
          <w:szCs w:val="28"/>
        </w:rPr>
      </w:pPr>
      <w:r w:rsidRPr="00193ABE">
        <w:rPr>
          <w:rFonts w:ascii="Palatino Linotype" w:hAnsi="Palatino Linotype"/>
          <w:sz w:val="24"/>
          <w:szCs w:val="28"/>
        </w:rPr>
        <w:t>Section 1.</w:t>
      </w:r>
      <w:r w:rsidR="00A519FC" w:rsidRPr="00193ABE">
        <w:rPr>
          <w:rFonts w:ascii="Palatino Linotype" w:hAnsi="Palatino Linotype"/>
          <w:sz w:val="24"/>
          <w:szCs w:val="28"/>
        </w:rPr>
        <w:tab/>
      </w:r>
      <w:r w:rsidR="00A519FC" w:rsidRPr="00193ABE">
        <w:rPr>
          <w:rFonts w:ascii="Palatino Linotype" w:hAnsi="Palatino Linotype"/>
          <w:sz w:val="24"/>
          <w:szCs w:val="28"/>
        </w:rPr>
        <w:tab/>
      </w:r>
      <w:r w:rsidR="00193ABE" w:rsidRPr="00193ABE">
        <w:rPr>
          <w:rFonts w:ascii="Palatino Linotype" w:hAnsi="Palatino Linotype"/>
          <w:sz w:val="24"/>
          <w:szCs w:val="28"/>
        </w:rPr>
        <w:t xml:space="preserve">The City Council </w:t>
      </w:r>
      <w:r w:rsidR="00C8688F">
        <w:rPr>
          <w:rFonts w:ascii="Palatino Linotype" w:hAnsi="Palatino Linotype"/>
          <w:sz w:val="24"/>
          <w:szCs w:val="28"/>
        </w:rPr>
        <w:t xml:space="preserve">approves a $75 Land Use and Zoning Letter fee to be added to the </w:t>
      </w:r>
      <w:r w:rsidR="00F22083">
        <w:rPr>
          <w:rFonts w:ascii="Palatino Linotype" w:hAnsi="Palatino Linotype"/>
          <w:sz w:val="24"/>
          <w:szCs w:val="28"/>
        </w:rPr>
        <w:t>City’s fee schedule</w:t>
      </w:r>
      <w:r w:rsidR="00193ABE" w:rsidRPr="00193ABE">
        <w:rPr>
          <w:rFonts w:ascii="Palatino Linotype" w:hAnsi="Palatino Linotype"/>
          <w:sz w:val="24"/>
          <w:szCs w:val="28"/>
        </w:rPr>
        <w:t>.</w:t>
      </w:r>
    </w:p>
    <w:p w14:paraId="717BCE39" w14:textId="77777777" w:rsidR="00193ABE" w:rsidRPr="00193ABE" w:rsidRDefault="00193ABE" w:rsidP="00F22083">
      <w:pPr>
        <w:spacing w:after="0" w:line="240" w:lineRule="auto"/>
        <w:rPr>
          <w:rFonts w:ascii="Century Gothic" w:hAnsi="Century Gothic"/>
          <w:b/>
          <w:sz w:val="24"/>
          <w:szCs w:val="28"/>
        </w:rPr>
      </w:pPr>
      <w:r w:rsidRPr="00193ABE">
        <w:rPr>
          <w:rFonts w:ascii="Century Gothic" w:hAnsi="Century Gothic"/>
          <w:b/>
          <w:sz w:val="24"/>
          <w:szCs w:val="28"/>
        </w:rPr>
        <w:tab/>
      </w:r>
    </w:p>
    <w:p w14:paraId="0B4BC79D" w14:textId="6D8C87A8" w:rsidR="00193ABE" w:rsidRDefault="00193ABE" w:rsidP="00F220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Duly adopted by Molalla City Council the </w:t>
      </w:r>
      <w:r w:rsidR="00F22083">
        <w:rPr>
          <w:rFonts w:ascii="Times New Roman" w:hAnsi="Times New Roman" w:cs="Times New Roman"/>
          <w:sz w:val="24"/>
          <w:szCs w:val="24"/>
        </w:rPr>
        <w:t>13th</w:t>
      </w:r>
      <w:r>
        <w:rPr>
          <w:rFonts w:ascii="Times New Roman" w:hAnsi="Times New Roman" w:cs="Times New Roman"/>
          <w:sz w:val="24"/>
          <w:szCs w:val="24"/>
        </w:rPr>
        <w:t xml:space="preserve"> day of </w:t>
      </w:r>
      <w:r w:rsidR="00F22083">
        <w:rPr>
          <w:rFonts w:ascii="Times New Roman" w:hAnsi="Times New Roman" w:cs="Times New Roman"/>
          <w:sz w:val="24"/>
          <w:szCs w:val="24"/>
        </w:rPr>
        <w:t>January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4715A">
        <w:rPr>
          <w:rFonts w:ascii="Times New Roman" w:hAnsi="Times New Roman" w:cs="Times New Roman"/>
          <w:sz w:val="24"/>
          <w:szCs w:val="24"/>
        </w:rPr>
        <w:t>1.</w:t>
      </w:r>
    </w:p>
    <w:p w14:paraId="753589EE" w14:textId="77777777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1F95CA2" w14:textId="77777777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37F5A" w14:textId="77777777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</w:t>
      </w:r>
    </w:p>
    <w:p w14:paraId="62198AFE" w14:textId="56678F5B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Mayor, </w:t>
      </w:r>
      <w:r w:rsidR="00F22083">
        <w:rPr>
          <w:rFonts w:ascii="Times New Roman" w:hAnsi="Times New Roman" w:cs="Times New Roman"/>
          <w:sz w:val="24"/>
          <w:szCs w:val="24"/>
        </w:rPr>
        <w:t>Scott Keyser</w:t>
      </w:r>
    </w:p>
    <w:p w14:paraId="08F61050" w14:textId="77777777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FFA285" w14:textId="10C82EDA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</w:t>
      </w:r>
      <w:r w:rsidR="0034715A">
        <w:rPr>
          <w:rFonts w:ascii="Times New Roman" w:hAnsi="Times New Roman" w:cs="Times New Roman"/>
          <w:sz w:val="24"/>
          <w:szCs w:val="24"/>
        </w:rPr>
        <w:t>:</w:t>
      </w:r>
    </w:p>
    <w:p w14:paraId="6ABA0D1A" w14:textId="77777777" w:rsidR="0034715A" w:rsidRDefault="0034715A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0AAB85" w14:textId="77777777" w:rsidR="00193ABE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</w:p>
    <w:p w14:paraId="2D62FA0A" w14:textId="11BE3B17" w:rsidR="00193ABE" w:rsidRPr="00456C23" w:rsidRDefault="00193ABE" w:rsidP="0019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Christie DeSantis, City Recorder</w:t>
      </w:r>
    </w:p>
    <w:sectPr w:rsidR="00193ABE" w:rsidRPr="00456C23" w:rsidSect="00FB296A">
      <w:footerReference w:type="default" r:id="rId9"/>
      <w:headerReference w:type="first" r:id="rId10"/>
      <w:footerReference w:type="first" r:id="rId11"/>
      <w:pgSz w:w="12240" w:h="15840" w:code="1"/>
      <w:pgMar w:top="810" w:right="1440" w:bottom="990" w:left="1440" w:header="180" w:footer="435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5B23D" w14:textId="77777777" w:rsidR="0042239B" w:rsidRDefault="0042239B">
      <w:pPr>
        <w:spacing w:after="0" w:line="240" w:lineRule="auto"/>
      </w:pPr>
      <w:r>
        <w:separator/>
      </w:r>
    </w:p>
  </w:endnote>
  <w:endnote w:type="continuationSeparator" w:id="0">
    <w:p w14:paraId="42F48CF1" w14:textId="77777777" w:rsidR="0042239B" w:rsidRDefault="0042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7B570" w14:textId="1CE72EAE" w:rsidR="00FB296A" w:rsidRPr="004A38B8" w:rsidRDefault="00FB296A" w:rsidP="00FB296A">
    <w:pPr>
      <w:tabs>
        <w:tab w:val="center" w:pos="4320"/>
        <w:tab w:val="right" w:pos="8640"/>
      </w:tabs>
      <w:rPr>
        <w:rFonts w:ascii="Century Gothic" w:hAnsi="Century Gothic"/>
        <w:color w:val="808080" w:themeColor="background1" w:themeShade="80"/>
      </w:rPr>
    </w:pPr>
    <w:r w:rsidRPr="004A38B8">
      <w:rPr>
        <w:rFonts w:ascii="Century Gothic" w:hAnsi="Century Gothic"/>
        <w:color w:val="808080" w:themeColor="background1" w:themeShade="80"/>
        <w:sz w:val="20"/>
      </w:rPr>
      <w:t xml:space="preserve">Page </w: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fldChar w:fldCharType="begin"/>
    </w:r>
    <w:r w:rsidRPr="004A38B8">
      <w:rPr>
        <w:rFonts w:ascii="Century Gothic" w:hAnsi="Century Gothic"/>
        <w:bCs/>
        <w:color w:val="808080" w:themeColor="background1" w:themeShade="80"/>
        <w:sz w:val="20"/>
      </w:rPr>
      <w:instrText xml:space="preserve"> PAGE </w:instrTex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fldChar w:fldCharType="separate"/>
    </w:r>
    <w:r w:rsidR="0046175C">
      <w:rPr>
        <w:rFonts w:ascii="Century Gothic" w:hAnsi="Century Gothic"/>
        <w:bCs/>
        <w:noProof/>
        <w:color w:val="808080" w:themeColor="background1" w:themeShade="80"/>
        <w:sz w:val="20"/>
      </w:rPr>
      <w:t>1</w: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fldChar w:fldCharType="end"/>
    </w:r>
    <w:r w:rsidRPr="004A38B8">
      <w:rPr>
        <w:rFonts w:ascii="Century Gothic" w:hAnsi="Century Gothic"/>
        <w:color w:val="808080" w:themeColor="background1" w:themeShade="80"/>
        <w:sz w:val="20"/>
      </w:rPr>
      <w:t xml:space="preserve"> of </w: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fldChar w:fldCharType="begin"/>
    </w:r>
    <w:r w:rsidRPr="004A38B8">
      <w:rPr>
        <w:rFonts w:ascii="Century Gothic" w:hAnsi="Century Gothic"/>
        <w:bCs/>
        <w:color w:val="808080" w:themeColor="background1" w:themeShade="80"/>
        <w:sz w:val="20"/>
      </w:rPr>
      <w:instrText xml:space="preserve"> NUMPAGES  </w:instrTex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fldChar w:fldCharType="separate"/>
    </w:r>
    <w:r w:rsidR="0046175C">
      <w:rPr>
        <w:rFonts w:ascii="Century Gothic" w:hAnsi="Century Gothic"/>
        <w:bCs/>
        <w:noProof/>
        <w:color w:val="808080" w:themeColor="background1" w:themeShade="80"/>
        <w:sz w:val="20"/>
      </w:rPr>
      <w:t>1</w: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fldChar w:fldCharType="end"/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– </w:t>
    </w:r>
    <w:r w:rsidR="00390409">
      <w:rPr>
        <w:rFonts w:ascii="Century Gothic" w:hAnsi="Century Gothic"/>
        <w:bCs/>
        <w:color w:val="808080" w:themeColor="background1" w:themeShade="80"/>
        <w:sz w:val="20"/>
        <w:szCs w:val="24"/>
      </w:rPr>
      <w:t>Resolution</w:t>
    </w:r>
    <w:r w:rsidRPr="004A38B8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No</w:t>
    </w:r>
    <w:r w:rsidR="00070B9F">
      <w:rPr>
        <w:rFonts w:ascii="Century Gothic" w:hAnsi="Century Gothic"/>
        <w:bCs/>
        <w:color w:val="808080" w:themeColor="background1" w:themeShade="80"/>
        <w:sz w:val="20"/>
        <w:szCs w:val="24"/>
      </w:rPr>
      <w:t xml:space="preserve"> </w:t>
    </w:r>
    <w:r w:rsidR="00193ABE">
      <w:rPr>
        <w:rFonts w:ascii="Century Gothic" w:hAnsi="Century Gothic"/>
        <w:bCs/>
        <w:color w:val="808080" w:themeColor="background1" w:themeShade="80"/>
        <w:sz w:val="20"/>
        <w:szCs w:val="24"/>
      </w:rPr>
      <w:t>202</w:t>
    </w:r>
    <w:r w:rsidR="00F22083">
      <w:rPr>
        <w:rFonts w:ascii="Century Gothic" w:hAnsi="Century Gothic"/>
        <w:bCs/>
        <w:color w:val="808080" w:themeColor="background1" w:themeShade="80"/>
        <w:sz w:val="20"/>
        <w:szCs w:val="24"/>
      </w:rPr>
      <w:t>1-02</w:t>
    </w:r>
    <w:r w:rsidR="0034715A">
      <w:rPr>
        <w:rFonts w:ascii="Century Gothic" w:hAnsi="Century Gothic"/>
        <w:bCs/>
        <w:color w:val="808080" w:themeColor="background1" w:themeShade="80"/>
        <w:sz w:val="20"/>
        <w:szCs w:val="24"/>
      </w:rPr>
      <w:t>: Authorizing a Land Use and Zoning Letter Fee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E27B0" w14:textId="77777777" w:rsidR="003D61D1" w:rsidRPr="000E181E" w:rsidRDefault="006913BB" w:rsidP="006913BB">
    <w:pPr>
      <w:tabs>
        <w:tab w:val="center" w:pos="4320"/>
        <w:tab w:val="right" w:pos="8640"/>
      </w:tabs>
      <w:rPr>
        <w:b/>
      </w:rPr>
    </w:pPr>
    <w:r w:rsidRPr="000E181E">
      <w:rPr>
        <w:b/>
        <w:sz w:val="20"/>
      </w:rPr>
      <w:t xml:space="preserve">Page </w:t>
    </w:r>
    <w:r w:rsidRPr="000E181E">
      <w:rPr>
        <w:b/>
        <w:bCs/>
        <w:sz w:val="20"/>
        <w:szCs w:val="24"/>
      </w:rPr>
      <w:fldChar w:fldCharType="begin"/>
    </w:r>
    <w:r w:rsidRPr="000E181E">
      <w:rPr>
        <w:b/>
        <w:bCs/>
        <w:sz w:val="20"/>
      </w:rPr>
      <w:instrText xml:space="preserve"> PAGE </w:instrText>
    </w:r>
    <w:r w:rsidRPr="000E181E">
      <w:rPr>
        <w:b/>
        <w:bCs/>
        <w:sz w:val="20"/>
        <w:szCs w:val="24"/>
      </w:rPr>
      <w:fldChar w:fldCharType="separate"/>
    </w:r>
    <w:r w:rsidR="00FB296A">
      <w:rPr>
        <w:b/>
        <w:bCs/>
        <w:noProof/>
        <w:sz w:val="20"/>
      </w:rPr>
      <w:t>1</w:t>
    </w:r>
    <w:r w:rsidRPr="000E181E">
      <w:rPr>
        <w:b/>
        <w:bCs/>
        <w:sz w:val="20"/>
        <w:szCs w:val="24"/>
      </w:rPr>
      <w:fldChar w:fldCharType="end"/>
    </w:r>
    <w:r w:rsidRPr="000E181E">
      <w:rPr>
        <w:b/>
        <w:sz w:val="20"/>
      </w:rPr>
      <w:t xml:space="preserve"> of </w:t>
    </w:r>
    <w:r w:rsidRPr="000E181E">
      <w:rPr>
        <w:b/>
        <w:bCs/>
        <w:sz w:val="20"/>
        <w:szCs w:val="24"/>
      </w:rPr>
      <w:fldChar w:fldCharType="begin"/>
    </w:r>
    <w:r w:rsidRPr="000E181E">
      <w:rPr>
        <w:b/>
        <w:bCs/>
        <w:sz w:val="20"/>
      </w:rPr>
      <w:instrText xml:space="preserve"> NUMPAGES  </w:instrText>
    </w:r>
    <w:r w:rsidRPr="000E181E">
      <w:rPr>
        <w:b/>
        <w:bCs/>
        <w:sz w:val="20"/>
        <w:szCs w:val="24"/>
      </w:rPr>
      <w:fldChar w:fldCharType="separate"/>
    </w:r>
    <w:r w:rsidR="007841A2">
      <w:rPr>
        <w:b/>
        <w:bCs/>
        <w:noProof/>
        <w:sz w:val="20"/>
      </w:rPr>
      <w:t>1</w:t>
    </w:r>
    <w:r w:rsidRPr="000E181E">
      <w:rPr>
        <w:b/>
        <w:bCs/>
        <w:sz w:val="20"/>
        <w:szCs w:val="24"/>
      </w:rPr>
      <w:fldChar w:fldCharType="end"/>
    </w:r>
    <w:r w:rsidR="00F22A92" w:rsidRPr="000E181E">
      <w:rPr>
        <w:b/>
        <w:bCs/>
        <w:sz w:val="20"/>
        <w:szCs w:val="24"/>
      </w:rPr>
      <w:t xml:space="preserve"> – Ordinance No.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2F320" w14:textId="77777777" w:rsidR="0042239B" w:rsidRDefault="0042239B">
      <w:pPr>
        <w:spacing w:after="0" w:line="240" w:lineRule="auto"/>
      </w:pPr>
      <w:r>
        <w:separator/>
      </w:r>
    </w:p>
  </w:footnote>
  <w:footnote w:type="continuationSeparator" w:id="0">
    <w:p w14:paraId="7073B5BA" w14:textId="77777777" w:rsidR="0042239B" w:rsidRDefault="00422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497F3" w14:textId="77777777" w:rsidR="007B1F7B" w:rsidRDefault="007B1F7B" w:rsidP="00524D32">
    <w:pPr>
      <w:pStyle w:val="Header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A619A"/>
    <w:multiLevelType w:val="hybridMultilevel"/>
    <w:tmpl w:val="4356C5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A0253"/>
    <w:multiLevelType w:val="hybridMultilevel"/>
    <w:tmpl w:val="EF5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61E0D"/>
    <w:multiLevelType w:val="hybridMultilevel"/>
    <w:tmpl w:val="EF5888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B4462D"/>
    <w:multiLevelType w:val="hybridMultilevel"/>
    <w:tmpl w:val="DB3882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012332"/>
    <w:multiLevelType w:val="hybridMultilevel"/>
    <w:tmpl w:val="FC12F7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C40124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1A2"/>
    <w:rsid w:val="000156AD"/>
    <w:rsid w:val="000310A9"/>
    <w:rsid w:val="0004205A"/>
    <w:rsid w:val="000444F7"/>
    <w:rsid w:val="00070B9F"/>
    <w:rsid w:val="0007604C"/>
    <w:rsid w:val="000C1EB3"/>
    <w:rsid w:val="000C7930"/>
    <w:rsid w:val="000E0160"/>
    <w:rsid w:val="000E181E"/>
    <w:rsid w:val="000E5E12"/>
    <w:rsid w:val="00150D8F"/>
    <w:rsid w:val="001550EA"/>
    <w:rsid w:val="00161266"/>
    <w:rsid w:val="00162798"/>
    <w:rsid w:val="0019249D"/>
    <w:rsid w:val="00193ABE"/>
    <w:rsid w:val="001B3578"/>
    <w:rsid w:val="001C0AD4"/>
    <w:rsid w:val="001D0C71"/>
    <w:rsid w:val="001D2835"/>
    <w:rsid w:val="00220E88"/>
    <w:rsid w:val="00241D2A"/>
    <w:rsid w:val="00266B79"/>
    <w:rsid w:val="00285262"/>
    <w:rsid w:val="00287BAB"/>
    <w:rsid w:val="00290744"/>
    <w:rsid w:val="002B1458"/>
    <w:rsid w:val="002C06A3"/>
    <w:rsid w:val="002C7521"/>
    <w:rsid w:val="00320823"/>
    <w:rsid w:val="003247AB"/>
    <w:rsid w:val="00330117"/>
    <w:rsid w:val="00334251"/>
    <w:rsid w:val="003364C7"/>
    <w:rsid w:val="00344011"/>
    <w:rsid w:val="0034715A"/>
    <w:rsid w:val="00390409"/>
    <w:rsid w:val="00397B83"/>
    <w:rsid w:val="003B37BE"/>
    <w:rsid w:val="003C112E"/>
    <w:rsid w:val="003C5645"/>
    <w:rsid w:val="003D61D1"/>
    <w:rsid w:val="003D6D98"/>
    <w:rsid w:val="00403199"/>
    <w:rsid w:val="00406070"/>
    <w:rsid w:val="00420323"/>
    <w:rsid w:val="0042239B"/>
    <w:rsid w:val="00424D25"/>
    <w:rsid w:val="00427ACB"/>
    <w:rsid w:val="00436C49"/>
    <w:rsid w:val="00451E86"/>
    <w:rsid w:val="00460F99"/>
    <w:rsid w:val="0046175C"/>
    <w:rsid w:val="00461878"/>
    <w:rsid w:val="0047437C"/>
    <w:rsid w:val="004854BA"/>
    <w:rsid w:val="0048798D"/>
    <w:rsid w:val="004A38B8"/>
    <w:rsid w:val="004A5F22"/>
    <w:rsid w:val="004B6F54"/>
    <w:rsid w:val="004D43F9"/>
    <w:rsid w:val="00502828"/>
    <w:rsid w:val="005077FD"/>
    <w:rsid w:val="0051375E"/>
    <w:rsid w:val="00524D32"/>
    <w:rsid w:val="00564FC3"/>
    <w:rsid w:val="005672A5"/>
    <w:rsid w:val="00574BA2"/>
    <w:rsid w:val="005753F1"/>
    <w:rsid w:val="00596794"/>
    <w:rsid w:val="005D2837"/>
    <w:rsid w:val="005E51AC"/>
    <w:rsid w:val="005F53D6"/>
    <w:rsid w:val="00603901"/>
    <w:rsid w:val="00662301"/>
    <w:rsid w:val="00665831"/>
    <w:rsid w:val="00682800"/>
    <w:rsid w:val="006913BB"/>
    <w:rsid w:val="00695DBF"/>
    <w:rsid w:val="006A540A"/>
    <w:rsid w:val="006D4D86"/>
    <w:rsid w:val="006F12B4"/>
    <w:rsid w:val="00724878"/>
    <w:rsid w:val="0072544E"/>
    <w:rsid w:val="00733655"/>
    <w:rsid w:val="0074406B"/>
    <w:rsid w:val="00763010"/>
    <w:rsid w:val="00781864"/>
    <w:rsid w:val="007841A2"/>
    <w:rsid w:val="007845ED"/>
    <w:rsid w:val="007B1F7B"/>
    <w:rsid w:val="007B5510"/>
    <w:rsid w:val="007D51F6"/>
    <w:rsid w:val="007E353D"/>
    <w:rsid w:val="007F780D"/>
    <w:rsid w:val="00804061"/>
    <w:rsid w:val="0081267A"/>
    <w:rsid w:val="00823DC9"/>
    <w:rsid w:val="00830903"/>
    <w:rsid w:val="00835632"/>
    <w:rsid w:val="0084557D"/>
    <w:rsid w:val="00847252"/>
    <w:rsid w:val="008570CB"/>
    <w:rsid w:val="0088624B"/>
    <w:rsid w:val="008B1416"/>
    <w:rsid w:val="008D1A9D"/>
    <w:rsid w:val="009238A6"/>
    <w:rsid w:val="00927752"/>
    <w:rsid w:val="00933081"/>
    <w:rsid w:val="0094023A"/>
    <w:rsid w:val="00947CE2"/>
    <w:rsid w:val="00983617"/>
    <w:rsid w:val="009960A4"/>
    <w:rsid w:val="00A11D51"/>
    <w:rsid w:val="00A128C2"/>
    <w:rsid w:val="00A1328B"/>
    <w:rsid w:val="00A16895"/>
    <w:rsid w:val="00A27898"/>
    <w:rsid w:val="00A3290B"/>
    <w:rsid w:val="00A41D70"/>
    <w:rsid w:val="00A519FC"/>
    <w:rsid w:val="00A54990"/>
    <w:rsid w:val="00A6489B"/>
    <w:rsid w:val="00A6694B"/>
    <w:rsid w:val="00A66DFF"/>
    <w:rsid w:val="00AC71D8"/>
    <w:rsid w:val="00AD5B31"/>
    <w:rsid w:val="00AD6314"/>
    <w:rsid w:val="00AE5F20"/>
    <w:rsid w:val="00B33D42"/>
    <w:rsid w:val="00B76463"/>
    <w:rsid w:val="00B85DD3"/>
    <w:rsid w:val="00BA06E4"/>
    <w:rsid w:val="00BC4B89"/>
    <w:rsid w:val="00C0075E"/>
    <w:rsid w:val="00C03F11"/>
    <w:rsid w:val="00C067F4"/>
    <w:rsid w:val="00C11542"/>
    <w:rsid w:val="00C23B3D"/>
    <w:rsid w:val="00C26A32"/>
    <w:rsid w:val="00C42880"/>
    <w:rsid w:val="00C526A4"/>
    <w:rsid w:val="00C62DA0"/>
    <w:rsid w:val="00C8688F"/>
    <w:rsid w:val="00C923B3"/>
    <w:rsid w:val="00CB1A72"/>
    <w:rsid w:val="00CC3AB1"/>
    <w:rsid w:val="00D51C49"/>
    <w:rsid w:val="00D90844"/>
    <w:rsid w:val="00DA213D"/>
    <w:rsid w:val="00DD2674"/>
    <w:rsid w:val="00DD2B57"/>
    <w:rsid w:val="00DD7E3A"/>
    <w:rsid w:val="00DE554B"/>
    <w:rsid w:val="00DE64FB"/>
    <w:rsid w:val="00E01611"/>
    <w:rsid w:val="00E27B93"/>
    <w:rsid w:val="00E54BED"/>
    <w:rsid w:val="00E75D20"/>
    <w:rsid w:val="00EE14FA"/>
    <w:rsid w:val="00F22083"/>
    <w:rsid w:val="00F22A92"/>
    <w:rsid w:val="00F22E00"/>
    <w:rsid w:val="00F32FC1"/>
    <w:rsid w:val="00F33507"/>
    <w:rsid w:val="00F42140"/>
    <w:rsid w:val="00F431BB"/>
    <w:rsid w:val="00F5372C"/>
    <w:rsid w:val="00F6210B"/>
    <w:rsid w:val="00F630E0"/>
    <w:rsid w:val="00F649C0"/>
    <w:rsid w:val="00FB296A"/>
    <w:rsid w:val="00FB49A2"/>
    <w:rsid w:val="00FC56D9"/>
    <w:rsid w:val="00FD75BB"/>
    <w:rsid w:val="00FF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9E5C8AF"/>
  <w15:docId w15:val="{B083963E-7B40-40B4-B5C3-DEBD38F5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C2"/>
  </w:style>
  <w:style w:type="paragraph" w:styleId="Heading1">
    <w:name w:val="heading 1"/>
    <w:basedOn w:val="Normal"/>
    <w:next w:val="Normal"/>
    <w:link w:val="Heading1Char"/>
    <w:uiPriority w:val="9"/>
    <w:qFormat/>
    <w:rsid w:val="00A128C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8C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8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8C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8C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qFormat/>
    <w:rsid w:val="00A128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128C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BodyTextIndent">
    <w:name w:val="Body Text Indent"/>
    <w:basedOn w:val="Normal"/>
    <w:link w:val="BodyTextIndentChar"/>
    <w:rsid w:val="0074406B"/>
    <w:pPr>
      <w:spacing w:after="0" w:line="240" w:lineRule="auto"/>
      <w:ind w:left="720"/>
      <w:jc w:val="both"/>
    </w:pPr>
    <w:rPr>
      <w:rFonts w:eastAsia="Times New Roman" w:cs="Times New Roman"/>
      <w:iCs/>
      <w:sz w:val="24"/>
      <w:szCs w:val="24"/>
    </w:rPr>
  </w:style>
  <w:style w:type="character" w:customStyle="1" w:styleId="BodyTextIndentChar">
    <w:name w:val="Body Text Indent Char"/>
    <w:link w:val="BodyTextIndent"/>
    <w:rsid w:val="0074406B"/>
    <w:rPr>
      <w:rFonts w:eastAsia="Times New Roman" w:cs="Times New Roman"/>
      <w:iCs/>
      <w:sz w:val="24"/>
      <w:szCs w:val="24"/>
    </w:rPr>
  </w:style>
  <w:style w:type="paragraph" w:styleId="Header">
    <w:name w:val="header"/>
    <w:basedOn w:val="Normal"/>
    <w:link w:val="HeaderChar"/>
    <w:unhideWhenUsed/>
    <w:rsid w:val="007440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4406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4406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2A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4D2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8C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8C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8C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8C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8C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8C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8C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8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A128C2"/>
    <w:rPr>
      <w:b/>
      <w:bCs/>
    </w:rPr>
  </w:style>
  <w:style w:type="character" w:styleId="Emphasis">
    <w:name w:val="Emphasis"/>
    <w:basedOn w:val="DefaultParagraphFont"/>
    <w:uiPriority w:val="20"/>
    <w:qFormat/>
    <w:rsid w:val="00A128C2"/>
    <w:rPr>
      <w:i/>
      <w:iCs/>
      <w:color w:val="000000" w:themeColor="text1"/>
    </w:rPr>
  </w:style>
  <w:style w:type="paragraph" w:styleId="NoSpacing">
    <w:name w:val="No Spacing"/>
    <w:uiPriority w:val="1"/>
    <w:qFormat/>
    <w:rsid w:val="00A128C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8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28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8C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8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128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28C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A128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128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128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8C2"/>
    <w:pPr>
      <w:outlineLvl w:val="9"/>
    </w:pPr>
  </w:style>
  <w:style w:type="paragraph" w:styleId="BodyText">
    <w:name w:val="Body Text"/>
    <w:basedOn w:val="Normal"/>
    <w:link w:val="BodyTextChar"/>
    <w:uiPriority w:val="99"/>
    <w:unhideWhenUsed/>
    <w:rsid w:val="004618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61878"/>
  </w:style>
  <w:style w:type="character" w:styleId="CommentReference">
    <w:name w:val="annotation reference"/>
    <w:basedOn w:val="DefaultParagraphFont"/>
    <w:uiPriority w:val="99"/>
    <w:semiHidden/>
    <w:unhideWhenUsed/>
    <w:rsid w:val="00461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878"/>
    <w:pPr>
      <w:widowControl w:val="0"/>
      <w:spacing w:after="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878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23E1B-22B8-45DE-AAAA-14F23855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Milwaukie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Stauffer, Scott</dc:creator>
  <cp:lastModifiedBy>Christie DeSantis</cp:lastModifiedBy>
  <cp:revision>2</cp:revision>
  <cp:lastPrinted>2021-01-13T20:00:00Z</cp:lastPrinted>
  <dcterms:created xsi:type="dcterms:W3CDTF">2021-01-13T20:36:00Z</dcterms:created>
  <dcterms:modified xsi:type="dcterms:W3CDTF">2021-01-13T20:36:00Z</dcterms:modified>
</cp:coreProperties>
</file>