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E542CF">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E542CF"/>
    <w:p w14:paraId="4C63A167" w14:textId="12E5BA22" w:rsidR="00FB6EAD" w:rsidRPr="006C645E" w:rsidRDefault="00FB6EAD" w:rsidP="00E542CF">
      <w:r>
        <w:rPr>
          <w:rFonts w:ascii="Arial" w:hAnsi="Arial" w:cs="Arial"/>
          <w:b/>
          <w:sz w:val="28"/>
          <w:szCs w:val="28"/>
        </w:rPr>
        <w:t>Rulemaking Name: WQ Fees 2019</w:t>
      </w:r>
    </w:p>
    <w:p w14:paraId="2533DD56" w14:textId="77777777" w:rsidR="00FB6EAD" w:rsidRDefault="00FB6EAD" w:rsidP="00E542CF"/>
    <w:p w14:paraId="51BEFBD1" w14:textId="6D4B9FDC" w:rsidR="00FB6EAD" w:rsidRPr="006C645E" w:rsidRDefault="00FB6EAD" w:rsidP="00E542CF">
      <w:pPr>
        <w:rPr>
          <w:b/>
        </w:rPr>
      </w:pPr>
      <w:r>
        <w:rPr>
          <w:rFonts w:ascii="Arial" w:hAnsi="Arial" w:cs="Arial"/>
          <w:b/>
          <w:sz w:val="28"/>
          <w:szCs w:val="28"/>
        </w:rPr>
        <w:t>Document Name: EQC Staff Report</w:t>
      </w:r>
    </w:p>
    <w:p w14:paraId="26CF5705" w14:textId="77777777" w:rsidR="00FB6EAD" w:rsidRDefault="00FB6EAD" w:rsidP="00E542CF"/>
    <w:p w14:paraId="7B4A2957" w14:textId="77777777" w:rsidR="00FB6EAD" w:rsidRDefault="00FB6EAD" w:rsidP="00E542CF">
      <w:r>
        <w:t>Every document that will be shared with anyone outside of DEQ staff must go through management review. This includes reports and PowerPoint presentations.</w:t>
      </w:r>
    </w:p>
    <w:p w14:paraId="6720D63B" w14:textId="77777777" w:rsidR="00FB6EAD" w:rsidRDefault="00FB6EAD" w:rsidP="00E542CF">
      <w:r>
        <w:t>All documents must be reviewed and approved by the Program Manager, Communications, and either the Agency Rules Coordinator or the Air Quality Rules Coordinator.</w:t>
      </w:r>
    </w:p>
    <w:p w14:paraId="71C7775D" w14:textId="77777777" w:rsidR="00FB6EAD" w:rsidRDefault="00FB6EAD" w:rsidP="00E542CF">
      <w:r>
        <w:t>The Notice of Rulemaking and EQC Staff Report must also be reviewed and approved by the relevant Division Administrator.</w:t>
      </w:r>
    </w:p>
    <w:p w14:paraId="0C3B1423" w14:textId="77777777" w:rsidR="00FB6EAD" w:rsidRDefault="00FB6EAD" w:rsidP="00E542CF">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E542CF">
      <w:r>
        <w:t>Each required reviewer should add their name and the date when they complete their final review and approve the document for distribution.</w:t>
      </w:r>
    </w:p>
    <w:p w14:paraId="40EAAD9C" w14:textId="77777777" w:rsidR="00FB6EAD" w:rsidRDefault="00FB6EAD"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Program Mgr</w:t>
            </w:r>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E542CF">
      <w:pPr>
        <w:sectPr w:rsidR="00FB6EAD" w:rsidSect="00670B3A">
          <w:pgSz w:w="12240" w:h="15840"/>
          <w:pgMar w:top="1440" w:right="1440" w:bottom="1440" w:left="1440" w:header="720" w:footer="720" w:gutter="360"/>
          <w:cols w:space="720"/>
          <w:docGrid w:linePitch="360"/>
        </w:sectPr>
      </w:pPr>
    </w:p>
    <w:p w14:paraId="05F97385" w14:textId="77777777" w:rsidR="00FB6EAD" w:rsidRPr="00E542CF" w:rsidRDefault="00FB6EAD" w:rsidP="00E542CF"/>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09ECB716" w14:textId="77777777" w:rsidR="00C961E7" w:rsidRDefault="00C961E7" w:rsidP="00C961E7">
      <w:pPr>
        <w:pStyle w:val="Heading2"/>
        <w:jc w:val="center"/>
      </w:pPr>
      <w:r>
        <w:lastRenderedPageBreak/>
        <w:t>Table of Contents</w:t>
      </w:r>
    </w:p>
    <w:p w14:paraId="09ECB717"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09ECB718"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09ECB719"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09ECB71A"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09ECB71B"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09ECB71C"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09ECB71D"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09ECB71E"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09ECB71F"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09ECB720"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09ECB721"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09ECB722"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09ECB723"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09ECB724"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09ECB725"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09ECB726"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09ECB727"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09ECB728" w14:textId="77777777" w:rsidR="0064316E" w:rsidRDefault="00867A18">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09ECB729" w14:textId="77777777" w:rsidR="00C961E7" w:rsidRDefault="00C961E7" w:rsidP="00C961E7">
      <w:pPr>
        <w:pStyle w:val="Heading2"/>
      </w:pPr>
      <w:r>
        <w:fldChar w:fldCharType="end"/>
      </w:r>
      <w:bookmarkStart w:id="0" w:name="_GoBack"/>
      <w:bookmarkEnd w:id="0"/>
      <w:r>
        <w:br w:type="page"/>
      </w:r>
    </w:p>
    <w:p w14:paraId="09ECB72A" w14:textId="77777777" w:rsidR="00C961E7" w:rsidRDefault="00C961E7" w:rsidP="00C961E7">
      <w:pPr>
        <w:pStyle w:val="Heading2"/>
      </w:pPr>
    </w:p>
    <w:p w14:paraId="09ECB72B" w14:textId="77777777" w:rsidR="00C961E7" w:rsidRPr="00377FA3" w:rsidRDefault="00C961E7" w:rsidP="00C961E7">
      <w:pPr>
        <w:jc w:val="center"/>
        <w:rPr>
          <w:sz w:val="26"/>
          <w:szCs w:val="26"/>
        </w:rPr>
      </w:pPr>
    </w:p>
    <w:p w14:paraId="09ECB72C" w14:textId="77777777" w:rsidR="00C961E7" w:rsidRPr="00377FA3" w:rsidRDefault="00C961E7" w:rsidP="00C961E7">
      <w:pPr>
        <w:ind w:right="0"/>
        <w:outlineLvl w:val="9"/>
        <w:rPr>
          <w:rStyle w:val="Emphasis"/>
        </w:rPr>
      </w:pP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5F45A9">
            <w:pPr>
              <w:pStyle w:val="Heading1"/>
            </w:pPr>
            <w:bookmarkStart w:id="1" w:name="_Toc490121542"/>
            <w:r w:rsidRPr="00377FA3">
              <w:t>DEQ recommendation to the EQC</w:t>
            </w:r>
            <w:bookmarkEnd w:id="1"/>
            <w:r w:rsidRPr="00377FA3">
              <w:t xml:space="preserve"> </w:t>
            </w:r>
          </w:p>
        </w:tc>
      </w:tr>
    </w:tbl>
    <w:p w14:paraId="09ECB730" w14:textId="77777777" w:rsidR="00C961E7" w:rsidRPr="00377FA3" w:rsidRDefault="00C961E7" w:rsidP="00C961E7"/>
    <w:p w14:paraId="09ECB733" w14:textId="7992E7E5"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09ECB734" w14:textId="77777777" w:rsidR="00C961E7" w:rsidRPr="00377FA3" w:rsidRDefault="00C961E7" w:rsidP="00C961E7">
      <w:pPr>
        <w:spacing w:after="120"/>
        <w:ind w:left="0"/>
        <w:rPr>
          <w:color w:val="806000" w:themeColor="accent4" w:themeShade="80"/>
        </w:rPr>
      </w:pPr>
    </w:p>
    <w:p w14:paraId="09ECB740" w14:textId="056C45DD"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5F45A9">
            <w:pPr>
              <w:pStyle w:val="Heading1"/>
            </w:pPr>
            <w:bookmarkStart w:id="2" w:name="_Toc490121543"/>
            <w:r w:rsidRPr="00377FA3">
              <w:lastRenderedPageBreak/>
              <w:t>Overview</w:t>
            </w:r>
            <w:bookmarkEnd w:id="2"/>
          </w:p>
        </w:tc>
      </w:tr>
    </w:tbl>
    <w:p w14:paraId="09ECB743" w14:textId="77777777" w:rsidR="001171C5" w:rsidRDefault="001171C5" w:rsidP="001171C5">
      <w:pPr>
        <w:rPr>
          <w:b/>
          <w:color w:val="806000" w:themeColor="accent4" w:themeShade="80"/>
        </w:rPr>
      </w:pPr>
    </w:p>
    <w:p w14:paraId="09ECB744" w14:textId="77777777"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14:paraId="09ECB745" w14:textId="77777777"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14:paraId="09ECB746" w14:textId="77777777"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09ECB747" w14:textId="77777777"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09ECB748" w14:textId="77777777" w:rsidR="00C961E7" w:rsidRPr="001171C5" w:rsidRDefault="00C961E7" w:rsidP="001171C5">
      <w:pPr>
        <w:rPr>
          <w:b/>
          <w:color w:val="806000" w:themeColor="accent4" w:themeShade="80"/>
        </w:rPr>
      </w:pPr>
      <w:r w:rsidRPr="001171C5">
        <w:rPr>
          <w:b/>
          <w:color w:val="806000" w:themeColor="accent4" w:themeShade="80"/>
        </w:rPr>
        <w:t>Affected parties</w:t>
      </w:r>
    </w:p>
    <w:p w14:paraId="09ECB749" w14:textId="77777777"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14:paraId="09ECB74A" w14:textId="77777777" w:rsidR="00C961E7" w:rsidRPr="001171C5" w:rsidRDefault="00C961E7" w:rsidP="001171C5">
      <w:pPr>
        <w:rPr>
          <w:b/>
          <w:color w:val="806000" w:themeColor="accent4" w:themeShade="80"/>
        </w:rPr>
      </w:pPr>
      <w:r w:rsidRPr="001171C5">
        <w:rPr>
          <w:b/>
          <w:color w:val="806000" w:themeColor="accent4" w:themeShade="80"/>
        </w:rPr>
        <w:t>Hearing testimony</w:t>
      </w:r>
    </w:p>
    <w:p w14:paraId="09ECB74B" w14:textId="77777777"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14:paraId="09ECB74C" w14:textId="77777777"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14:paraId="09ECB74D"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09ECB74E" w14:textId="77777777"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0" w14:textId="77777777" w:rsidTr="005F45A9">
        <w:trPr>
          <w:trHeight w:val="603"/>
          <w:jc w:val="center"/>
        </w:trPr>
        <w:tc>
          <w:tcPr>
            <w:tcW w:w="8887" w:type="dxa"/>
            <w:shd w:val="clear" w:color="auto" w:fill="D0CECE" w:themeFill="background2" w:themeFillShade="E6"/>
            <w:noWrap/>
            <w:vAlign w:val="bottom"/>
            <w:hideMark/>
          </w:tcPr>
          <w:p w14:paraId="09ECB74F"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09ECB751" w14:textId="77777777" w:rsidR="00C961E7" w:rsidRPr="00377FA3" w:rsidRDefault="00C961E7" w:rsidP="00C961E7"/>
    <w:p w14:paraId="09ECB752" w14:textId="77777777" w:rsidR="00C961E7" w:rsidRPr="00377FA3" w:rsidRDefault="00C961E7" w:rsidP="00C961E7">
      <w:r w:rsidRPr="00377FA3">
        <w:rPr>
          <w:noProof/>
          <w:lang w:val="en-ZW" w:eastAsia="en-ZW"/>
        </w:rPr>
        <mc:AlternateContent>
          <mc:Choice Requires="wps">
            <w:drawing>
              <wp:inline distT="0" distB="0" distL="0" distR="0" wp14:anchorId="09ECB8AF" wp14:editId="09ECB8B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A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3" w14:textId="77777777" w:rsidR="00C961E7" w:rsidRPr="00377FA3" w:rsidRDefault="00C961E7" w:rsidP="00C961E7"/>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5F45A9">
            <w:pPr>
              <w:pStyle w:val="Heading1"/>
            </w:pPr>
            <w:bookmarkStart w:id="4" w:name="_Toc490121545"/>
            <w:r w:rsidRPr="00377FA3">
              <w:lastRenderedPageBreak/>
              <w:t>Statement of Need</w:t>
            </w:r>
            <w:bookmarkEnd w:id="4"/>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9" w14:textId="77777777" w:rsidR="00C961E7" w:rsidRPr="00377FA3" w:rsidRDefault="00C961E7" w:rsidP="00C961E7"/>
    <w:p w14:paraId="09ECB7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09ECB7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5F45A9">
            <w:pPr>
              <w:pStyle w:val="Heading1"/>
            </w:pPr>
            <w:bookmarkStart w:id="6" w:name="_Toc490121547"/>
            <w:r w:rsidRPr="00377FA3">
              <w:t>Fee Analysis</w:t>
            </w:r>
            <w:bookmarkEnd w:id="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09ECB7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D" w14:textId="77777777" w:rsidR="00C961E7" w:rsidRPr="00377FA3" w:rsidRDefault="00C961E7" w:rsidP="00C961E7"/>
    <w:p w14:paraId="09ECB7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5F45A9">
            <w:pPr>
              <w:pStyle w:val="Heading1"/>
            </w:pPr>
            <w:bookmarkStart w:id="8" w:name="_Toc490121549"/>
            <w:r w:rsidRPr="00377FA3">
              <w:t>Federal relationship</w:t>
            </w:r>
            <w:bookmarkEnd w:id="8"/>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4" w14:textId="77777777" w:rsidR="00C961E7" w:rsidRPr="00377FA3" w:rsidRDefault="00C961E7" w:rsidP="00C961E7"/>
    <w:p w14:paraId="09ECB7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5F45A9">
            <w:pPr>
              <w:pStyle w:val="Heading1"/>
            </w:pPr>
            <w:bookmarkStart w:id="9" w:name="_Toc490121550"/>
            <w:r w:rsidRPr="00377FA3">
              <w:t>Land Use</w:t>
            </w:r>
            <w:bookmarkEnd w:id="9"/>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09ECB7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5F45A9">
            <w:pPr>
              <w:pStyle w:val="Heading1"/>
            </w:pPr>
            <w:bookmarkStart w:id="10" w:name="_Toc490121551"/>
            <w:r>
              <w:t>Advisory Committee</w:t>
            </w:r>
            <w:bookmarkEnd w:id="10"/>
          </w:p>
        </w:tc>
      </w:tr>
    </w:tbl>
    <w:p w14:paraId="09ECB781" w14:textId="77777777" w:rsidR="005F45A9" w:rsidRDefault="005F45A9" w:rsidP="005F45A9">
      <w:pPr>
        <w:pStyle w:val="Heading2"/>
        <w:ind w:left="0"/>
        <w:rPr>
          <w:rFonts w:ascii="Times New Roman" w:hAnsi="Times New Roman" w:cs="Times New Roman"/>
          <w:sz w:val="24"/>
          <w:szCs w:val="24"/>
        </w:rPr>
      </w:pPr>
    </w:p>
    <w:p w14:paraId="09ECB782" w14:textId="77777777"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14:paraId="09ECB7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9ECB784" w14:textId="77777777" w:rsidR="005F45A9" w:rsidRPr="00F51795" w:rsidRDefault="005F45A9" w:rsidP="005F45A9">
      <w:pPr>
        <w:ind w:left="0"/>
        <w:rPr>
          <w:color w:val="C45911" w:themeColor="accent2" w:themeShade="BF"/>
        </w:rPr>
      </w:pPr>
    </w:p>
    <w:p w14:paraId="09ECB785" w14:textId="77777777" w:rsidR="00AC7AF2" w:rsidRDefault="005F45A9" w:rsidP="00AC7AF2">
      <w:pPr>
        <w:ind w:left="0"/>
        <w:rPr>
          <w:color w:val="000000" w:themeColor="text1"/>
        </w:rPr>
      </w:pPr>
      <w:r w:rsidRPr="00F51795">
        <w:rPr>
          <w:color w:val="000000" w:themeColor="text1"/>
        </w:rPr>
        <w:t>The committee members were:</w:t>
      </w:r>
    </w:p>
    <w:p w14:paraId="09ECB786" w14:textId="77777777"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14:paraId="09ECB788"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09ECB787" w14:textId="77777777" w:rsidR="00AC7AF2" w:rsidRPr="00C3722A" w:rsidRDefault="00AC7AF2" w:rsidP="00AC7AF2">
            <w:pPr>
              <w:pStyle w:val="Tableheading"/>
            </w:pPr>
            <w:r>
              <w:rPr>
                <w:sz w:val="32"/>
                <w:szCs w:val="32"/>
              </w:rPr>
              <w:t>CodeName Rulemaking Advisory Committee</w:t>
            </w:r>
            <w:r>
              <w:rPr>
                <w:sz w:val="32"/>
                <w:szCs w:val="32"/>
              </w:rPr>
              <w:br/>
            </w:r>
          </w:p>
        </w:tc>
      </w:tr>
      <w:tr w:rsidR="00AC7AF2" w:rsidRPr="005B626A" w14:paraId="09ECB78B"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9ECB789"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9ECB78A"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14:paraId="09ECB78E"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C"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8D" w14:textId="77777777" w:rsidR="00AC7AF2" w:rsidRPr="00D6060A" w:rsidRDefault="00AC7AF2" w:rsidP="006C45FD">
            <w:pPr>
              <w:rPr>
                <w:sz w:val="22"/>
                <w:szCs w:val="22"/>
              </w:rPr>
            </w:pPr>
          </w:p>
        </w:tc>
      </w:tr>
      <w:tr w:rsidR="00AC7AF2" w:rsidRPr="005B626A" w14:paraId="09ECB791"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F"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0" w14:textId="77777777" w:rsidR="00AC7AF2" w:rsidRPr="00D6060A" w:rsidRDefault="00AC7AF2" w:rsidP="006C45FD">
            <w:pPr>
              <w:rPr>
                <w:sz w:val="22"/>
                <w:szCs w:val="22"/>
              </w:rPr>
            </w:pPr>
          </w:p>
        </w:tc>
      </w:tr>
      <w:tr w:rsidR="00AC7AF2" w:rsidRPr="005B626A" w14:paraId="09ECB794"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92"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3" w14:textId="77777777" w:rsidR="00AC7AF2" w:rsidRPr="00D6060A" w:rsidRDefault="00AC7AF2" w:rsidP="006C45FD">
            <w:pPr>
              <w:rPr>
                <w:sz w:val="22"/>
                <w:szCs w:val="22"/>
              </w:rPr>
            </w:pPr>
          </w:p>
        </w:tc>
      </w:tr>
      <w:tr w:rsidR="00AC7AF2" w:rsidRPr="005B626A" w14:paraId="09ECB797"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09ECB795"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09ECB796" w14:textId="77777777" w:rsidR="00AC7AF2" w:rsidRPr="00D6060A" w:rsidRDefault="00AC7AF2" w:rsidP="006C45FD">
            <w:pPr>
              <w:rPr>
                <w:sz w:val="22"/>
                <w:szCs w:val="22"/>
              </w:rPr>
            </w:pPr>
          </w:p>
        </w:tc>
      </w:tr>
    </w:tbl>
    <w:p w14:paraId="09ECB798" w14:textId="77777777" w:rsidR="005F45A9" w:rsidRDefault="005F45A9" w:rsidP="00AC7AF2">
      <w:pPr>
        <w:ind w:left="0"/>
        <w:jc w:val="center"/>
      </w:pPr>
    </w:p>
    <w:p w14:paraId="09ECB799"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8"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09ECB7A2" w14:textId="77777777" w:rsidR="005F45A9" w:rsidRPr="00F51795" w:rsidRDefault="005F45A9" w:rsidP="00A11C0D">
      <w:pPr>
        <w:pStyle w:val="Heading2"/>
        <w:ind w:left="90"/>
        <w:rPr>
          <w:rFonts w:cs="Arial"/>
          <w:b w:val="0"/>
          <w:szCs w:val="24"/>
        </w:rPr>
      </w:pPr>
      <w:r w:rsidRPr="00F51795">
        <w:rPr>
          <w:rFonts w:cs="Arial"/>
          <w:szCs w:val="24"/>
        </w:rPr>
        <w:t>Committee discussions</w:t>
      </w:r>
    </w:p>
    <w:p w14:paraId="09ECB7A3" w14:textId="77777777" w:rsidR="005F45A9" w:rsidRPr="00F51795" w:rsidRDefault="005F45A9" w:rsidP="005F45A9">
      <w:pPr>
        <w:ind w:left="0" w:right="378"/>
      </w:pPr>
    </w:p>
    <w:p w14:paraId="09ECB7A4" w14:textId="77777777" w:rsidR="005F45A9" w:rsidRPr="00F51795" w:rsidRDefault="005F45A9" w:rsidP="005F45A9">
      <w:pPr>
        <w:ind w:left="0" w:right="378"/>
      </w:pPr>
      <w:r w:rsidRPr="00F51795">
        <w:t>Meeting minutes and recordings are available by request from DEQ or from the advisory committee webpage at:</w:t>
      </w:r>
      <w:r>
        <w:rPr>
          <w:rStyle w:val="Hyperlink"/>
        </w:rPr>
        <w:t>.</w:t>
      </w:r>
      <w:r>
        <w:t xml:space="preserve"> </w:t>
      </w:r>
    </w:p>
    <w:p w14:paraId="09ECB7A5" w14:textId="77777777" w:rsidR="005F45A9" w:rsidRPr="00A11C0D" w:rsidRDefault="005F45A9" w:rsidP="00A11C0D">
      <w:pPr>
        <w:pStyle w:val="Heading2"/>
        <w:ind w:left="0"/>
        <w:rPr>
          <w:rFonts w:cs="Arial"/>
        </w:rPr>
      </w:pPr>
      <w:r w:rsidRPr="00A11C0D">
        <w:rPr>
          <w:rStyle w:val="SubtitleChar"/>
          <w:rFonts w:ascii="Arial" w:hAnsi="Arial" w:cs="Arial"/>
        </w:rPr>
        <w:lastRenderedPageBreak/>
        <w:t>EQC prior involvemen</w:t>
      </w:r>
      <w:r w:rsidRPr="00A11C0D">
        <w:rPr>
          <w:rFonts w:cs="Arial"/>
        </w:rPr>
        <w:t>t</w:t>
      </w:r>
    </w:p>
    <w:p w14:paraId="09ECB7A6" w14:textId="77777777" w:rsidR="005F45A9" w:rsidRPr="00F51795" w:rsidRDefault="005F45A9" w:rsidP="005F45A9">
      <w:pPr>
        <w:ind w:left="0"/>
      </w:pPr>
      <w:r w:rsidRPr="00F51795">
        <w:t>DEQ shared general information with EQC about this rulemaking proposal in the monthly Director’s Report for the</w:t>
      </w:r>
      <w:r w:rsidR="00A11C0D">
        <w:t xml:space="preserve"> XXXX</w:t>
      </w:r>
      <w:r w:rsidRPr="00F51795">
        <w:t xml:space="preserve">  EQC meeting in  </w:t>
      </w:r>
      <w:r w:rsidR="00A11C0D">
        <w:t xml:space="preserve">XXXX </w:t>
      </w:r>
      <w:r w:rsidRPr="00F51795">
        <w:t xml:space="preserve">Oregon. </w:t>
      </w:r>
    </w:p>
    <w:p w14:paraId="09ECB7A7" w14:textId="77777777" w:rsidR="005F45A9" w:rsidRPr="00F51795" w:rsidRDefault="005F45A9" w:rsidP="005F45A9">
      <w:pPr>
        <w:ind w:left="0"/>
        <w:rPr>
          <w:highlight w:val="yellow"/>
        </w:rPr>
      </w:pPr>
    </w:p>
    <w:p w14:paraId="09ECB7A8" w14:textId="77777777" w:rsidR="005F45A9" w:rsidRPr="00F51795" w:rsidRDefault="005F45A9" w:rsidP="005F45A9">
      <w:pPr>
        <w:ind w:left="0"/>
      </w:pPr>
      <w:r w:rsidRPr="00F51795">
        <w:t xml:space="preserve">DEQ did not present additional information specific to this proposed rule revision. </w:t>
      </w:r>
    </w:p>
    <w:p w14:paraId="09ECB7A9" w14:textId="77777777" w:rsidR="005F45A9" w:rsidRPr="002F0640" w:rsidRDefault="005F45A9" w:rsidP="005F45A9">
      <w:pPr>
        <w:ind w:left="0"/>
        <w:rPr>
          <w:szCs w:val="22"/>
          <w:highlight w:val="yellow"/>
        </w:rPr>
      </w:pPr>
    </w:p>
    <w:p w14:paraId="09ECB7AA" w14:textId="77777777" w:rsidR="005F45A9" w:rsidRDefault="005F45A9" w:rsidP="00A11C0D">
      <w:pPr>
        <w:pStyle w:val="Heading2"/>
        <w:spacing w:before="0" w:after="0"/>
        <w:ind w:left="0"/>
        <w:rPr>
          <w:rFonts w:cs="Arial"/>
          <w:b w:val="0"/>
          <w:szCs w:val="24"/>
        </w:rPr>
      </w:pPr>
      <w:r>
        <w:rPr>
          <w:rFonts w:cs="Arial"/>
          <w:szCs w:val="24"/>
        </w:rPr>
        <w:t>Public Notice</w:t>
      </w:r>
    </w:p>
    <w:p w14:paraId="09ECB7AB" w14:textId="77777777" w:rsidR="005F45A9" w:rsidRDefault="005F45A9" w:rsidP="005F45A9">
      <w:pPr>
        <w:ind w:left="0"/>
      </w:pPr>
    </w:p>
    <w:p w14:paraId="09ECB7AC"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09ECB7AD"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09ECB7AE"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09ECB7AF"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09ECB7B0"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09ECB7B1"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09ECB7B2" w14:textId="77777777" w:rsidR="005F45A9" w:rsidRPr="00F51795" w:rsidRDefault="005F45A9" w:rsidP="005F45A9">
      <w:pPr>
        <w:pStyle w:val="ListParagraph"/>
        <w:numPr>
          <w:ilvl w:val="1"/>
          <w:numId w:val="31"/>
        </w:numPr>
        <w:rPr>
          <w:color w:val="000000" w:themeColor="text1"/>
        </w:rPr>
      </w:pPr>
    </w:p>
    <w:p w14:paraId="09ECB7B3"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09ECB7B4"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09ECB7B5"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09ECB7B6"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09ECB7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09ECB7B8" w14:textId="77777777" w:rsidR="005F45A9" w:rsidRPr="0036375F" w:rsidRDefault="005F45A9" w:rsidP="005F45A9">
      <w:pPr>
        <w:ind w:left="0"/>
      </w:pPr>
    </w:p>
    <w:p w14:paraId="09ECB7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09ECB7BA" w14:textId="77777777" w:rsidR="005F45A9" w:rsidRPr="00A72D66" w:rsidRDefault="005F45A9" w:rsidP="005F45A9">
      <w:pPr>
        <w:ind w:left="0"/>
      </w:pPr>
    </w:p>
    <w:p w14:paraId="09ECB7BB"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6C45FD">
            <w:pPr>
              <w:pStyle w:val="Heading1"/>
            </w:pPr>
            <w:bookmarkStart w:id="12" w:name="_Toc490121552"/>
            <w:r>
              <w:t>Public Hearings</w:t>
            </w:r>
            <w:bookmarkEnd w:id="12"/>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09ECB7C3" w14:textId="77777777" w:rsidR="005F45A9" w:rsidRPr="00F51795" w:rsidRDefault="005F45A9" w:rsidP="005F45A9">
      <w:pPr>
        <w:ind w:left="0"/>
      </w:pPr>
    </w:p>
    <w:p w14:paraId="09ECB7C4" w14:textId="77777777"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lastRenderedPageBreak/>
        <w:t>Hearing 1</w:t>
      </w:r>
    </w:p>
    <w:p w14:paraId="09ECB7C9" w14:textId="77777777" w:rsidR="005F45A9" w:rsidRPr="00A72D66" w:rsidRDefault="005F45A9" w:rsidP="005F45A9">
      <w:pPr>
        <w:ind w:left="0"/>
      </w:pPr>
    </w:p>
    <w:p w14:paraId="09ECB7CA"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09ECB7CB"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09ECB7CC"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09ECB7CD"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09ECB7CE"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D3" w14:textId="77777777" w:rsidR="006C45FD" w:rsidRDefault="006C45FD" w:rsidP="005F45A9">
      <w:pPr>
        <w:tabs>
          <w:tab w:val="left" w:pos="-1440"/>
          <w:tab w:val="left" w:pos="-720"/>
        </w:tabs>
        <w:suppressAutoHyphens/>
        <w:ind w:left="0" w:right="558"/>
        <w:rPr>
          <w:color w:val="000000" w:themeColor="text1"/>
        </w:rPr>
      </w:pPr>
    </w:p>
    <w:p w14:paraId="09ECB7D4"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09ECB7D5" w14:textId="77777777" w:rsidR="00C507DE" w:rsidRDefault="00C507DE" w:rsidP="005F45A9">
      <w:pPr>
        <w:tabs>
          <w:tab w:val="left" w:pos="-1440"/>
          <w:tab w:val="left" w:pos="-720"/>
        </w:tabs>
        <w:suppressAutoHyphens/>
        <w:ind w:left="0" w:right="558"/>
        <w:rPr>
          <w:color w:val="000000" w:themeColor="text1"/>
        </w:rPr>
      </w:pPr>
    </w:p>
    <w:p w14:paraId="09ECB7D6"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09ECB7D7" w14:textId="77777777" w:rsidR="006C45FD" w:rsidRDefault="006C45FD" w:rsidP="005F45A9">
      <w:pPr>
        <w:tabs>
          <w:tab w:val="left" w:pos="-1440"/>
          <w:tab w:val="left" w:pos="-720"/>
        </w:tabs>
        <w:suppressAutoHyphens/>
        <w:ind w:left="0" w:right="558"/>
        <w:rPr>
          <w:color w:val="000000" w:themeColor="text1"/>
        </w:rPr>
      </w:pPr>
    </w:p>
    <w:p w14:paraId="09ECB7D8"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09ECB7D9" w14:textId="77777777" w:rsidR="004A1BB3" w:rsidRDefault="004A1BB3" w:rsidP="006C45FD">
      <w:pPr>
        <w:tabs>
          <w:tab w:val="left" w:pos="-1440"/>
          <w:tab w:val="left" w:pos="-720"/>
        </w:tabs>
        <w:suppressAutoHyphens/>
        <w:ind w:left="0" w:right="558"/>
        <w:jc w:val="center"/>
        <w:rPr>
          <w:b/>
          <w:color w:val="000000" w:themeColor="text1"/>
        </w:rPr>
      </w:pPr>
    </w:p>
    <w:p w14:paraId="09ECB7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09ECB7DB" w14:textId="77777777" w:rsidR="006C45FD" w:rsidRPr="00C507DE" w:rsidRDefault="006C45FD" w:rsidP="005F45A9">
      <w:pPr>
        <w:tabs>
          <w:tab w:val="left" w:pos="-1440"/>
          <w:tab w:val="left" w:pos="-720"/>
        </w:tabs>
        <w:suppressAutoHyphens/>
        <w:ind w:left="0" w:right="558"/>
        <w:rPr>
          <w:color w:val="000000" w:themeColor="text1"/>
        </w:rPr>
      </w:pPr>
    </w:p>
    <w:p w14:paraId="09ECB7DC" w14:textId="77777777" w:rsidR="005F45A9" w:rsidRPr="00F51795" w:rsidRDefault="005F45A9" w:rsidP="005F45A9">
      <w:pPr>
        <w:tabs>
          <w:tab w:val="left" w:pos="-1440"/>
          <w:tab w:val="left" w:pos="-720"/>
        </w:tabs>
        <w:suppressAutoHyphens/>
        <w:ind w:left="0" w:right="558"/>
        <w:rPr>
          <w:color w:val="000000" w:themeColor="text1"/>
        </w:rPr>
      </w:pPr>
    </w:p>
    <w:p w14:paraId="09ECB7DD"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09ECB7DE" w14:textId="77777777" w:rsidR="005F45A9" w:rsidRPr="002F0640" w:rsidRDefault="005F45A9" w:rsidP="005F45A9">
      <w:pPr>
        <w:ind w:left="0"/>
        <w:rPr>
          <w:szCs w:val="22"/>
        </w:rPr>
      </w:pPr>
    </w:p>
    <w:p w14:paraId="09ECB7DF" w14:textId="77777777"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14:paraId="09ECB7E0"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1" w14:textId="77777777" w:rsidR="00C961E7" w:rsidRPr="00377FA3" w:rsidRDefault="00C961E7" w:rsidP="005F45A9">
            <w:pPr>
              <w:pStyle w:val="Heading1"/>
            </w:pPr>
          </w:p>
          <w:p w14:paraId="09ECB7E2" w14:textId="77777777" w:rsidR="00C961E7" w:rsidRPr="00377FA3" w:rsidRDefault="00C961E7" w:rsidP="005F45A9">
            <w:pPr>
              <w:pStyle w:val="Heading1"/>
            </w:pPr>
            <w:bookmarkStart w:id="13" w:name="_Toc490121553"/>
            <w:r w:rsidRPr="00377FA3">
              <w:t>Summary of comments and DEQ responses</w:t>
            </w:r>
            <w:bookmarkEnd w:id="13"/>
          </w:p>
        </w:tc>
      </w:tr>
    </w:tbl>
    <w:p w14:paraId="09ECB7E4" w14:textId="77777777" w:rsidR="00C961E7" w:rsidRPr="00377FA3" w:rsidRDefault="00C961E7" w:rsidP="00C961E7">
      <w:pPr>
        <w:pStyle w:val="Heading1"/>
        <w:rPr>
          <w:color w:val="32525C"/>
        </w:rPr>
      </w:pPr>
      <w:r w:rsidRPr="00377FA3">
        <w:rPr>
          <w:color w:val="32525C"/>
        </w:rPr>
        <w:t>  </w:t>
      </w:r>
    </w:p>
    <w:p w14:paraId="09ECB7E5"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09ECB7E6" w14:textId="77777777" w:rsidR="00C961E7" w:rsidRDefault="00C961E7" w:rsidP="00C961E7">
      <w:pPr>
        <w:ind w:left="0" w:right="630"/>
        <w:rPr>
          <w:bCs/>
          <w:color w:val="000000" w:themeColor="text1"/>
        </w:rPr>
      </w:pPr>
    </w:p>
    <w:p w14:paraId="09ECB7E7" w14:textId="77777777" w:rsidR="00C961E7" w:rsidRPr="001D0308" w:rsidRDefault="00C961E7" w:rsidP="00C961E7">
      <w:pPr>
        <w:ind w:left="0" w:right="630"/>
        <w:rPr>
          <w:bCs/>
          <w:color w:val="806000" w:themeColor="accent4" w:themeShade="80"/>
        </w:rPr>
      </w:pPr>
      <w:r>
        <w:rPr>
          <w:bCs/>
          <w:color w:val="806000" w:themeColor="accent4" w:themeShade="80"/>
        </w:rPr>
        <w:lastRenderedPageBreak/>
        <w:t>Select one of the following two statements:</w:t>
      </w:r>
    </w:p>
    <w:p w14:paraId="09ECB7E8" w14:textId="77777777" w:rsidR="00C961E7" w:rsidRPr="006B7192" w:rsidRDefault="00C961E7" w:rsidP="00C961E7">
      <w:pPr>
        <w:ind w:left="0" w:right="630"/>
        <w:rPr>
          <w:bCs/>
          <w:color w:val="000000" w:themeColor="text1"/>
        </w:rPr>
      </w:pPr>
    </w:p>
    <w:p w14:paraId="09ECB7E9"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p w14:paraId="09ECB7EB"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09ECB7EC" w14:textId="77777777" w:rsidR="00C961E7" w:rsidRPr="00377FA3" w:rsidRDefault="00C961E7" w:rsidP="00C961E7">
      <w:pPr>
        <w:ind w:left="0" w:right="630"/>
        <w:rPr>
          <w:color w:val="385623" w:themeColor="accent6" w:themeShade="80"/>
        </w:rPr>
      </w:pPr>
    </w:p>
    <w:p w14:paraId="09ECB7ED" w14:textId="77777777" w:rsidR="00C961E7" w:rsidRDefault="00C961E7" w:rsidP="00C961E7">
      <w:pPr>
        <w:ind w:left="0" w:right="835"/>
        <w:rPr>
          <w:rStyle w:val="Emphasis"/>
          <w:caps/>
          <w:vanish w:val="0"/>
          <w:color w:val="806000" w:themeColor="accent4" w:themeShade="80"/>
          <w:sz w:val="24"/>
        </w:rPr>
      </w:pPr>
    </w:p>
    <w:p w14:paraId="09ECB7EE"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09ECB7EF" w14:textId="77777777" w:rsidR="00C961E7" w:rsidRDefault="00C961E7" w:rsidP="00C961E7">
      <w:pPr>
        <w:ind w:left="0" w:right="835"/>
        <w:rPr>
          <w:rStyle w:val="Emphasis"/>
          <w:vanish w:val="0"/>
          <w:color w:val="806000" w:themeColor="accent4" w:themeShade="80"/>
          <w:sz w:val="32"/>
          <w:szCs w:val="32"/>
        </w:rPr>
      </w:pPr>
    </w:p>
    <w:p w14:paraId="09ECB7F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09ECB7F1" w14:textId="77777777" w:rsidR="00C961E7" w:rsidRDefault="00C961E7" w:rsidP="00C961E7">
      <w:pPr>
        <w:ind w:right="835"/>
        <w:rPr>
          <w:rStyle w:val="Emphasis"/>
          <w:vanish w:val="0"/>
          <w:color w:val="806000" w:themeColor="accent4" w:themeShade="80"/>
          <w:sz w:val="32"/>
          <w:szCs w:val="32"/>
        </w:rPr>
      </w:pPr>
    </w:p>
    <w:p w14:paraId="09ECB7F2"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09ECB7F4"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09ECB7F3"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09ECB7F8"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09ECB7F5"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09ECB7F6"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09ECB7F7"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09ECB7FC" w14:textId="77777777" w:rsidTr="005F45A9">
        <w:trPr>
          <w:trHeight w:val="242"/>
          <w:jc w:val="center"/>
        </w:trPr>
        <w:tc>
          <w:tcPr>
            <w:tcW w:w="1020" w:type="dxa"/>
            <w:tcMar>
              <w:top w:w="43" w:type="dxa"/>
              <w:left w:w="43" w:type="dxa"/>
              <w:bottom w:w="43" w:type="dxa"/>
              <w:right w:w="43" w:type="dxa"/>
            </w:tcMar>
            <w:vAlign w:val="center"/>
          </w:tcPr>
          <w:p w14:paraId="09ECB7F9"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09ECB7FA"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B" w14:textId="77777777" w:rsidR="00C961E7" w:rsidRPr="0007051A" w:rsidRDefault="00C961E7" w:rsidP="005F45A9">
            <w:pPr>
              <w:ind w:left="0" w:right="0"/>
              <w:rPr>
                <w:sz w:val="22"/>
                <w:szCs w:val="22"/>
              </w:rPr>
            </w:pPr>
          </w:p>
        </w:tc>
      </w:tr>
      <w:tr w:rsidR="00C961E7" w:rsidRPr="00E16CB8" w14:paraId="09ECB800" w14:textId="77777777" w:rsidTr="005F45A9">
        <w:trPr>
          <w:trHeight w:val="242"/>
          <w:jc w:val="center"/>
        </w:trPr>
        <w:tc>
          <w:tcPr>
            <w:tcW w:w="1020" w:type="dxa"/>
            <w:tcMar>
              <w:top w:w="43" w:type="dxa"/>
              <w:left w:w="43" w:type="dxa"/>
              <w:bottom w:w="43" w:type="dxa"/>
              <w:right w:w="43" w:type="dxa"/>
            </w:tcMar>
            <w:vAlign w:val="center"/>
          </w:tcPr>
          <w:p w14:paraId="09ECB7FD"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09ECB7FE"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F" w14:textId="77777777" w:rsidR="00C961E7" w:rsidRPr="0007051A" w:rsidRDefault="00C961E7" w:rsidP="005F45A9">
            <w:pPr>
              <w:ind w:left="0" w:right="0"/>
              <w:rPr>
                <w:sz w:val="22"/>
                <w:szCs w:val="22"/>
              </w:rPr>
            </w:pPr>
          </w:p>
        </w:tc>
      </w:tr>
      <w:tr w:rsidR="00C961E7" w:rsidRPr="00E16CB8" w14:paraId="09ECB804" w14:textId="77777777" w:rsidTr="005F45A9">
        <w:trPr>
          <w:trHeight w:val="231"/>
          <w:jc w:val="center"/>
        </w:trPr>
        <w:tc>
          <w:tcPr>
            <w:tcW w:w="1020" w:type="dxa"/>
            <w:tcMar>
              <w:top w:w="43" w:type="dxa"/>
              <w:left w:w="43" w:type="dxa"/>
              <w:bottom w:w="43" w:type="dxa"/>
              <w:right w:w="43" w:type="dxa"/>
            </w:tcMar>
            <w:vAlign w:val="center"/>
          </w:tcPr>
          <w:p w14:paraId="09ECB80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09ECB802"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803" w14:textId="77777777" w:rsidR="00C961E7" w:rsidRPr="0007051A" w:rsidRDefault="00C961E7" w:rsidP="005F45A9">
            <w:pPr>
              <w:ind w:left="0" w:right="0"/>
              <w:rPr>
                <w:sz w:val="22"/>
                <w:szCs w:val="22"/>
              </w:rPr>
            </w:pPr>
          </w:p>
        </w:tc>
      </w:tr>
    </w:tbl>
    <w:p w14:paraId="09ECB805"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09ECB806" w14:textId="77777777" w:rsidR="00C961E7" w:rsidRPr="00377FA3" w:rsidRDefault="00C961E7" w:rsidP="00C961E7">
      <w:pPr>
        <w:ind w:right="835"/>
        <w:rPr>
          <w:rStyle w:val="Emphasis"/>
          <w:caps/>
          <w:vanish w:val="0"/>
          <w:color w:val="806000" w:themeColor="accent4" w:themeShade="80"/>
          <w:sz w:val="24"/>
        </w:rPr>
      </w:pPr>
    </w:p>
    <w:p w14:paraId="09ECB8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09ECB808" w14:textId="77777777" w:rsidR="00C961E7" w:rsidRPr="00377FA3" w:rsidRDefault="00C961E7" w:rsidP="00C961E7">
      <w:pPr>
        <w:ind w:left="0" w:right="828"/>
        <w:rPr>
          <w:bCs/>
          <w:color w:val="806000" w:themeColor="accent4" w:themeShade="80"/>
        </w:rPr>
      </w:pPr>
    </w:p>
    <w:p w14:paraId="09ECB809" w14:textId="77777777" w:rsidR="00C961E7" w:rsidRPr="00377FA3" w:rsidRDefault="00C961E7" w:rsidP="00C961E7">
      <w:pPr>
        <w:ind w:right="630"/>
        <w:rPr>
          <w:bCs/>
          <w:color w:val="000000" w:themeColor="text1"/>
        </w:rPr>
      </w:pPr>
    </w:p>
    <w:p w14:paraId="09ECB80A" w14:textId="77777777" w:rsidR="00C961E7" w:rsidRPr="00377FA3" w:rsidRDefault="00C961E7" w:rsidP="00C961E7">
      <w:pPr>
        <w:tabs>
          <w:tab w:val="left" w:pos="1080"/>
        </w:tabs>
        <w:ind w:left="0" w:right="634"/>
      </w:pPr>
      <w:r>
        <w:rPr>
          <w:b/>
          <w:bCs/>
        </w:rPr>
        <w:t xml:space="preserve">Comment 1 </w:t>
      </w:r>
    </w:p>
    <w:p w14:paraId="09ECB80B" w14:textId="77777777" w:rsidR="00C961E7" w:rsidRDefault="00C961E7" w:rsidP="00C961E7">
      <w:pPr>
        <w:pStyle w:val="ListParagraph"/>
        <w:ind w:right="634"/>
        <w:contextualSpacing w:val="0"/>
        <w:rPr>
          <w:bCs/>
          <w:color w:val="000000" w:themeColor="text1"/>
        </w:rPr>
      </w:pPr>
    </w:p>
    <w:p w14:paraId="09ECB80C"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0D" w14:textId="77777777" w:rsidR="00C961E7" w:rsidRDefault="00C961E7" w:rsidP="00C961E7">
      <w:pPr>
        <w:pStyle w:val="ListParagraph"/>
        <w:ind w:right="634"/>
        <w:contextualSpacing w:val="0"/>
        <w:rPr>
          <w:rStyle w:val="Emphasis"/>
          <w:vanish w:val="0"/>
          <w:color w:val="806000" w:themeColor="accent4" w:themeShade="80"/>
          <w:sz w:val="24"/>
        </w:rPr>
      </w:pPr>
    </w:p>
    <w:p w14:paraId="09ECB80E" w14:textId="77777777"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14:paraId="09ECB80F" w14:textId="77777777" w:rsidR="00C961E7" w:rsidRPr="00377FA3" w:rsidRDefault="00C961E7" w:rsidP="00C961E7">
      <w:pPr>
        <w:pStyle w:val="ListParagraph"/>
        <w:ind w:right="634"/>
        <w:contextualSpacing w:val="0"/>
        <w:rPr>
          <w:bCs/>
          <w:color w:val="806000" w:themeColor="accent4" w:themeShade="80"/>
        </w:rPr>
      </w:pPr>
    </w:p>
    <w:p w14:paraId="09ECB810" w14:textId="77777777" w:rsidR="00C961E7" w:rsidRDefault="00C961E7" w:rsidP="00C961E7">
      <w:pPr>
        <w:ind w:left="0" w:right="630"/>
        <w:rPr>
          <w:b/>
          <w:bCs/>
          <w:color w:val="000000" w:themeColor="text1"/>
        </w:rPr>
      </w:pPr>
      <w:r w:rsidRPr="004646AA">
        <w:rPr>
          <w:b/>
          <w:bCs/>
          <w:color w:val="000000" w:themeColor="text1"/>
        </w:rPr>
        <w:t>Response</w:t>
      </w:r>
    </w:p>
    <w:p w14:paraId="09ECB811"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2" w14:textId="77777777"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14:paraId="09ECB813" w14:textId="77777777" w:rsidR="00C961E7" w:rsidRPr="00377FA3" w:rsidRDefault="00C961E7" w:rsidP="00C961E7">
      <w:pPr>
        <w:ind w:left="0" w:right="630"/>
        <w:rPr>
          <w:bCs/>
          <w:color w:val="000000" w:themeColor="text1"/>
        </w:rPr>
      </w:pPr>
    </w:p>
    <w:p w14:paraId="09ECB814"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14:paraId="09ECB815" w14:textId="77777777" w:rsidR="00C961E7" w:rsidRDefault="00C961E7" w:rsidP="00C961E7">
      <w:pPr>
        <w:pStyle w:val="ListParagraph"/>
        <w:tabs>
          <w:tab w:val="left" w:pos="1080"/>
        </w:tabs>
        <w:ind w:left="0" w:right="634"/>
        <w:contextualSpacing w:val="0"/>
        <w:rPr>
          <w:b/>
          <w:bCs/>
        </w:rPr>
      </w:pPr>
    </w:p>
    <w:p w14:paraId="09ECB816"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17" w14:textId="77777777" w:rsidR="00C961E7" w:rsidRDefault="00C961E7" w:rsidP="00C961E7">
      <w:pPr>
        <w:pStyle w:val="ListParagraph"/>
        <w:ind w:left="0" w:right="634"/>
        <w:contextualSpacing w:val="0"/>
        <w:rPr>
          <w:rStyle w:val="Emphasis"/>
          <w:caps/>
          <w:vanish w:val="0"/>
          <w:color w:val="806000" w:themeColor="accent4" w:themeShade="80"/>
          <w:sz w:val="24"/>
        </w:rPr>
      </w:pPr>
    </w:p>
    <w:p w14:paraId="09ECB818" w14:textId="77777777"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09ECB819" w14:textId="77777777" w:rsidR="00C961E7" w:rsidRPr="00377FA3" w:rsidRDefault="00C961E7" w:rsidP="00C961E7">
      <w:pPr>
        <w:pStyle w:val="ListParagraph"/>
        <w:ind w:left="0" w:right="634"/>
        <w:contextualSpacing w:val="0"/>
        <w:rPr>
          <w:bCs/>
          <w:color w:val="806000" w:themeColor="accent4" w:themeShade="80"/>
        </w:rPr>
      </w:pPr>
    </w:p>
    <w:p w14:paraId="09ECB81A"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09ECB81B"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C" w14:textId="77777777"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14:paraId="09ECB81D" w14:textId="77777777" w:rsidR="00C961E7" w:rsidRPr="00377FA3" w:rsidRDefault="00C961E7" w:rsidP="00C961E7">
      <w:pPr>
        <w:ind w:left="0" w:right="630"/>
        <w:rPr>
          <w:bCs/>
          <w:color w:val="000000" w:themeColor="text1"/>
        </w:rPr>
      </w:pPr>
    </w:p>
    <w:p w14:paraId="09ECB81E"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14:paraId="09ECB81F" w14:textId="77777777" w:rsidR="00C961E7" w:rsidRDefault="00C961E7" w:rsidP="00C961E7">
      <w:pPr>
        <w:pStyle w:val="ListParagraph"/>
        <w:tabs>
          <w:tab w:val="left" w:pos="1080"/>
        </w:tabs>
        <w:ind w:left="0" w:right="634"/>
        <w:contextualSpacing w:val="0"/>
        <w:rPr>
          <w:b/>
          <w:bCs/>
        </w:rPr>
      </w:pPr>
    </w:p>
    <w:p w14:paraId="09ECB820"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21" w14:textId="77777777" w:rsidR="00C961E7" w:rsidRDefault="00C961E7" w:rsidP="00C961E7">
      <w:pPr>
        <w:pStyle w:val="ListParagraph"/>
        <w:ind w:right="634"/>
        <w:contextualSpacing w:val="0"/>
        <w:rPr>
          <w:rStyle w:val="Emphasis"/>
          <w:caps/>
          <w:vanish w:val="0"/>
          <w:color w:val="806000" w:themeColor="accent4" w:themeShade="80"/>
          <w:sz w:val="24"/>
        </w:rPr>
      </w:pPr>
    </w:p>
    <w:p w14:paraId="09ECB822" w14:textId="77777777"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09ECB823" w14:textId="77777777" w:rsidR="00C961E7" w:rsidRPr="00377FA3" w:rsidRDefault="00C961E7" w:rsidP="00C961E7">
      <w:pPr>
        <w:pStyle w:val="ListParagraph"/>
        <w:ind w:right="634"/>
        <w:contextualSpacing w:val="0"/>
        <w:rPr>
          <w:bCs/>
          <w:color w:val="806000" w:themeColor="accent4" w:themeShade="80"/>
        </w:rPr>
      </w:pPr>
    </w:p>
    <w:p w14:paraId="09ECB824" w14:textId="77777777" w:rsidR="00C961E7" w:rsidRDefault="00C961E7" w:rsidP="00C961E7">
      <w:pPr>
        <w:ind w:left="0" w:right="630"/>
        <w:rPr>
          <w:b/>
          <w:bCs/>
          <w:color w:val="000000" w:themeColor="text1"/>
        </w:rPr>
      </w:pPr>
      <w:r w:rsidRPr="004646AA">
        <w:rPr>
          <w:b/>
          <w:bCs/>
          <w:color w:val="000000" w:themeColor="text1"/>
        </w:rPr>
        <w:t>Response</w:t>
      </w:r>
    </w:p>
    <w:p w14:paraId="09ECB825"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26" w14:textId="77777777"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14:paraId="09ECB827" w14:textId="77777777" w:rsidR="00C961E7" w:rsidRPr="00377FA3" w:rsidRDefault="00C961E7" w:rsidP="00C961E7">
      <w:pPr>
        <w:pStyle w:val="ListParagraph"/>
        <w:spacing w:after="120"/>
        <w:ind w:left="2160" w:right="630"/>
        <w:rPr>
          <w:bCs/>
          <w:color w:val="000000" w:themeColor="text1"/>
        </w:rPr>
      </w:pPr>
    </w:p>
    <w:p w14:paraId="09ECB828"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5F45A9">
            <w:pPr>
              <w:pStyle w:val="Heading1"/>
            </w:pPr>
            <w:bookmarkStart w:id="14" w:name="_Toc490121554"/>
            <w:r w:rsidRPr="00276752">
              <w:lastRenderedPageBreak/>
              <w:t>Commenters</w:t>
            </w:r>
            <w:bookmarkEnd w:id="14"/>
          </w:p>
        </w:tc>
      </w:tr>
    </w:tbl>
    <w:p w14:paraId="09ECB82B" w14:textId="77777777" w:rsidR="00C961E7" w:rsidRPr="00377FA3" w:rsidRDefault="00C961E7" w:rsidP="00C961E7">
      <w:pPr>
        <w:rPr>
          <w:color w:val="32525C"/>
        </w:rPr>
      </w:pPr>
      <w:r w:rsidRPr="00377FA3">
        <w:rPr>
          <w:color w:val="32525C"/>
        </w:rPr>
        <w:t>  </w:t>
      </w:r>
    </w:p>
    <w:p w14:paraId="09ECB82C"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09ECB82D" w14:textId="77777777" w:rsidR="00C961E7" w:rsidRDefault="00C961E7" w:rsidP="00C961E7">
      <w:pPr>
        <w:spacing w:after="120"/>
        <w:ind w:left="0" w:right="630"/>
        <w:rPr>
          <w:color w:val="000000" w:themeColor="text1"/>
        </w:rPr>
      </w:pPr>
    </w:p>
    <w:p w14:paraId="09ECB82E"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09ECB82F" w14:textId="77777777" w:rsidR="00C961E7" w:rsidRDefault="00C961E7" w:rsidP="00C961E7">
      <w:pPr>
        <w:spacing w:after="120"/>
        <w:ind w:left="0" w:right="630"/>
        <w:rPr>
          <w:bCs/>
          <w:color w:val="000000" w:themeColor="text1"/>
        </w:rPr>
      </w:pPr>
    </w:p>
    <w:p w14:paraId="09ECB830" w14:textId="77777777" w:rsidR="00C961E7" w:rsidRDefault="00C961E7" w:rsidP="00C961E7">
      <w:pPr>
        <w:spacing w:after="120"/>
        <w:ind w:left="0" w:right="630"/>
        <w:rPr>
          <w:bCs/>
          <w:color w:val="000000" w:themeColor="text1"/>
        </w:rPr>
      </w:pPr>
    </w:p>
    <w:p w14:paraId="09ECB831" w14:textId="77777777"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14:paraId="09ECB832" w14:textId="77777777" w:rsidR="00C961E7" w:rsidRPr="00377FA3" w:rsidRDefault="00C961E7" w:rsidP="00C961E7">
      <w:pPr>
        <w:spacing w:after="120"/>
        <w:ind w:left="0" w:right="630"/>
        <w:rPr>
          <w:bCs/>
          <w:color w:val="000000" w:themeColor="text1"/>
        </w:rPr>
      </w:pPr>
    </w:p>
    <w:p w14:paraId="09ECB833" w14:textId="77777777"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14:paraId="09ECB834" w14:textId="77777777" w:rsidR="00C961E7" w:rsidRPr="007038EB" w:rsidRDefault="00C961E7" w:rsidP="00C961E7">
      <w:pPr>
        <w:pStyle w:val="ListParagraph"/>
        <w:tabs>
          <w:tab w:val="left" w:pos="1080"/>
        </w:tabs>
        <w:spacing w:after="120"/>
        <w:ind w:left="2160" w:right="634"/>
      </w:pPr>
    </w:p>
    <w:p w14:paraId="09ECB835"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6"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7" w14:textId="77777777" w:rsidR="00C961E7" w:rsidRPr="007038EB" w:rsidRDefault="00C961E7" w:rsidP="00C961E7">
      <w:pPr>
        <w:pStyle w:val="ListParagraph"/>
        <w:spacing w:after="120"/>
        <w:ind w:left="2340" w:right="630"/>
        <w:contextualSpacing w:val="0"/>
        <w:rPr>
          <w:bCs/>
          <w:color w:val="000000" w:themeColor="text1"/>
        </w:rPr>
      </w:pPr>
    </w:p>
    <w:p w14:paraId="09ECB838" w14:textId="77777777"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14:paraId="09ECB839"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A"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B" w14:textId="77777777" w:rsidR="00C961E7" w:rsidRPr="007038EB" w:rsidRDefault="00C961E7" w:rsidP="00C961E7">
      <w:pPr>
        <w:pStyle w:val="ListParagraph"/>
        <w:spacing w:after="120"/>
        <w:ind w:left="2340" w:right="630"/>
        <w:contextualSpacing w:val="0"/>
        <w:rPr>
          <w:bCs/>
          <w:color w:val="000000" w:themeColor="text1"/>
        </w:rPr>
      </w:pPr>
    </w:p>
    <w:p w14:paraId="09ECB83C" w14:textId="77777777"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14:paraId="09ECB83D" w14:textId="77777777" w:rsidR="00C961E7" w:rsidRPr="007038EB" w:rsidRDefault="00C961E7" w:rsidP="00C961E7">
      <w:pPr>
        <w:pStyle w:val="ListParagraph"/>
        <w:tabs>
          <w:tab w:val="left" w:pos="1080"/>
        </w:tabs>
        <w:spacing w:after="120"/>
        <w:ind w:left="0" w:right="634"/>
      </w:pPr>
    </w:p>
    <w:p w14:paraId="09ECB83E"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09ECB83F" w14:textId="77777777"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09ECB840" w14:textId="77777777" w:rsidR="00C961E7" w:rsidRDefault="00C961E7" w:rsidP="00C961E7">
      <w:pPr>
        <w:pStyle w:val="ListParagraph"/>
        <w:spacing w:after="120"/>
        <w:ind w:left="2160" w:right="630"/>
        <w:contextualSpacing w:val="0"/>
        <w:rPr>
          <w:bCs/>
          <w:color w:val="000000" w:themeColor="text1"/>
        </w:rPr>
      </w:pPr>
    </w:p>
    <w:p w14:paraId="09ECB841" w14:textId="77777777"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14:paraId="09ECB842" w14:textId="77777777"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09ECB844"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09ECB843" w14:textId="77777777" w:rsidR="00C961E7" w:rsidRPr="00C3722A" w:rsidRDefault="00C961E7" w:rsidP="005F45A9">
            <w:pPr>
              <w:ind w:left="0" w:right="0"/>
              <w:jc w:val="center"/>
              <w:rPr>
                <w:rFonts w:ascii="Arial" w:hAnsi="Arial" w:cs="Arial"/>
                <w:b/>
              </w:rPr>
            </w:pPr>
            <w:r>
              <w:rPr>
                <w:rFonts w:ascii="Arial" w:hAnsi="Arial" w:cs="Arial"/>
                <w:b/>
                <w:sz w:val="32"/>
                <w:szCs w:val="32"/>
              </w:rPr>
              <w:lastRenderedPageBreak/>
              <w:t>List of Commenters</w:t>
            </w:r>
          </w:p>
        </w:tc>
      </w:tr>
      <w:tr w:rsidR="00C961E7" w:rsidRPr="00E16CB8" w14:paraId="09ECB84A"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09ECB845"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14:paraId="09ECB846"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09ECB847"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09ECB848"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14:paraId="09ECB849"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09ECB850" w14:textId="77777777" w:rsidTr="0007051A">
        <w:trPr>
          <w:trHeight w:val="598"/>
          <w:jc w:val="center"/>
        </w:trPr>
        <w:tc>
          <w:tcPr>
            <w:tcW w:w="599" w:type="dxa"/>
            <w:tcMar>
              <w:top w:w="43" w:type="dxa"/>
              <w:left w:w="43" w:type="dxa"/>
              <w:bottom w:w="43" w:type="dxa"/>
              <w:right w:w="43" w:type="dxa"/>
            </w:tcMar>
            <w:vAlign w:val="center"/>
          </w:tcPr>
          <w:p w14:paraId="09ECB84B"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14:paraId="09ECB84C" w14:textId="77777777"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14:paraId="09ECB84D" w14:textId="77777777"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14:paraId="09ECB84E" w14:textId="77777777" w:rsidR="00C961E7" w:rsidRPr="0007051A" w:rsidRDefault="00C961E7" w:rsidP="005F45A9">
            <w:pPr>
              <w:ind w:left="0" w:right="0"/>
              <w:rPr>
                <w:sz w:val="22"/>
                <w:szCs w:val="22"/>
              </w:rPr>
            </w:pPr>
            <w:r w:rsidRPr="0007051A">
              <w:rPr>
                <w:sz w:val="22"/>
                <w:szCs w:val="22"/>
              </w:rPr>
              <w:t>1, 3</w:t>
            </w:r>
          </w:p>
        </w:tc>
        <w:tc>
          <w:tcPr>
            <w:tcW w:w="905" w:type="dxa"/>
            <w:vAlign w:val="center"/>
          </w:tcPr>
          <w:p w14:paraId="09ECB84F" w14:textId="77777777" w:rsidR="00C961E7" w:rsidRPr="0007051A" w:rsidRDefault="00C961E7" w:rsidP="005F45A9">
            <w:pPr>
              <w:ind w:left="0" w:right="0"/>
              <w:rPr>
                <w:sz w:val="22"/>
                <w:szCs w:val="22"/>
              </w:rPr>
            </w:pPr>
          </w:p>
        </w:tc>
      </w:tr>
      <w:tr w:rsidR="00C961E7" w:rsidRPr="00E16CB8" w14:paraId="09ECB856" w14:textId="77777777" w:rsidTr="0007051A">
        <w:trPr>
          <w:trHeight w:val="598"/>
          <w:jc w:val="center"/>
        </w:trPr>
        <w:tc>
          <w:tcPr>
            <w:tcW w:w="599" w:type="dxa"/>
            <w:tcMar>
              <w:top w:w="43" w:type="dxa"/>
              <w:left w:w="43" w:type="dxa"/>
              <w:bottom w:w="43" w:type="dxa"/>
              <w:right w:w="43" w:type="dxa"/>
            </w:tcMar>
            <w:vAlign w:val="center"/>
          </w:tcPr>
          <w:p w14:paraId="09ECB85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14:paraId="09ECB852" w14:textId="77777777"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14:paraId="09ECB853" w14:textId="77777777"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14:paraId="09ECB854" w14:textId="77777777" w:rsidR="00C961E7" w:rsidRPr="0007051A" w:rsidRDefault="00C961E7" w:rsidP="005F45A9">
            <w:pPr>
              <w:ind w:left="0" w:right="0"/>
              <w:rPr>
                <w:sz w:val="22"/>
                <w:szCs w:val="22"/>
              </w:rPr>
            </w:pPr>
            <w:r w:rsidRPr="0007051A">
              <w:rPr>
                <w:sz w:val="22"/>
                <w:szCs w:val="22"/>
              </w:rPr>
              <w:t>2, 4</w:t>
            </w:r>
          </w:p>
        </w:tc>
        <w:tc>
          <w:tcPr>
            <w:tcW w:w="905" w:type="dxa"/>
            <w:vAlign w:val="center"/>
          </w:tcPr>
          <w:p w14:paraId="09ECB855" w14:textId="77777777" w:rsidR="00C961E7" w:rsidRPr="0007051A" w:rsidRDefault="00C961E7" w:rsidP="005F45A9">
            <w:pPr>
              <w:ind w:left="0" w:right="0"/>
              <w:rPr>
                <w:sz w:val="22"/>
                <w:szCs w:val="22"/>
              </w:rPr>
            </w:pPr>
          </w:p>
        </w:tc>
      </w:tr>
      <w:tr w:rsidR="00C961E7" w:rsidRPr="00E16CB8" w14:paraId="09ECB85C" w14:textId="77777777" w:rsidTr="0007051A">
        <w:trPr>
          <w:trHeight w:val="520"/>
          <w:jc w:val="center"/>
        </w:trPr>
        <w:tc>
          <w:tcPr>
            <w:tcW w:w="599" w:type="dxa"/>
            <w:tcMar>
              <w:top w:w="43" w:type="dxa"/>
              <w:left w:w="43" w:type="dxa"/>
              <w:bottom w:w="43" w:type="dxa"/>
              <w:right w:w="43" w:type="dxa"/>
            </w:tcMar>
            <w:vAlign w:val="center"/>
          </w:tcPr>
          <w:p w14:paraId="09ECB857"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14:paraId="09ECB858" w14:textId="77777777"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14:paraId="09ECB859" w14:textId="77777777"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14:paraId="09ECB85A" w14:textId="77777777" w:rsidR="00C961E7" w:rsidRPr="0007051A" w:rsidRDefault="00C961E7" w:rsidP="005F45A9">
            <w:pPr>
              <w:ind w:left="0" w:right="0"/>
              <w:rPr>
                <w:sz w:val="22"/>
                <w:szCs w:val="22"/>
              </w:rPr>
            </w:pPr>
            <w:r w:rsidRPr="0007051A">
              <w:rPr>
                <w:sz w:val="22"/>
                <w:szCs w:val="22"/>
              </w:rPr>
              <w:t>5, 6</w:t>
            </w:r>
          </w:p>
        </w:tc>
        <w:tc>
          <w:tcPr>
            <w:tcW w:w="905" w:type="dxa"/>
            <w:vAlign w:val="center"/>
          </w:tcPr>
          <w:p w14:paraId="09ECB85B" w14:textId="77777777" w:rsidR="00C961E7" w:rsidRPr="0007051A" w:rsidRDefault="00C961E7" w:rsidP="005F45A9">
            <w:pPr>
              <w:ind w:left="0" w:right="0"/>
              <w:rPr>
                <w:sz w:val="22"/>
                <w:szCs w:val="22"/>
              </w:rPr>
            </w:pPr>
          </w:p>
        </w:tc>
      </w:tr>
    </w:tbl>
    <w:p w14:paraId="09ECB85D" w14:textId="77777777" w:rsidR="00C961E7" w:rsidRDefault="00C961E7" w:rsidP="00C961E7">
      <w:pPr>
        <w:pStyle w:val="ListParagraph"/>
        <w:spacing w:after="120"/>
        <w:ind w:left="2880" w:right="630"/>
        <w:contextualSpacing w:val="0"/>
        <w:rPr>
          <w:b/>
          <w:bCs/>
          <w:color w:val="000000" w:themeColor="text1"/>
        </w:rPr>
      </w:pPr>
    </w:p>
    <w:p w14:paraId="09ECB85E" w14:textId="77777777" w:rsidR="00C961E7" w:rsidRPr="00D8597B" w:rsidRDefault="00C961E7" w:rsidP="00C961E7">
      <w:pPr>
        <w:pStyle w:val="ListParagraph"/>
        <w:spacing w:after="120"/>
        <w:ind w:left="2880" w:right="630"/>
        <w:contextualSpacing w:val="0"/>
        <w:rPr>
          <w:b/>
          <w:bCs/>
          <w:color w:val="000000" w:themeColor="text1"/>
        </w:rPr>
      </w:pPr>
    </w:p>
    <w:p w14:paraId="09ECB85F"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1" w14:textId="77777777" w:rsidR="00C961E7" w:rsidRPr="00377FA3" w:rsidRDefault="00C961E7" w:rsidP="005F45A9">
            <w:pPr>
              <w:ind w:left="0"/>
              <w:rPr>
                <w:b/>
                <w:bCs/>
                <w:color w:val="32525C"/>
                <w:sz w:val="28"/>
                <w:szCs w:val="28"/>
              </w:rPr>
            </w:pPr>
            <w:r w:rsidRPr="00377FA3">
              <w:br w:type="page"/>
            </w:r>
          </w:p>
          <w:p w14:paraId="09ECB862"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09ECB866"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09ECB867"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09ECB868" w14:textId="77777777"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09ECB86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6C" w14:textId="77777777" w:rsidR="00C961E7" w:rsidRPr="009A06A3" w:rsidRDefault="00C961E7" w:rsidP="00C961E7">
      <w:pPr>
        <w:spacing w:after="120"/>
        <w:ind w:left="0" w:right="1008"/>
        <w:rPr>
          <w:bCs/>
          <w:color w:val="000000" w:themeColor="text1"/>
        </w:rPr>
      </w:pPr>
    </w:p>
    <w:p w14:paraId="09ECB86D"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14:paraId="09ECB86E"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6F"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0" w14:textId="77777777" w:rsidR="00C961E7" w:rsidRPr="009A06A3" w:rsidRDefault="00C961E7" w:rsidP="00C961E7">
      <w:pPr>
        <w:ind w:left="0" w:right="1008"/>
        <w:rPr>
          <w:color w:val="000000" w:themeColor="text1"/>
        </w:rPr>
      </w:pPr>
    </w:p>
    <w:p w14:paraId="09ECB87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09ECB872"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09ECB87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09ECB87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Invoicing - Text</w:t>
      </w:r>
    </w:p>
    <w:p w14:paraId="09ECB875" w14:textId="77777777" w:rsidR="00C961E7" w:rsidRPr="009A06A3" w:rsidRDefault="00C961E7" w:rsidP="00C961E7">
      <w:pPr>
        <w:ind w:left="86" w:right="1008"/>
        <w:rPr>
          <w:color w:val="000000" w:themeColor="text1"/>
        </w:rPr>
      </w:pPr>
    </w:p>
    <w:p w14:paraId="09ECB876"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09ECB87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7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5F45A9">
            <w:pPr>
              <w:pStyle w:val="Heading1"/>
              <w:tabs>
                <w:tab w:val="left" w:pos="8622"/>
              </w:tabs>
            </w:pPr>
            <w:bookmarkStart w:id="16" w:name="_Toc490121556"/>
            <w:r w:rsidRPr="001D0308">
              <w:lastRenderedPageBreak/>
              <w:t>Five-year review</w:t>
            </w:r>
            <w:bookmarkEnd w:id="16"/>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09ECB87E"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09ECB87F"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9ECB880"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09ECB881" w14:textId="77777777" w:rsidR="00C961E7" w:rsidRPr="00377FA3" w:rsidRDefault="00C961E7" w:rsidP="00C961E7">
      <w:pPr>
        <w:ind w:left="0"/>
      </w:pPr>
    </w:p>
    <w:p w14:paraId="09ECB882"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09ECB883" w14:textId="77777777" w:rsidR="00C961E7" w:rsidRPr="00377FA3" w:rsidRDefault="00C961E7" w:rsidP="00C961E7">
      <w:pPr>
        <w:ind w:left="0"/>
      </w:pPr>
    </w:p>
    <w:p w14:paraId="09ECB884"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09ECB885" w14:textId="77777777" w:rsidR="00C961E7" w:rsidRPr="00377FA3" w:rsidRDefault="00C961E7" w:rsidP="00C961E7">
      <w:pPr>
        <w:autoSpaceDE w:val="0"/>
        <w:autoSpaceDN w:val="0"/>
        <w:adjustRightInd w:val="0"/>
        <w:ind w:left="0" w:right="1008"/>
      </w:pPr>
    </w:p>
    <w:p w14:paraId="09ECB886"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14:paraId="09ECB887" w14:textId="77777777" w:rsidR="00C961E7" w:rsidRPr="00377FA3" w:rsidRDefault="00C961E7" w:rsidP="00C961E7">
      <w:pPr>
        <w:autoSpaceDE w:val="0"/>
        <w:autoSpaceDN w:val="0"/>
        <w:adjustRightInd w:val="0"/>
        <w:ind w:left="0" w:right="1008"/>
      </w:pPr>
    </w:p>
    <w:p w14:paraId="09ECB888"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09ECB889"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183.405(5)(a).</w:t>
      </w:r>
    </w:p>
    <w:p w14:paraId="09ECB88A"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183.405((5)(b).</w:t>
      </w:r>
    </w:p>
    <w:p w14:paraId="09ECB88B"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183.405(5)(c).</w:t>
      </w:r>
    </w:p>
    <w:p w14:paraId="09ECB88C"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09ECB88D"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09ECB88E"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09ECB88F"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09ECB890"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09ECB891" w14:textId="77777777" w:rsidR="00C961E7" w:rsidRPr="00377FA3" w:rsidRDefault="00C961E7" w:rsidP="00C961E7">
      <w:pPr>
        <w:pStyle w:val="ListParagraph"/>
        <w:ind w:left="0"/>
        <w:rPr>
          <w:rStyle w:val="Emphasis"/>
          <w:vanish w:val="0"/>
          <w:color w:val="806000" w:themeColor="accent4" w:themeShade="80"/>
        </w:rPr>
      </w:pPr>
    </w:p>
    <w:p w14:paraId="09ECB892"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09ECB893"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09ECB894"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09ECB895"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09ECB896"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09ECB897"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09ECB898"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9ECB899" w14:textId="77777777"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14:paraId="09ECB89A"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6C45FD" w:rsidRDefault="006C45FD" w:rsidP="002D6C99">
      <w:r>
        <w:separator/>
      </w:r>
    </w:p>
  </w:endnote>
  <w:endnote w:type="continuationSeparator" w:id="0">
    <w:p w14:paraId="09ECB8C0"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09ECB8C4" w14:textId="51E4A514" w:rsidR="00627F5C" w:rsidRDefault="00627F5C">
        <w:pPr>
          <w:pStyle w:val="Footer"/>
          <w:jc w:val="right"/>
        </w:pPr>
        <w:r>
          <w:fldChar w:fldCharType="begin"/>
        </w:r>
        <w:r>
          <w:instrText xml:space="preserve"> PAGE   \* MERGEFORMAT </w:instrText>
        </w:r>
        <w:r>
          <w:fldChar w:fldCharType="separate"/>
        </w:r>
        <w:r w:rsidR="00867A18">
          <w:rPr>
            <w:noProof/>
          </w:rPr>
          <w:t>4</w:t>
        </w:r>
        <w:r>
          <w:rPr>
            <w:noProof/>
          </w:rPr>
          <w:fldChar w:fldCharType="end"/>
        </w:r>
      </w:p>
    </w:sdtContent>
  </w:sdt>
  <w:p w14:paraId="09ECB8C5" w14:textId="77777777"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6C45FD" w:rsidRDefault="006C45FD" w:rsidP="002D6C99">
      <w:r>
        <w:separator/>
      </w:r>
    </w:p>
  </w:footnote>
  <w:footnote w:type="continuationSeparator" w:id="0">
    <w:p w14:paraId="09ECB8BE" w14:textId="77777777"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E4D8F82-B74B-4FD2-B93E-874818EA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38</cp:revision>
  <cp:lastPrinted>2013-02-28T21:12:00Z</cp:lastPrinted>
  <dcterms:created xsi:type="dcterms:W3CDTF">2017-05-09T17:00:00Z</dcterms:created>
  <dcterms:modified xsi:type="dcterms:W3CDTF">2019-05-16T21:59:00Z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