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Default="0002260C" w:rsidP="0002260C">
            <w:r>
              <w:t xml:space="preserve">Program </w:t>
            </w:r>
            <w:proofErr w:type="spellStart"/>
            <w:r>
              <w:t>Mgr</w:t>
            </w:r>
            <w:proofErr w:type="spellEnd"/>
          </w:p>
        </w:tc>
        <w:tc>
          <w:tcPr>
            <w:tcW w:w="3369" w:type="dxa"/>
            <w:vAlign w:val="center"/>
          </w:tcPr>
          <w:p w14:paraId="7F78A1AE" w14:textId="4E0E148C" w:rsidR="0002260C" w:rsidRDefault="0002260C" w:rsidP="0002260C">
            <w:r>
              <w:t>Skip</w:t>
            </w:r>
          </w:p>
        </w:tc>
        <w:tc>
          <w:tcPr>
            <w:tcW w:w="1920" w:type="dxa"/>
            <w:vAlign w:val="center"/>
          </w:tcPr>
          <w:p w14:paraId="51DF9129" w14:textId="77777777" w:rsidR="0002260C" w:rsidRDefault="0002260C" w:rsidP="0002260C">
            <w:pPr>
              <w:ind w:left="91"/>
            </w:pPr>
          </w:p>
        </w:tc>
      </w:tr>
      <w:tr w:rsidR="0002260C" w14:paraId="0307AAFD" w14:textId="77777777" w:rsidTr="00B02FE7">
        <w:trPr>
          <w:trHeight w:val="356"/>
        </w:trPr>
        <w:tc>
          <w:tcPr>
            <w:tcW w:w="2436" w:type="dxa"/>
            <w:vAlign w:val="center"/>
          </w:tcPr>
          <w:p w14:paraId="62C89521" w14:textId="77777777" w:rsidR="0002260C" w:rsidRDefault="0002260C" w:rsidP="0002260C">
            <w:r>
              <w:t>Communications</w:t>
            </w:r>
          </w:p>
        </w:tc>
        <w:tc>
          <w:tcPr>
            <w:tcW w:w="3369" w:type="dxa"/>
            <w:vAlign w:val="center"/>
          </w:tcPr>
          <w:p w14:paraId="440DF392" w14:textId="572FFD5B" w:rsidR="0002260C" w:rsidRDefault="0002260C" w:rsidP="0002260C">
            <w:r>
              <w:t>Susan Mills</w:t>
            </w:r>
          </w:p>
        </w:tc>
        <w:tc>
          <w:tcPr>
            <w:tcW w:w="1920" w:type="dxa"/>
            <w:vAlign w:val="center"/>
          </w:tcPr>
          <w:p w14:paraId="6646070C" w14:textId="50A2031E" w:rsidR="0002260C" w:rsidRDefault="00B02FE7" w:rsidP="0002260C">
            <w:pPr>
              <w:ind w:left="91"/>
            </w:pPr>
            <w:r>
              <w:t>May 22 -</w:t>
            </w:r>
            <w:r w:rsidR="0002260C">
              <w:t>May 30</w:t>
            </w:r>
          </w:p>
        </w:tc>
      </w:tr>
      <w:tr w:rsidR="0002260C" w14:paraId="64982297" w14:textId="77777777" w:rsidTr="00B02FE7">
        <w:trPr>
          <w:trHeight w:val="356"/>
        </w:trPr>
        <w:tc>
          <w:tcPr>
            <w:tcW w:w="2436" w:type="dxa"/>
            <w:vAlign w:val="center"/>
          </w:tcPr>
          <w:p w14:paraId="58376AD9" w14:textId="11722658" w:rsidR="0002260C" w:rsidRDefault="00B02FE7" w:rsidP="0002260C">
            <w:r>
              <w:t>Fiscal Analyst</w:t>
            </w:r>
          </w:p>
        </w:tc>
        <w:tc>
          <w:tcPr>
            <w:tcW w:w="3369" w:type="dxa"/>
            <w:vAlign w:val="center"/>
          </w:tcPr>
          <w:p w14:paraId="610AF6DA" w14:textId="3D932611" w:rsidR="0002260C" w:rsidRDefault="00B02FE7" w:rsidP="0002260C">
            <w:r>
              <w:t>Adam Coutu</w:t>
            </w:r>
          </w:p>
        </w:tc>
        <w:tc>
          <w:tcPr>
            <w:tcW w:w="1920" w:type="dxa"/>
            <w:vAlign w:val="center"/>
          </w:tcPr>
          <w:p w14:paraId="7CACE8E0" w14:textId="073E171A" w:rsidR="0002260C" w:rsidRDefault="00B02FE7" w:rsidP="00B02FE7">
            <w:pPr>
              <w:ind w:left="0"/>
            </w:pPr>
            <w: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09ECB716" w14:textId="77777777" w:rsidR="00C961E7" w:rsidRDefault="00C961E7" w:rsidP="00C961E7">
      <w:pPr>
        <w:pStyle w:val="Heading2"/>
        <w:jc w:val="center"/>
      </w:pPr>
      <w:r>
        <w:lastRenderedPageBreak/>
        <w:t>Table of Contents</w:t>
      </w:r>
    </w:p>
    <w:p w14:paraId="09ECB717"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09ECB718"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09ECB719"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09ECB71A"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09ECB71B"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09ECB71C"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09ECB71D"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09ECB71E"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09ECB71F"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09ECB720"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09ECB721"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09ECB722"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09ECB723"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09ECB724"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09ECB725"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09ECB726"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09ECB727"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09ECB728" w14:textId="77777777" w:rsidR="0064316E" w:rsidRDefault="00A86D3B">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09ECB729" w14:textId="77777777" w:rsidR="00C961E7" w:rsidRDefault="00C961E7" w:rsidP="00C961E7">
      <w:pPr>
        <w:pStyle w:val="Heading2"/>
      </w:pPr>
      <w:r>
        <w:fldChar w:fldCharType="end"/>
      </w:r>
      <w:r>
        <w:br w:type="page"/>
      </w:r>
    </w:p>
    <w:p w14:paraId="09ECB72A" w14:textId="77777777" w:rsidR="00C961E7" w:rsidRDefault="00C961E7" w:rsidP="00C961E7">
      <w:pPr>
        <w:pStyle w:val="Heading2"/>
      </w:pPr>
    </w:p>
    <w:p w14:paraId="09ECB72B" w14:textId="77777777" w:rsidR="00C961E7" w:rsidRPr="00377FA3" w:rsidRDefault="00C961E7" w:rsidP="00C961E7">
      <w:pPr>
        <w:jc w:val="center"/>
        <w:rPr>
          <w:sz w:val="26"/>
          <w:szCs w:val="26"/>
        </w:rPr>
      </w:pPr>
    </w:p>
    <w:p w14:paraId="09ECB72C" w14:textId="77777777" w:rsidR="00C961E7" w:rsidRPr="00377FA3" w:rsidRDefault="00C961E7" w:rsidP="00C961E7">
      <w:pPr>
        <w:ind w:right="0"/>
        <w:outlineLvl w:val="9"/>
        <w:rPr>
          <w:rStyle w:val="Emphasis"/>
        </w:rPr>
      </w:pP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09ECB730" w14:textId="77777777" w:rsidR="00C961E7" w:rsidRPr="00377FA3" w:rsidRDefault="00C961E7" w:rsidP="00C961E7"/>
    <w:p w14:paraId="09ECB733" w14:textId="7992E7E5"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14:paraId="09ECB740" w14:textId="056C45DD" w:rsidR="00C961E7" w:rsidRPr="00377FA3" w:rsidRDefault="00C961E7" w:rsidP="009947DC">
      <w:pPr>
        <w:pStyle w:val="Heading2"/>
        <w:ind w:left="0"/>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5F45A9">
            <w:pPr>
              <w:pStyle w:val="Heading1"/>
            </w:pPr>
            <w:bookmarkStart w:id="1" w:name="_Toc490121543"/>
            <w:r w:rsidRPr="00377FA3">
              <w:lastRenderedPageBreak/>
              <w:t>Overview</w:t>
            </w:r>
            <w:bookmarkEnd w:id="1"/>
          </w:p>
        </w:tc>
      </w:tr>
    </w:tbl>
    <w:p w14:paraId="783B8E32" w14:textId="77777777" w:rsidR="009947DC" w:rsidRDefault="009947DC" w:rsidP="009947DC">
      <w:pPr>
        <w:pStyle w:val="Heading3"/>
      </w:pPr>
    </w:p>
    <w:p w14:paraId="3148CD3A" w14:textId="121CDC49" w:rsidR="009947DC" w:rsidRPr="002175B6" w:rsidRDefault="009947DC" w:rsidP="009947DC">
      <w:pPr>
        <w:pStyle w:val="Heading3"/>
      </w:pPr>
      <w:r w:rsidRPr="002175B6">
        <w:t>DEQ proposal</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 xml:space="preserve">Oregon's rivers, lakes, </w:t>
      </w:r>
      <w:proofErr w:type="gramStart"/>
      <w:r>
        <w:rPr>
          <w:color w:val="000000"/>
          <w:lang w:val="en"/>
        </w:rPr>
        <w:t>streams</w:t>
      </w:r>
      <w:proofErr w:type="gramEnd"/>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proofErr w:type="gramStart"/>
      <w:r>
        <w:t>enforcement</w:t>
      </w:r>
      <w:proofErr w:type="gramEnd"/>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w:t>
      </w:r>
      <w:proofErr w:type="spellStart"/>
      <w:r>
        <w:rPr>
          <w:color w:val="000000"/>
        </w:rPr>
        <w:t>Biosolids</w:t>
      </w:r>
      <w:proofErr w:type="spellEnd"/>
      <w:r>
        <w:rPr>
          <w:color w:val="000000"/>
        </w:rPr>
        <w:t>)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9947DC">
      <w:pPr>
        <w:pStyle w:val="Heading2"/>
        <w:ind w:left="0"/>
        <w:rPr>
          <w:color w:val="C45911" w:themeColor="accent2" w:themeShade="BF"/>
        </w:rPr>
      </w:pPr>
      <w:r w:rsidRPr="00181DFD">
        <w:t>Regulated parties</w:t>
      </w:r>
      <w:r>
        <w:t xml:space="preserve"> </w:t>
      </w:r>
    </w:p>
    <w:p w14:paraId="6C639C69" w14:textId="77777777" w:rsidR="009947DC" w:rsidRDefault="009947DC" w:rsidP="009947DC">
      <w:pPr>
        <w:ind w:left="0"/>
      </w:pPr>
      <w:r w:rsidRPr="001C05F1">
        <w:t>The proposed rules wou</w:t>
      </w:r>
      <w:r>
        <w:t xml:space="preserve">ld affect individuals, </w:t>
      </w:r>
      <w:proofErr w:type="gramStart"/>
      <w:r>
        <w:t>business</w:t>
      </w:r>
      <w:proofErr w:type="gramEnd"/>
      <w:r w:rsidRPr="001C05F1">
        <w:t xml:space="preserve"> and government </w:t>
      </w:r>
      <w:r>
        <w:t>agencies that hold or apply for</w:t>
      </w:r>
      <w:r w:rsidRPr="001C05F1">
        <w:t xml:space="preserve"> National Pollutant Discharge Elimination System permits and Water Pollution Control Facility permits. </w:t>
      </w:r>
    </w:p>
    <w:p w14:paraId="44744BA6" w14:textId="77777777" w:rsidR="009947DC" w:rsidRPr="006C1F13" w:rsidRDefault="009947DC" w:rsidP="009947DC">
      <w:pPr>
        <w:pStyle w:val="Heading2"/>
        <w:ind w:left="0"/>
      </w:pPr>
      <w:r w:rsidRPr="006C1F13">
        <w:rPr>
          <w:rStyle w:val="Heading3Char"/>
          <w:b/>
          <w:sz w:val="32"/>
          <w:szCs w:val="26"/>
        </w:rPr>
        <w:t>Request for other options</w:t>
      </w:r>
      <w:r w:rsidRPr="006C1F13">
        <w:t xml:space="preserve"> </w:t>
      </w:r>
    </w:p>
    <w:p w14:paraId="44D2233C" w14:textId="3C870189" w:rsidR="009947DC" w:rsidRDefault="009947DC" w:rsidP="009947DC">
      <w:pPr>
        <w:ind w:left="0"/>
        <w:rPr>
          <w:b/>
          <w:color w:val="806000" w:themeColor="accent4" w:themeShade="80"/>
        </w:rPr>
      </w:pPr>
      <w:r w:rsidRPr="0022345E">
        <w:t>During the public comment period, DEQ requests public comment on whether to consider other options for achieving the rules’ substantive goals</w:t>
      </w:r>
      <w:r>
        <w:t>,</w:t>
      </w:r>
      <w:r w:rsidRPr="0022345E">
        <w:t xml:space="preserve"> while reducing the rules’ negative economic impact on business</w:t>
      </w:r>
    </w:p>
    <w:p w14:paraId="730CD49F" w14:textId="4CDAA590" w:rsidR="009947DC" w:rsidRDefault="009947DC" w:rsidP="009947DC">
      <w:pPr>
        <w:ind w:left="0"/>
        <w:rPr>
          <w:b/>
          <w:color w:val="806000" w:themeColor="accent4" w:themeShade="80"/>
        </w:rPr>
      </w:pPr>
    </w:p>
    <w:p w14:paraId="7B0E6EF5" w14:textId="5183A4D6" w:rsidR="00DB489A" w:rsidRDefault="00DB489A" w:rsidP="009947DC">
      <w:pPr>
        <w:ind w:left="0"/>
        <w:rPr>
          <w:rStyle w:val="Heading3Char"/>
          <w:bCs/>
          <w:sz w:val="32"/>
          <w:szCs w:val="26"/>
        </w:rPr>
      </w:pPr>
    </w:p>
    <w:p w14:paraId="19C2219B" w14:textId="77777777" w:rsidR="00DB489A" w:rsidRPr="00DB489A" w:rsidRDefault="00DB489A" w:rsidP="009947DC">
      <w:pPr>
        <w:ind w:left="0"/>
        <w:rPr>
          <w:rStyle w:val="Heading3Char"/>
          <w:bCs/>
          <w:sz w:val="24"/>
        </w:rPr>
      </w:pPr>
    </w:p>
    <w:p w14:paraId="543A8825" w14:textId="77777777" w:rsidR="009947DC" w:rsidRDefault="009947DC" w:rsidP="009947DC">
      <w:pPr>
        <w:ind w:left="0"/>
        <w:rPr>
          <w:b/>
          <w:color w:val="806000" w:themeColor="accent4" w:themeShade="80"/>
        </w:rPr>
      </w:pPr>
    </w:p>
    <w:p w14:paraId="79126708" w14:textId="77777777" w:rsidR="009947DC" w:rsidRDefault="009947DC" w:rsidP="009947DC">
      <w:pPr>
        <w:ind w:left="0"/>
        <w:rPr>
          <w:b/>
          <w:color w:val="806000" w:themeColor="accent4" w:themeShade="80"/>
        </w:rPr>
      </w:pPr>
    </w:p>
    <w:p w14:paraId="0EF49820" w14:textId="77777777" w:rsidR="009947DC" w:rsidRDefault="009947DC" w:rsidP="009947DC">
      <w:pPr>
        <w:ind w:left="0"/>
        <w:rPr>
          <w:b/>
          <w:color w:val="806000" w:themeColor="accent4" w:themeShade="80"/>
        </w:rPr>
      </w:pPr>
    </w:p>
    <w:p w14:paraId="09ECB749" w14:textId="77777777" w:rsidR="00C961E7" w:rsidRPr="001171C5" w:rsidRDefault="00C961E7" w:rsidP="009947DC">
      <w:pPr>
        <w:ind w:left="0"/>
        <w:rPr>
          <w:b/>
          <w:color w:val="806000" w:themeColor="accent4" w:themeShade="80"/>
        </w:rPr>
      </w:pPr>
      <w:r w:rsidRPr="001171C5">
        <w:rPr>
          <w:b/>
          <w:color w:val="806000" w:themeColor="accent4" w:themeShade="80"/>
        </w:rPr>
        <w:t>Outreach efforts and public and stakeholder involvement</w:t>
      </w:r>
    </w:p>
    <w:p w14:paraId="09ECB74A" w14:textId="77777777" w:rsidR="00C961E7" w:rsidRPr="001171C5" w:rsidRDefault="00C961E7" w:rsidP="009947DC">
      <w:pPr>
        <w:ind w:left="0"/>
        <w:rPr>
          <w:b/>
          <w:color w:val="806000" w:themeColor="accent4" w:themeShade="80"/>
        </w:rPr>
      </w:pPr>
      <w:r w:rsidRPr="001171C5">
        <w:rPr>
          <w:b/>
          <w:color w:val="806000" w:themeColor="accent4" w:themeShade="80"/>
        </w:rPr>
        <w:t>Hearing testimony</w:t>
      </w:r>
    </w:p>
    <w:p w14:paraId="09ECB74B" w14:textId="77777777" w:rsidR="00C961E7" w:rsidRPr="001171C5" w:rsidRDefault="00C961E7" w:rsidP="009947DC">
      <w:pPr>
        <w:ind w:left="0"/>
        <w:rPr>
          <w:b/>
          <w:color w:val="806000" w:themeColor="accent4" w:themeShade="80"/>
        </w:rPr>
      </w:pPr>
      <w:r w:rsidRPr="001171C5">
        <w:rPr>
          <w:b/>
          <w:color w:val="806000" w:themeColor="accent4" w:themeShade="80"/>
        </w:rPr>
        <w:t>Summary of significant public comments and responses</w:t>
      </w:r>
    </w:p>
    <w:p w14:paraId="09ECB74C" w14:textId="77777777" w:rsidR="00C961E7" w:rsidRPr="001171C5" w:rsidRDefault="00C961E7" w:rsidP="009947DC">
      <w:pPr>
        <w:ind w:left="0"/>
        <w:rPr>
          <w:b/>
          <w:color w:val="806000" w:themeColor="accent4" w:themeShade="80"/>
        </w:rPr>
      </w:pPr>
      <w:r w:rsidRPr="001171C5">
        <w:rPr>
          <w:b/>
          <w:color w:val="806000" w:themeColor="accent4" w:themeShade="80"/>
        </w:rPr>
        <w:t>Effects of this rulemaking on any fees</w:t>
      </w:r>
    </w:p>
    <w:p w14:paraId="09ECB74D" w14:textId="77777777" w:rsidR="00C961E7" w:rsidRPr="001171C5" w:rsidRDefault="00C961E7" w:rsidP="009947DC">
      <w:pPr>
        <w:ind w:left="0"/>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09ECB74E" w14:textId="77777777"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0" w14:textId="77777777" w:rsidTr="005F45A9">
        <w:trPr>
          <w:trHeight w:val="603"/>
          <w:jc w:val="center"/>
        </w:trPr>
        <w:tc>
          <w:tcPr>
            <w:tcW w:w="8887" w:type="dxa"/>
            <w:shd w:val="clear" w:color="auto" w:fill="D0CECE" w:themeFill="background2" w:themeFillShade="E6"/>
            <w:noWrap/>
            <w:vAlign w:val="bottom"/>
            <w:hideMark/>
          </w:tcPr>
          <w:p w14:paraId="09ECB74F"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09ECB751" w14:textId="77777777" w:rsidR="00C961E7" w:rsidRPr="00377FA3" w:rsidRDefault="00C961E7" w:rsidP="00C961E7"/>
    <w:p w14:paraId="09ECB752" w14:textId="77777777" w:rsidR="00C961E7" w:rsidRPr="00377FA3" w:rsidRDefault="00C961E7" w:rsidP="00C961E7">
      <w:r w:rsidRPr="00377FA3">
        <w:rPr>
          <w:noProof/>
          <w:lang w:val="en-ZW" w:eastAsia="en-ZW"/>
        </w:rPr>
        <mc:AlternateContent>
          <mc:Choice Requires="wps">
            <w:drawing>
              <wp:inline distT="0" distB="0" distL="0" distR="0" wp14:anchorId="09ECB8AF" wp14:editId="09ECB8B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09ECB8C8"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A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09ECB8C8"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9"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3" w14:textId="77777777" w:rsidR="00C961E7" w:rsidRPr="00377FA3" w:rsidRDefault="00C961E7" w:rsidP="00C961E7"/>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5F45A9">
            <w:pPr>
              <w:pStyle w:val="Heading1"/>
            </w:pPr>
            <w:bookmarkStart w:id="3" w:name="_Toc490121545"/>
            <w:r w:rsidRPr="00377FA3">
              <w:lastRenderedPageBreak/>
              <w:t>Statement of Need</w:t>
            </w:r>
            <w:bookmarkEnd w:id="3"/>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09ECB8CA"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A86D3B">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A86D3B">
            <w:pPr>
              <w:pStyle w:val="Default"/>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A86D3B">
            <w:pPr>
              <w:pStyle w:val="Default"/>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A86D3B">
            <w:pPr>
              <w:pStyle w:val="Default"/>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A86D3B">
            <w:pPr>
              <w:jc w:val="cente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A86D3B">
            <w:pPr>
              <w:ind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A86D3B">
            <w:pPr>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A86D3B">
            <w:pPr>
              <w:rPr>
                <w:color w:val="000000"/>
              </w:rPr>
            </w:pPr>
          </w:p>
          <w:p w14:paraId="1936932B" w14:textId="77777777" w:rsidR="00DB489A" w:rsidRPr="002D7FB1" w:rsidRDefault="00DB489A" w:rsidP="00A86D3B">
            <w:r w:rsidRPr="002D7FB1">
              <w:rPr>
                <w:color w:val="000000"/>
              </w:rPr>
              <w:t>OAR 340-045-0075(9</w:t>
            </w:r>
            <w:proofErr w:type="gramStart"/>
            <w:r w:rsidRPr="002D7FB1">
              <w:rPr>
                <w:color w:val="000000"/>
              </w:rPr>
              <w:t>)(</w:t>
            </w:r>
            <w:proofErr w:type="gramEnd"/>
            <w:r w:rsidRPr="002D7FB1">
              <w:rPr>
                <w:color w:val="000000"/>
              </w:rPr>
              <w:t xml:space="preserve">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A86D3B">
            <w:pPr>
              <w:ind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09ECB8B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09ECB8CC"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DB489A">
      <w:pPr>
        <w:pStyle w:val="Heading2"/>
        <w:ind w:left="0"/>
      </w:pPr>
      <w:r w:rsidRPr="005656D8">
        <w:t>Lead division</w:t>
      </w:r>
    </w:p>
    <w:p w14:paraId="236630F7" w14:textId="77777777" w:rsidR="00DB489A" w:rsidRDefault="00DB489A" w:rsidP="00DB489A">
      <w:pPr>
        <w:tabs>
          <w:tab w:val="left" w:pos="4500"/>
        </w:tabs>
        <w:ind w:left="0" w:right="-360"/>
      </w:pPr>
      <w:r>
        <w:t>Water Quality Division</w:t>
      </w:r>
    </w:p>
    <w:p w14:paraId="22713166" w14:textId="77777777" w:rsidR="00DB489A" w:rsidRPr="006807BF" w:rsidRDefault="00DB489A" w:rsidP="00DB489A">
      <w:pPr>
        <w:pStyle w:val="Heading2"/>
        <w:ind w:left="0"/>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4991B79E" w14:textId="77777777" w:rsidR="00DB489A" w:rsidRDefault="00DB489A" w:rsidP="00DB489A">
      <w:pPr>
        <w:pStyle w:val="Heading2"/>
        <w:ind w:left="0"/>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5" w:name="SupportingDocuments"/>
      <w:r w:rsidRPr="00AB558B">
        <w:t>Documents relied on for rulemaking</w:t>
      </w:r>
      <w:r w:rsidRPr="00762E3F">
        <w:rPr>
          <w:rStyle w:val="Heading2Char"/>
          <w:rFonts w:eastAsiaTheme="majorEastAsia"/>
        </w:rPr>
        <w:t xml:space="preserve"> </w:t>
      </w:r>
      <w:bookmarkEnd w:id="5"/>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A86D3B">
            <w:pPr>
              <w:ind w:right="-360"/>
            </w:pPr>
            <w:r w:rsidRPr="006262E3">
              <w:t xml:space="preserve">Fee increase calculations </w:t>
            </w:r>
          </w:p>
        </w:tc>
        <w:tc>
          <w:tcPr>
            <w:tcW w:w="4500" w:type="dxa"/>
          </w:tcPr>
          <w:p w14:paraId="30BB2DBB" w14:textId="77777777" w:rsidR="00DB489A" w:rsidRPr="006262E3" w:rsidRDefault="00DB489A" w:rsidP="00A86D3B">
            <w:pPr>
              <w:ind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DB489A" w:rsidP="00A86D3B">
            <w:pPr>
              <w:ind w:right="-360"/>
            </w:pPr>
            <w:hyperlink r:id="rId20" w:history="1">
              <w:r w:rsidRPr="006262E3">
                <w:rPr>
                  <w:rStyle w:val="Hyperlink"/>
                </w:rPr>
                <w:t>Recommendations and Implementation Plan</w:t>
              </w:r>
            </w:hyperlink>
            <w:r w:rsidRPr="006262E3">
              <w:rPr>
                <w:color w:val="0462C1"/>
              </w:rPr>
              <w:t xml:space="preserve"> </w:t>
            </w:r>
          </w:p>
        </w:tc>
        <w:tc>
          <w:tcPr>
            <w:tcW w:w="4500" w:type="dxa"/>
          </w:tcPr>
          <w:p w14:paraId="5B490E60"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DB489A" w:rsidP="00A86D3B">
            <w:pPr>
              <w:ind w:right="-360"/>
              <w:rPr>
                <w:color w:val="C45911" w:themeColor="accent2" w:themeShade="BF"/>
              </w:rPr>
            </w:pPr>
            <w:hyperlink r:id="rId21" w:history="1">
              <w:r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A86D3B">
            <w:pPr>
              <w:ind w:right="-360"/>
            </w:pPr>
            <w:r w:rsidRPr="006262E3">
              <w:t xml:space="preserve">DEQ 2017-2019 Legislatively Approved Budget </w:t>
            </w:r>
          </w:p>
        </w:tc>
        <w:tc>
          <w:tcPr>
            <w:tcW w:w="4500" w:type="dxa"/>
          </w:tcPr>
          <w:p w14:paraId="005D9A1A" w14:textId="77777777" w:rsidR="00DB489A" w:rsidRPr="006262E3" w:rsidRDefault="00DB489A" w:rsidP="00A86D3B">
            <w:pPr>
              <w:ind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A86D3B">
            <w:pPr>
              <w:ind w:right="-360"/>
            </w:pPr>
            <w:r w:rsidRPr="006262E3">
              <w:t xml:space="preserve">DEQ’s water quality permit database </w:t>
            </w:r>
          </w:p>
        </w:tc>
        <w:tc>
          <w:tcPr>
            <w:tcW w:w="4500" w:type="dxa"/>
          </w:tcPr>
          <w:p w14:paraId="01C4E14E" w14:textId="77777777" w:rsidR="00DB489A" w:rsidRPr="006262E3" w:rsidRDefault="00DB489A" w:rsidP="00A86D3B">
            <w:pPr>
              <w:ind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A86D3B">
            <w:pPr>
              <w:pStyle w:val="Default"/>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A86D3B">
            <w:pPr>
              <w:ind w:right="-360"/>
            </w:pPr>
          </w:p>
        </w:tc>
        <w:tc>
          <w:tcPr>
            <w:tcW w:w="4500" w:type="dxa"/>
          </w:tcPr>
          <w:p w14:paraId="34B9384F"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A86D3B">
            <w:pPr>
              <w:pStyle w:val="Default"/>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DB489A" w:rsidP="00A86D3B">
            <w:pPr>
              <w:pStyle w:val="Default"/>
              <w:rPr>
                <w:rFonts w:ascii="Times New Roman" w:hAnsi="Times New Roman" w:cs="Times New Roman"/>
                <w:b w:val="0"/>
              </w:rPr>
            </w:pPr>
            <w:hyperlink r:id="rId22" w:history="1">
              <w:r w:rsidRPr="006262E3">
                <w:rPr>
                  <w:rStyle w:val="Hyperlink"/>
                  <w:rFonts w:ascii="Times New Roman" w:hAnsi="Times New Roman" w:cs="Times New Roman"/>
                  <w:b w:val="0"/>
                </w:rPr>
                <w:t>https://www.qualityinfo.org/bi</w:t>
              </w:r>
            </w:hyperlink>
            <w:r w:rsidRPr="006262E3">
              <w:rPr>
                <w:rFonts w:ascii="Times New Roman" w:hAnsi="Times New Roman" w:cs="Times New Roman"/>
                <w:b w:val="0"/>
              </w:rPr>
              <w:t xml:space="preserve">  </w:t>
            </w:r>
          </w:p>
        </w:tc>
      </w:tr>
    </w:tbl>
    <w:p w14:paraId="09ECB761" w14:textId="1A3E578A" w:rsidR="00C961E7" w:rsidRDefault="00C961E7" w:rsidP="00C961E7"/>
    <w:p w14:paraId="64B1091F" w14:textId="54778E65" w:rsidR="00DB489A" w:rsidRDefault="00DB489A" w:rsidP="00C961E7"/>
    <w:p w14:paraId="099EA39E" w14:textId="3D7ABC3F" w:rsidR="00DB489A" w:rsidRDefault="00DB489A" w:rsidP="00C961E7"/>
    <w:p w14:paraId="28948B0A" w14:textId="11FAD8C8" w:rsidR="00DB489A" w:rsidRDefault="00DB489A" w:rsidP="00C961E7"/>
    <w:p w14:paraId="5F5B391C" w14:textId="7B863CCB" w:rsidR="00DB489A" w:rsidRDefault="00DB489A" w:rsidP="00C961E7"/>
    <w:p w14:paraId="67D73E2A" w14:textId="2567C919" w:rsidR="00DB489A" w:rsidRDefault="00DB489A" w:rsidP="00C961E7"/>
    <w:p w14:paraId="199A7AB6" w14:textId="0DF34A15" w:rsidR="00DB489A" w:rsidRDefault="00DB489A" w:rsidP="00C961E7"/>
    <w:p w14:paraId="496DB808"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5F45A9">
            <w:pPr>
              <w:pStyle w:val="Heading1"/>
            </w:pPr>
            <w:bookmarkStart w:id="6" w:name="_Toc490121547"/>
            <w:r w:rsidRPr="00377FA3">
              <w:t>Fee Analysis</w:t>
            </w:r>
            <w:bookmarkEnd w:id="6"/>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09ECB8CE"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9A7CAE">
      <w:pPr>
        <w:ind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9A7CAE">
      <w:pPr>
        <w:ind w:right="-432"/>
      </w:pPr>
      <w:r w:rsidRPr="008C6995">
        <w:t xml:space="preserve">EQC authority to act on the proposed fees is ORS 468B.051 (Fees for Water Quality Permit) and ORS 468B.050 (Water Quality Permit). </w:t>
      </w:r>
    </w:p>
    <w:p w14:paraId="27A2AB68" w14:textId="77777777" w:rsidR="009A7CAE" w:rsidRPr="00CF02D9" w:rsidRDefault="009A7CAE" w:rsidP="009A7CAE">
      <w:pPr>
        <w:pStyle w:val="Heading2"/>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9A7CAE">
      <w:pPr>
        <w:ind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9A7CAE">
      <w:pPr>
        <w:pStyle w:val="Default"/>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9A7CAE">
      <w:pPr>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w:t>
      </w:r>
      <w:proofErr w:type="gramStart"/>
      <w:r w:rsidRPr="006C1F13">
        <w:t>)(</w:t>
      </w:r>
      <w:proofErr w:type="gramEnd"/>
      <w:r w:rsidRPr="006C1F13">
        <w:t>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w:t>
      </w:r>
      <w:proofErr w:type="spellStart"/>
      <w:r w:rsidRPr="006C1F13">
        <w:rPr>
          <w:color w:val="000000"/>
        </w:rPr>
        <w:t>Biosolids</w:t>
      </w:r>
      <w:proofErr w:type="spellEnd"/>
      <w:r w:rsidRPr="006C1F13">
        <w:rPr>
          <w:color w:val="000000"/>
        </w:rPr>
        <w:t xml:space="preserve">)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777777"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9A7CAE">
      <w:pPr>
        <w:pStyle w:val="Heading2"/>
      </w:pPr>
      <w:r w:rsidRPr="000D71A7">
        <w:t xml:space="preserve">Reasons </w:t>
      </w:r>
    </w:p>
    <w:p w14:paraId="4D72A72A" w14:textId="77777777" w:rsidR="009A7CAE" w:rsidRDefault="009A7CAE" w:rsidP="009A7CAE">
      <w:pPr>
        <w:ind w:right="-432"/>
      </w:pPr>
    </w:p>
    <w:p w14:paraId="4283CDD9" w14:textId="77777777" w:rsidR="009A7CAE" w:rsidRDefault="009A7CAE" w:rsidP="009A7CAE">
      <w:pPr>
        <w:ind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in urban streams and downstream waters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9A7CAE">
      <w:pPr>
        <w:pStyle w:val="Heading2"/>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7777777" w:rsidR="009A7CAE" w:rsidRDefault="009A7CAE" w:rsidP="009A7CAE">
      <w:pPr>
        <w:ind w:right="-432"/>
      </w:pPr>
      <w:r>
        <w:t>The proposed fees would address the f</w:t>
      </w:r>
      <w:r w:rsidRPr="006C1F13">
        <w:t>ee</w:t>
      </w:r>
      <w:r>
        <w:t xml:space="preserve"> increase</w:t>
      </w:r>
      <w:r w:rsidRPr="006C1F13">
        <w:t xml:space="preserve"> allowed by statut</w:t>
      </w:r>
      <w:r>
        <w:t xml:space="preserve">e, of </w:t>
      </w:r>
      <w:r w:rsidRPr="006C1F13">
        <w:t>three percent provided under ORS 468B.051 (Fees for Water Quality Permit)</w:t>
      </w:r>
      <w:r>
        <w:t>.</w:t>
      </w:r>
    </w:p>
    <w:p w14:paraId="0C382109" w14:textId="77777777" w:rsidR="009A7CAE" w:rsidRPr="006C1F13" w:rsidRDefault="009A7CAE" w:rsidP="009A7CAE">
      <w:pPr>
        <w:ind w:right="-432"/>
      </w:pPr>
    </w:p>
    <w:p w14:paraId="605805EC" w14:textId="77777777" w:rsidR="009A7CAE" w:rsidRPr="006C1F13" w:rsidRDefault="009A7CAE" w:rsidP="009A7CAE">
      <w:pPr>
        <w:ind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9A7CAE">
      <w:pPr>
        <w:pStyle w:val="Heading2"/>
      </w:pPr>
      <w:r w:rsidRPr="000D71A7">
        <w:t xml:space="preserve">Fee proposal alternatives considered </w:t>
      </w:r>
    </w:p>
    <w:p w14:paraId="53BBA9FD" w14:textId="77777777" w:rsidR="009A7CAE" w:rsidRPr="006C1F13" w:rsidRDefault="009A7CAE" w:rsidP="009A7CAE">
      <w:pPr>
        <w:pStyle w:val="Default"/>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9A7CAE">
      <w:pPr>
        <w:ind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EE25C51" w14:textId="77777777" w:rsidR="009A7CAE" w:rsidRPr="006C1F13" w:rsidRDefault="009A7CAE" w:rsidP="009A7CAE">
      <w:pPr>
        <w:pStyle w:val="Heading2"/>
      </w:pPr>
      <w:r w:rsidRPr="006C1F13">
        <w:t>Fee payer</w:t>
      </w:r>
    </w:p>
    <w:p w14:paraId="2CFC746E" w14:textId="77777777" w:rsidR="009A7CAE" w:rsidRPr="00B85AB6" w:rsidRDefault="009A7CAE" w:rsidP="009A7CAE">
      <w:pPr>
        <w:autoSpaceDE w:val="0"/>
        <w:autoSpaceDN w:val="0"/>
        <w:adjustRightInd w:val="0"/>
        <w:outlineLvl w:val="9"/>
        <w:rPr>
          <w:rFonts w:eastAsiaTheme="minorHAnsi"/>
          <w:color w:val="000000"/>
          <w:lang w:val="en-ZW"/>
        </w:rPr>
      </w:pPr>
      <w:r w:rsidRPr="00B85AB6">
        <w:rPr>
          <w:rFonts w:eastAsiaTheme="minorHAnsi"/>
          <w:color w:val="000000"/>
          <w:lang w:val="en-ZW"/>
        </w:rPr>
        <w:t xml:space="preserve">The proposed fees would affect individuals, </w:t>
      </w:r>
      <w:proofErr w:type="gramStart"/>
      <w:r w:rsidRPr="00B85AB6">
        <w:rPr>
          <w:rFonts w:eastAsiaTheme="minorHAnsi"/>
          <w:color w:val="000000"/>
          <w:lang w:val="en-ZW"/>
        </w:rPr>
        <w:t>businesses</w:t>
      </w:r>
      <w:proofErr w:type="gramEnd"/>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9A7CAE">
      <w:pPr>
        <w:pStyle w:val="Heading2"/>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9A7CAE">
      <w:pPr>
        <w:ind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9A7CAE">
      <w:pPr>
        <w:pStyle w:val="Heading2"/>
      </w:pPr>
      <w:r w:rsidRPr="00C97E2B">
        <w:t>Summary of impacts</w:t>
      </w:r>
    </w:p>
    <w:p w14:paraId="721902DB" w14:textId="77777777" w:rsidR="009A7CAE" w:rsidRDefault="009A7CAE" w:rsidP="009A7CAE">
      <w:pPr>
        <w:ind w:right="-432"/>
      </w:pPr>
    </w:p>
    <w:p w14:paraId="448F7907" w14:textId="77777777" w:rsidR="009A7CAE" w:rsidRDefault="009A7CAE" w:rsidP="009A7CAE">
      <w:pPr>
        <w:ind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w:t>
      </w:r>
      <w:proofErr w:type="spellStart"/>
      <w:r w:rsidRPr="00150E4D">
        <w:t>stormwater</w:t>
      </w:r>
      <w:proofErr w:type="spellEnd"/>
      <w:r w:rsidRPr="00150E4D">
        <w:t xml:space="preserve">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9A7CAE">
      <w:pPr>
        <w:pStyle w:val="Heading2"/>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9A7CAE">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9A7CAE">
      <w:pPr>
        <w:pStyle w:val="Heading2"/>
      </w:pPr>
      <w:r w:rsidRPr="00C97E2B">
        <w:t>How long will the proposed fee sustain the program?</w:t>
      </w:r>
    </w:p>
    <w:p w14:paraId="101DB2C9" w14:textId="77777777" w:rsidR="009A7CAE" w:rsidRDefault="009A7CAE" w:rsidP="009A7CAE">
      <w:pPr>
        <w:rPr>
          <w:rFonts w:eastAsiaTheme="minorHAnsi"/>
          <w:lang w:val="en-ZW"/>
        </w:rPr>
      </w:pPr>
    </w:p>
    <w:p w14:paraId="5E607587" w14:textId="77777777" w:rsidR="009A7CAE" w:rsidRPr="00A8681B" w:rsidRDefault="009A7CAE" w:rsidP="009A7CAE">
      <w:pPr>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358991D6" w14:textId="77777777" w:rsidR="009A7CAE" w:rsidRPr="00D42752" w:rsidRDefault="009A7CAE" w:rsidP="009A7CAE">
      <w:pPr>
        <w:ind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6"/>
        <w:gridCol w:w="1996"/>
        <w:gridCol w:w="1246"/>
        <w:gridCol w:w="1996"/>
        <w:gridCol w:w="1323"/>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A86D3B">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A86D3B">
            <w:pPr>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A86D3B">
            <w:pPr>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A86D3B">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29E956A" w14:textId="77777777" w:rsidR="009A7CAE" w:rsidRPr="00E6441C" w:rsidRDefault="009A7CAE" w:rsidP="00A86D3B">
            <w:pPr>
              <w:contextualSpacing/>
            </w:pPr>
            <w:r w:rsidRPr="00E6441C">
              <w:t>Program costs covered 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A86D3B">
            <w:pPr>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A86D3B">
            <w:pPr>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A86D3B">
            <w:pPr>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A86D3B">
            <w:pPr>
              <w:contextualSpacing/>
              <w:jc w:val="center"/>
            </w:pPr>
            <w:r w:rsidRPr="00E6441C">
              <w:t>59%</w:t>
            </w:r>
          </w:p>
        </w:tc>
      </w:tr>
      <w:tr w:rsidR="009A7CAE" w:rsidRPr="00D268B0" w14:paraId="2814EAD9" w14:textId="77777777" w:rsidTr="00A86D3B">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C93C183" w14:textId="77777777" w:rsidR="009A7CAE" w:rsidRPr="00E6441C" w:rsidRDefault="009A7CAE" w:rsidP="00A86D3B">
            <w:pPr>
              <w:contextualSpacing/>
            </w:pPr>
            <w:r w:rsidRPr="00E6441C">
              <w:t>Program costs covered by General Fund and 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A86D3B">
            <w:pPr>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A86D3B">
            <w:pPr>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A86D3B">
            <w:pPr>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A86D3B">
            <w:pPr>
              <w:contextualSpacing/>
              <w:jc w:val="center"/>
            </w:pPr>
            <w:r w:rsidRPr="00E6441C">
              <w:t>34%</w:t>
            </w:r>
          </w:p>
        </w:tc>
      </w:tr>
      <w:tr w:rsidR="009A7CAE" w:rsidRPr="00D268B0" w14:paraId="00C37F7F" w14:textId="77777777" w:rsidTr="00A86D3B">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A86D3B">
            <w:pPr>
              <w:contextualSpacing/>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A86D3B">
            <w:pPr>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A86D3B">
            <w:pPr>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A86D3B">
            <w:pPr>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A86D3B">
            <w:pPr>
              <w:contextualSpacing/>
              <w:jc w:val="center"/>
            </w:pPr>
            <w:r w:rsidRPr="00E6441C">
              <w:t>7%</w:t>
            </w:r>
          </w:p>
        </w:tc>
      </w:tr>
    </w:tbl>
    <w:p w14:paraId="66FEDED6" w14:textId="77777777" w:rsidR="009A7CAE" w:rsidRPr="00D42752" w:rsidRDefault="009A7CAE" w:rsidP="009A7CAE">
      <w:pPr>
        <w:ind w:right="-432"/>
      </w:pPr>
    </w:p>
    <w:p w14:paraId="5AB79E52" w14:textId="77777777" w:rsidR="009A7CAE" w:rsidRDefault="009A7CAE" w:rsidP="009A7CAE">
      <w:pPr>
        <w:ind w:right="-432"/>
        <w:rPr>
          <w:color w:val="C45911" w:themeColor="accent2" w:themeShade="BF"/>
        </w:rPr>
      </w:pPr>
    </w:p>
    <w:p w14:paraId="51418847" w14:textId="77777777" w:rsidR="009A7CAE" w:rsidRDefault="009A7CAE" w:rsidP="009A7CAE">
      <w:pPr>
        <w:ind w:right="-432"/>
        <w:rPr>
          <w:color w:val="C45911" w:themeColor="accent2" w:themeShade="BF"/>
        </w:rPr>
      </w:pPr>
    </w:p>
    <w:p w14:paraId="5A15F97D" w14:textId="77777777" w:rsidR="009A7CAE" w:rsidRDefault="009A7CAE" w:rsidP="009A7CAE">
      <w:pPr>
        <w:ind w:right="-432"/>
        <w:rPr>
          <w:color w:val="C45911" w:themeColor="accent2" w:themeShade="BF"/>
        </w:rPr>
      </w:pPr>
    </w:p>
    <w:p w14:paraId="18110741" w14:textId="77777777" w:rsidR="009A7CAE" w:rsidRDefault="009A7CAE" w:rsidP="009A7CAE">
      <w:pPr>
        <w:ind w:right="-432"/>
        <w:rPr>
          <w:color w:val="C45911" w:themeColor="accent2" w:themeShade="BF"/>
        </w:rPr>
      </w:pPr>
    </w:p>
    <w:p w14:paraId="60501018" w14:textId="77777777" w:rsidR="009A7CAE" w:rsidRDefault="009A7CAE" w:rsidP="009A7CAE">
      <w:pPr>
        <w:ind w:right="-432"/>
        <w:rPr>
          <w:color w:val="C45911" w:themeColor="accent2" w:themeShade="BF"/>
        </w:rPr>
      </w:pPr>
    </w:p>
    <w:p w14:paraId="7A864D7E" w14:textId="77777777" w:rsidR="009A7CAE" w:rsidRDefault="009A7CAE" w:rsidP="009A7CAE">
      <w:pPr>
        <w:ind w:right="-432"/>
        <w:rPr>
          <w:color w:val="C45911" w:themeColor="accent2" w:themeShade="BF"/>
        </w:rPr>
      </w:pPr>
    </w:p>
    <w:p w14:paraId="0D57E6BE" w14:textId="77777777" w:rsidR="009A7CAE" w:rsidRDefault="009A7CAE" w:rsidP="009A7CAE">
      <w:pPr>
        <w:ind w:right="-432"/>
        <w:rPr>
          <w:color w:val="C45911" w:themeColor="accent2" w:themeShade="BF"/>
        </w:rPr>
      </w:pPr>
    </w:p>
    <w:p w14:paraId="003BC631" w14:textId="77777777" w:rsidR="009A7CAE" w:rsidRDefault="009A7CAE" w:rsidP="009A7CAE">
      <w:pPr>
        <w:ind w:right="-432"/>
        <w:rPr>
          <w:color w:val="C45911" w:themeColor="accent2" w:themeShade="BF"/>
        </w:rPr>
      </w:pPr>
    </w:p>
    <w:tbl>
      <w:tblPr>
        <w:tblStyle w:val="TableGrid"/>
        <w:tblW w:w="766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046"/>
        <w:gridCol w:w="2615"/>
      </w:tblGrid>
      <w:tr w:rsidR="009A7CAE" w:rsidRPr="00906169" w14:paraId="754B7E0E" w14:textId="77777777" w:rsidTr="00A86D3B">
        <w:trPr>
          <w:trHeight w:val="677"/>
          <w:jc w:val="center"/>
        </w:trPr>
        <w:tc>
          <w:tcPr>
            <w:tcW w:w="7661"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A86D3B">
        <w:trPr>
          <w:trHeight w:val="431"/>
          <w:jc w:val="center"/>
        </w:trPr>
        <w:tc>
          <w:tcPr>
            <w:tcW w:w="5046"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4"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A86D3B">
        <w:trPr>
          <w:trHeight w:val="459"/>
          <w:jc w:val="center"/>
        </w:trPr>
        <w:tc>
          <w:tcPr>
            <w:tcW w:w="5046" w:type="dxa"/>
            <w:vAlign w:val="center"/>
          </w:tcPr>
          <w:p w14:paraId="6AF7A1C7" w14:textId="77777777" w:rsidR="009A7CAE" w:rsidRPr="00E6441C" w:rsidRDefault="009A7CAE" w:rsidP="00A86D3B">
            <w:pPr>
              <w:contextualSpacing/>
            </w:pPr>
            <w:r w:rsidRPr="00E6441C">
              <w:t>2017-19 Legislatively Adopted Budget</w:t>
            </w:r>
          </w:p>
        </w:tc>
        <w:tc>
          <w:tcPr>
            <w:tcW w:w="2614" w:type="dxa"/>
            <w:vAlign w:val="center"/>
          </w:tcPr>
          <w:p w14:paraId="390635FC" w14:textId="77777777" w:rsidR="009A7CAE" w:rsidRPr="00E6441C" w:rsidRDefault="009A7CAE" w:rsidP="00A86D3B">
            <w:pPr>
              <w:contextualSpacing/>
              <w:jc w:val="center"/>
              <w:rPr>
                <w:lang w:val="en-ZW"/>
              </w:rPr>
            </w:pPr>
            <w:r w:rsidRPr="00E6441C">
              <w:rPr>
                <w:lang w:val="en-ZW"/>
              </w:rPr>
              <w:t>$301,956</w:t>
            </w:r>
          </w:p>
        </w:tc>
      </w:tr>
      <w:tr w:rsidR="009A7CAE" w:rsidRPr="00D268B0" w14:paraId="43DB518B" w14:textId="77777777" w:rsidTr="00A86D3B">
        <w:trPr>
          <w:trHeight w:val="471"/>
          <w:jc w:val="center"/>
        </w:trPr>
        <w:tc>
          <w:tcPr>
            <w:tcW w:w="5046" w:type="dxa"/>
            <w:vAlign w:val="center"/>
          </w:tcPr>
          <w:p w14:paraId="6297329F" w14:textId="77777777" w:rsidR="009A7CAE" w:rsidRPr="00E6441C" w:rsidRDefault="009A7CAE" w:rsidP="00A86D3B">
            <w:pPr>
              <w:contextualSpacing/>
            </w:pPr>
            <w:r w:rsidRPr="00E6441C">
              <w:t>2019-21 Agency Request Budget (</w:t>
            </w:r>
            <w:r>
              <w:t>M</w:t>
            </w:r>
            <w:r w:rsidRPr="00E6441C">
              <w:t>odified current service level)</w:t>
            </w:r>
          </w:p>
        </w:tc>
        <w:tc>
          <w:tcPr>
            <w:tcW w:w="2614" w:type="dxa"/>
            <w:vAlign w:val="center"/>
          </w:tcPr>
          <w:p w14:paraId="5D7DF2E0" w14:textId="77777777" w:rsidR="009A7CAE" w:rsidRPr="00E6441C" w:rsidRDefault="009A7CAE" w:rsidP="00A86D3B">
            <w:pPr>
              <w:contextualSpacing/>
              <w:jc w:val="center"/>
              <w:rPr>
                <w:lang w:val="en-ZW"/>
              </w:rPr>
            </w:pPr>
            <w:r w:rsidRPr="00E6441C">
              <w:rPr>
                <w:lang w:val="en-ZW"/>
              </w:rPr>
              <w:t>$333,205</w:t>
            </w:r>
          </w:p>
        </w:tc>
      </w:tr>
      <w:tr w:rsidR="009A7CAE" w:rsidRPr="00D268B0" w14:paraId="32C283BD" w14:textId="77777777" w:rsidTr="00A86D3B">
        <w:trPr>
          <w:trHeight w:val="471"/>
          <w:jc w:val="center"/>
        </w:trPr>
        <w:tc>
          <w:tcPr>
            <w:tcW w:w="5046" w:type="dxa"/>
            <w:vAlign w:val="center"/>
          </w:tcPr>
          <w:p w14:paraId="4FD416FD" w14:textId="77777777" w:rsidR="009A7CAE" w:rsidRPr="00E6441C" w:rsidRDefault="009A7CAE" w:rsidP="00A86D3B">
            <w:pPr>
              <w:contextualSpacing/>
            </w:pPr>
            <w:r w:rsidRPr="00E6441C">
              <w:t>Percent increase over a two-year period</w:t>
            </w:r>
          </w:p>
        </w:tc>
        <w:tc>
          <w:tcPr>
            <w:tcW w:w="2614" w:type="dxa"/>
            <w:vAlign w:val="center"/>
          </w:tcPr>
          <w:p w14:paraId="1682CB6B" w14:textId="77777777" w:rsidR="009A7CAE" w:rsidRPr="00E6441C" w:rsidRDefault="009A7CAE" w:rsidP="00A86D3B">
            <w:pPr>
              <w:contextualSpacing/>
              <w:jc w:val="center"/>
            </w:pPr>
            <w:r w:rsidRPr="00E6441C">
              <w:t>10.35%</w:t>
            </w:r>
          </w:p>
        </w:tc>
      </w:tr>
    </w:tbl>
    <w:p w14:paraId="6B44C884" w14:textId="77777777" w:rsidR="009A7CAE" w:rsidRDefault="009A7CAE" w:rsidP="009A7CAE">
      <w:pPr>
        <w:rPr>
          <w:rStyle w:val="Heading1Char"/>
        </w:rPr>
      </w:pPr>
    </w:p>
    <w:p w14:paraId="09ECB768" w14:textId="6AC8E83A" w:rsidR="00C961E7" w:rsidRDefault="00C961E7" w:rsidP="00C961E7"/>
    <w:p w14:paraId="3881F8D3" w14:textId="563B1F56" w:rsidR="00DB489A" w:rsidRDefault="00DB489A" w:rsidP="00C961E7"/>
    <w:p w14:paraId="352DF704" w14:textId="068D2439" w:rsidR="00DB489A" w:rsidRDefault="00DB489A" w:rsidP="00C961E7"/>
    <w:p w14:paraId="6FB361FD" w14:textId="43FD41DE" w:rsidR="00DB489A" w:rsidRDefault="00DB489A" w:rsidP="00C961E7"/>
    <w:p w14:paraId="65D4CCDE" w14:textId="08EF2202" w:rsidR="00DB489A" w:rsidRDefault="00DB489A" w:rsidP="00C961E7"/>
    <w:p w14:paraId="58F85A0D" w14:textId="037601D2" w:rsidR="00DB489A" w:rsidRDefault="00DB489A" w:rsidP="00C961E7"/>
    <w:p w14:paraId="613083AB" w14:textId="1733753C" w:rsidR="00DB489A" w:rsidRDefault="00DB489A" w:rsidP="00C961E7"/>
    <w:p w14:paraId="2C252E3A" w14:textId="55B3EEBB" w:rsidR="00DB489A" w:rsidRDefault="00DB489A" w:rsidP="00C961E7"/>
    <w:p w14:paraId="72DA5D30" w14:textId="6C7C94E8" w:rsidR="00DB489A" w:rsidRDefault="00DB489A" w:rsidP="00C961E7"/>
    <w:p w14:paraId="02696D83" w14:textId="1C133319" w:rsidR="00DB489A" w:rsidRDefault="00DB489A" w:rsidP="00C961E7"/>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5F45A9">
            <w:pPr>
              <w:pStyle w:val="Heading1"/>
              <w:rPr>
                <w:b w:val="0"/>
              </w:rPr>
            </w:pPr>
            <w:bookmarkStart w:id="7" w:name="_Toc490121548"/>
            <w:r w:rsidRPr="009A7CAE">
              <w:rPr>
                <w:rStyle w:val="Heading1Char"/>
                <w:b/>
                <w:bCs/>
              </w:rPr>
              <w:lastRenderedPageBreak/>
              <w:t>Statement of fiscal and economic impact</w:t>
            </w:r>
            <w:bookmarkEnd w:id="7"/>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09ECB8D0"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D" w14:textId="77777777" w:rsidR="00C961E7" w:rsidRPr="00377FA3" w:rsidRDefault="00C961E7" w:rsidP="00C961E7"/>
    <w:p w14:paraId="146FFDFF" w14:textId="77777777" w:rsidR="009A7CAE" w:rsidRPr="006807BF" w:rsidRDefault="009A7CAE" w:rsidP="009A7CAE">
      <w:pPr>
        <w:pStyle w:val="Heading2"/>
        <w:ind w:right="-432"/>
      </w:pPr>
      <w:r w:rsidRPr="006807BF">
        <w:t xml:space="preserve">Fiscal and </w:t>
      </w:r>
      <w:r>
        <w:t>e</w:t>
      </w:r>
      <w:r w:rsidRPr="006807BF">
        <w:t xml:space="preserve">conomic </w:t>
      </w:r>
      <w:r>
        <w:t>i</w:t>
      </w:r>
      <w:r w:rsidRPr="006807BF">
        <w:t>mpact</w:t>
      </w:r>
    </w:p>
    <w:p w14:paraId="276FD42A" w14:textId="77777777" w:rsidR="009A7CAE" w:rsidRPr="00E6441C" w:rsidRDefault="009A7CAE" w:rsidP="009A7CAE">
      <w:pPr>
        <w:pStyle w:val="Heading2"/>
        <w:ind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9A7CAE">
      <w:pPr>
        <w:pStyle w:val="Heading2"/>
      </w:pPr>
      <w:r w:rsidRPr="00E6441C">
        <w:t xml:space="preserve">Statement of </w:t>
      </w:r>
      <w:r>
        <w:t>c</w:t>
      </w:r>
      <w:r w:rsidRPr="00E6441C">
        <w:t xml:space="preserve">ost of </w:t>
      </w:r>
      <w:r>
        <w:t>c</w:t>
      </w:r>
      <w:r w:rsidRPr="00E6441C">
        <w:t>ompliance</w:t>
      </w:r>
      <w:r w:rsidRPr="00E6441C">
        <w:tab/>
        <w:t xml:space="preserve">  </w:t>
      </w:r>
    </w:p>
    <w:p w14:paraId="76FA821C" w14:textId="77777777" w:rsidR="009A7CAE" w:rsidRPr="00B85AB6" w:rsidRDefault="009A7CAE" w:rsidP="009A7CAE">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9A7CAE">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 w:val="22"/>
          <w:szCs w:val="22"/>
        </w:rPr>
      </w:pPr>
    </w:p>
    <w:p w14:paraId="43068C05" w14:textId="77777777" w:rsidR="009A7CAE" w:rsidRPr="00B85AB6" w:rsidRDefault="009A7CAE" w:rsidP="009A7CAE">
      <w:pPr>
        <w:ind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7FBD76F0" w14:textId="77777777" w:rsidR="009A7CAE" w:rsidRPr="00E531EB" w:rsidRDefault="009A7CAE" w:rsidP="009A7CAE">
      <w:pPr>
        <w:pStyle w:val="ListParagraph"/>
        <w:numPr>
          <w:ilvl w:val="0"/>
          <w:numId w:val="33"/>
        </w:numPr>
        <w:ind w:right="0"/>
        <w:rPr>
          <w:color w:val="000000"/>
        </w:rPr>
      </w:pPr>
    </w:p>
    <w:p w14:paraId="2288C103" w14:textId="77777777" w:rsidR="009A7CAE" w:rsidRDefault="009A7CAE" w:rsidP="009A7CAE">
      <w:pPr>
        <w:pStyle w:val="Heading3"/>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 w:val="22"/>
          <w:szCs w:val="22"/>
        </w:rPr>
      </w:pPr>
    </w:p>
    <w:p w14:paraId="682CB970" w14:textId="77777777" w:rsidR="009A7CAE" w:rsidRPr="00B85AB6" w:rsidRDefault="009A7CAE" w:rsidP="009A7CAE">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77777777" w:rsidR="009A7CAE" w:rsidRPr="00B85AB6" w:rsidRDefault="009A7CAE" w:rsidP="009A7CAE">
      <w:r w:rsidRPr="00B85AB6">
        <w:t xml:space="preserve">Examples of local government entities include: water districts, irrigation districts, cities, towns, ports, sanitary districts, library districts, </w:t>
      </w:r>
      <w:proofErr w:type="gramStart"/>
      <w:r w:rsidRPr="00B85AB6">
        <w:t>counties</w:t>
      </w:r>
      <w:proofErr w:type="gramEnd"/>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9A7CAE">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proofErr w:type="spellStart"/>
      <w:r>
        <w:rPr>
          <w:rFonts w:eastAsiaTheme="minorHAnsi"/>
          <w:lang w:val="en-ZW"/>
        </w:rPr>
        <w:t>ly</w:t>
      </w:r>
      <w:proofErr w:type="spellEnd"/>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 w:val="22"/>
          <w:szCs w:val="22"/>
        </w:rPr>
      </w:pPr>
    </w:p>
    <w:p w14:paraId="3C786F04" w14:textId="77777777" w:rsidR="009A7CAE" w:rsidRPr="00B85AB6" w:rsidRDefault="009A7CAE" w:rsidP="009A7CAE">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In this case, for example,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 w:val="22"/>
          <w:szCs w:val="22"/>
        </w:rPr>
      </w:pPr>
    </w:p>
    <w:p w14:paraId="49C986B7" w14:textId="77777777" w:rsidR="009A7CAE" w:rsidRPr="00B85AB6" w:rsidRDefault="009A7CAE" w:rsidP="009A7CAE">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9A7CAE">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 w:val="22"/>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 xml:space="preserve">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w:t>
      </w:r>
      <w:proofErr w:type="spellStart"/>
      <w:r w:rsidRPr="006262E3">
        <w:rPr>
          <w:rFonts w:eastAsiaTheme="minorHAnsi"/>
          <w:lang w:val="en-ZW"/>
        </w:rPr>
        <w:t>cleanup</w:t>
      </w:r>
      <w:proofErr w:type="spellEnd"/>
      <w:r w:rsidRPr="006262E3">
        <w:rPr>
          <w:rFonts w:eastAsiaTheme="minorHAnsi"/>
          <w:lang w:val="en-ZW"/>
        </w:rPr>
        <w:t xml:space="preserve"> operations and vehicle and equipment wash water operations.</w:t>
      </w:r>
    </w:p>
    <w:p w14:paraId="5CAF0D5E" w14:textId="77777777" w:rsidR="009A7CAE" w:rsidRPr="00A7372C" w:rsidRDefault="009A7CAE" w:rsidP="009A7CAE">
      <w:pPr>
        <w:rPr>
          <w:sz w:val="22"/>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 w:val="22"/>
          <w:szCs w:val="22"/>
        </w:rPr>
      </w:pPr>
    </w:p>
    <w:p w14:paraId="74F830A0" w14:textId="77777777" w:rsidR="009A7CAE" w:rsidRPr="006262E3" w:rsidRDefault="009A7CAE" w:rsidP="009A7CAE">
      <w:pPr>
        <w:pStyle w:val="ListParagraph"/>
        <w:rPr>
          <w:color w:val="000000"/>
        </w:rPr>
      </w:pPr>
      <w:r w:rsidRPr="006262E3">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 xml:space="preserve">c. Projected equipment, supplies, </w:t>
      </w:r>
      <w:proofErr w:type="gramStart"/>
      <w:r w:rsidRPr="00B0705B">
        <w:t>labor</w:t>
      </w:r>
      <w:proofErr w:type="gramEnd"/>
      <w:r w:rsidRPr="00B0705B">
        <w:t xml:space="preserve"> and increased administration required for small businesses to comply with the proposed rule.</w:t>
      </w:r>
    </w:p>
    <w:p w14:paraId="00246C12" w14:textId="77777777" w:rsidR="009A7CAE" w:rsidRPr="00A7372C" w:rsidRDefault="009A7CAE" w:rsidP="009A7CAE">
      <w:pPr>
        <w:rPr>
          <w:b/>
          <w:sz w:val="22"/>
          <w:szCs w:val="22"/>
        </w:rPr>
      </w:pPr>
    </w:p>
    <w:p w14:paraId="10529043" w14:textId="77777777" w:rsidR="009A7CAE" w:rsidRPr="006262E3" w:rsidRDefault="009A7CAE" w:rsidP="009A7CAE">
      <w:pPr>
        <w:pStyle w:val="ListParagraph"/>
        <w:rPr>
          <w:color w:val="000000"/>
        </w:rPr>
      </w:pPr>
      <w:r w:rsidRPr="006262E3">
        <w:rPr>
          <w:color w:val="000000"/>
        </w:rPr>
        <w:t>No additional resources are required to comply with the proposed rules.</w:t>
      </w:r>
    </w:p>
    <w:p w14:paraId="4A7503C7" w14:textId="77777777" w:rsidR="009A7CAE" w:rsidRPr="00A7372C" w:rsidRDefault="009A7CAE" w:rsidP="009A7CAE">
      <w:pPr>
        <w:rPr>
          <w:bCs/>
          <w:iCs/>
          <w:sz w:val="22"/>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 w:val="22"/>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77777777" w:rsidR="009A7CAE" w:rsidRPr="00424624" w:rsidRDefault="009A7CAE" w:rsidP="009A7CAE">
      <w:pPr>
        <w:pStyle w:val="ListParagraph"/>
        <w:numPr>
          <w:ilvl w:val="0"/>
          <w:numId w:val="33"/>
        </w:numPr>
        <w:ind w:right="0"/>
      </w:pPr>
      <w:r w:rsidRPr="00424624">
        <w:rPr>
          <w:color w:val="000000"/>
        </w:rPr>
        <w:t>During the public comment period, DEQ will request input on whether to consider other options for achieving the rules’ substantive goals, while reducing the rules’ negative economic impact on small businesses.</w:t>
      </w:r>
    </w:p>
    <w:p w14:paraId="1574701D" w14:textId="77777777" w:rsidR="009A7CAE" w:rsidRDefault="009A7CAE" w:rsidP="009A7CAE">
      <w:pPr>
        <w:pStyle w:val="Heading2"/>
      </w:pPr>
      <w:r>
        <w:rPr>
          <w:rFonts w:ascii="Times New Roman" w:hAnsi="Times New Roman" w:cs="Times New Roman"/>
          <w:b w:val="0"/>
          <w:bCs w:val="0"/>
          <w:sz w:val="24"/>
          <w:szCs w:val="24"/>
        </w:rPr>
        <w:br/>
      </w:r>
      <w:r>
        <w:b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69E1BA09" w14:textId="77777777" w:rsidR="009A7CAE" w:rsidRDefault="009A7CAE" w:rsidP="009A7CAE"/>
    <w:p w14:paraId="09ECB76E" w14:textId="0F4CE460" w:rsidR="00C961E7" w:rsidRDefault="00C961E7" w:rsidP="00C961E7"/>
    <w:p w14:paraId="13E1FEF6" w14:textId="5BD43F77" w:rsidR="009A7CAE" w:rsidRDefault="009A7CAE" w:rsidP="00C961E7"/>
    <w:p w14:paraId="78939F7B" w14:textId="28071326" w:rsidR="009A7CAE" w:rsidRDefault="009A7CAE" w:rsidP="00C961E7"/>
    <w:p w14:paraId="327657E5" w14:textId="5C145888" w:rsidR="009A7CAE" w:rsidRDefault="009A7CAE" w:rsidP="00C961E7"/>
    <w:p w14:paraId="1395362C" w14:textId="5A473D3D" w:rsidR="009A7CAE" w:rsidRDefault="009A7CAE" w:rsidP="00C961E7"/>
    <w:p w14:paraId="7A053E73" w14:textId="35B8AC3D" w:rsidR="009A7CAE" w:rsidRDefault="009A7CAE" w:rsidP="00C961E7"/>
    <w:p w14:paraId="08B46459" w14:textId="3E0E3D97" w:rsidR="009A7CAE" w:rsidRDefault="009A7CAE" w:rsidP="00C961E7"/>
    <w:p w14:paraId="435DAC89" w14:textId="24A9D790" w:rsidR="009A7CAE" w:rsidRDefault="009A7CAE" w:rsidP="00C961E7"/>
    <w:p w14:paraId="22BF84E2" w14:textId="77777777" w:rsidR="009A7CAE" w:rsidRPr="00377FA3" w:rsidRDefault="009A7CAE" w:rsidP="00C961E7">
      <w:pPr>
        <w:sectPr w:rsidR="009A7CAE" w:rsidRPr="00377FA3" w:rsidSect="005F45A9">
          <w:pgSz w:w="12240" w:h="15840"/>
          <w:pgMar w:top="1440" w:right="1440" w:bottom="1440" w:left="1440" w:header="720" w:footer="720" w:gutter="432"/>
          <w:cols w:space="720"/>
          <w:docGrid w:linePitch="360"/>
        </w:sectPr>
      </w:pPr>
    </w:p>
    <w:p w14:paraId="09ECB7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5F45A9">
            <w:pPr>
              <w:pStyle w:val="Heading1"/>
            </w:pPr>
            <w:bookmarkStart w:id="8" w:name="_Toc490121549"/>
            <w:r w:rsidRPr="00377FA3">
              <w:t>Federal relationship</w:t>
            </w:r>
            <w:bookmarkEnd w:id="8"/>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09ECB8D2"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B70CDE">
      <w:pPr>
        <w:pStyle w:val="Heading2"/>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B70CDE">
      <w:pPr>
        <w:pStyle w:val="Default"/>
        <w:rPr>
          <w:rFonts w:ascii="Times New Roman" w:hAnsi="Times New Roman" w:cs="Times New Roman"/>
          <w:b w:val="0"/>
        </w:rPr>
      </w:pPr>
      <w:r w:rsidRPr="00B0705B">
        <w:rPr>
          <w:rFonts w:ascii="Times New Roman" w:hAnsi="Times New Roman" w:cs="Times New Roman"/>
          <w:b w:val="0"/>
        </w:rPr>
        <w:t xml:space="preserve">ORS 183.332, </w:t>
      </w:r>
      <w:proofErr w:type="gramStart"/>
      <w:r w:rsidRPr="00B0705B">
        <w:rPr>
          <w:rFonts w:ascii="Times New Roman" w:hAnsi="Times New Roman" w:cs="Times New Roman"/>
          <w:b w:val="0"/>
        </w:rPr>
        <w:t>468A.327</w:t>
      </w:r>
      <w:proofErr w:type="gramEnd"/>
      <w:r w:rsidRPr="00B0705B">
        <w:rPr>
          <w:rFonts w:ascii="Times New Roman" w:hAnsi="Times New Roman" w:cs="Times New Roman"/>
          <w:b w:val="0"/>
        </w:rPr>
        <w:t xml:space="preserve">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B70CDE">
      <w:pPr>
        <w:ind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5F45A9">
            <w:pPr>
              <w:pStyle w:val="Heading1"/>
            </w:pPr>
            <w:bookmarkStart w:id="9" w:name="_Toc490121550"/>
            <w:r w:rsidRPr="00377FA3">
              <w:t>Land Use</w:t>
            </w:r>
            <w:bookmarkEnd w:id="9"/>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09ECB8D4" w14:textId="77777777" w:rsidR="00A86D3B" w:rsidRPr="001A4DE1" w:rsidRDefault="00A86D3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A86D3B" w:rsidRDefault="00A86D3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B70CDE">
      <w:pPr>
        <w:pStyle w:val="Heading2"/>
      </w:pPr>
      <w:r w:rsidRPr="00476D38">
        <w:t>Land-use considerations</w:t>
      </w:r>
    </w:p>
    <w:p w14:paraId="38CA6E52" w14:textId="77777777" w:rsidR="00B70CDE" w:rsidRDefault="00B70CDE" w:rsidP="00B70CDE">
      <w:pPr>
        <w:ind w:right="-432"/>
      </w:pPr>
    </w:p>
    <w:p w14:paraId="48F71009" w14:textId="77777777" w:rsidR="00B70CDE" w:rsidRDefault="00B70CDE" w:rsidP="00B70CDE">
      <w:pPr>
        <w:ind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B70CDE">
      <w:pPr>
        <w:ind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B70CDE">
      <w:pPr>
        <w:ind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7525"/>
      </w:tblGrid>
      <w:tr w:rsidR="00B70CDE" w:rsidRPr="007D2E19" w14:paraId="7D95C9D7" w14:textId="77777777" w:rsidTr="005357AA">
        <w:tc>
          <w:tcPr>
            <w:tcW w:w="1255" w:type="dxa"/>
          </w:tcPr>
          <w:p w14:paraId="00489962" w14:textId="77777777" w:rsidR="00B70CDE" w:rsidRPr="007D2E19" w:rsidRDefault="00B70CDE" w:rsidP="005357AA">
            <w:pPr>
              <w:pStyle w:val="ListParagraph"/>
              <w:ind w:right="-432"/>
              <w:jc w:val="center"/>
            </w:pPr>
            <w:r w:rsidRPr="007D2E19">
              <w:t>Goal</w:t>
            </w:r>
          </w:p>
        </w:tc>
        <w:tc>
          <w:tcPr>
            <w:tcW w:w="7663" w:type="dxa"/>
          </w:tcPr>
          <w:p w14:paraId="7C30F78D" w14:textId="77777777" w:rsidR="00B70CDE" w:rsidRPr="007D2E19" w:rsidRDefault="00B70CDE" w:rsidP="005357AA">
            <w:pPr>
              <w:pStyle w:val="ListParagraph"/>
              <w:ind w:right="-432"/>
            </w:pPr>
            <w:r w:rsidRPr="007D2E19">
              <w:t>Title</w:t>
            </w:r>
          </w:p>
        </w:tc>
      </w:tr>
      <w:tr w:rsidR="00B70CDE" w:rsidRPr="007D2E19" w14:paraId="1951B44A" w14:textId="77777777" w:rsidTr="005357AA">
        <w:tc>
          <w:tcPr>
            <w:tcW w:w="1255" w:type="dxa"/>
          </w:tcPr>
          <w:p w14:paraId="766D41CD" w14:textId="77777777" w:rsidR="00B70CDE" w:rsidRPr="007D2E19" w:rsidRDefault="00B70CDE" w:rsidP="005357AA">
            <w:pPr>
              <w:pStyle w:val="ListParagraph"/>
              <w:ind w:right="-432"/>
              <w:jc w:val="center"/>
            </w:pPr>
            <w:r w:rsidRPr="007D2E19">
              <w:t>5</w:t>
            </w:r>
          </w:p>
        </w:tc>
        <w:tc>
          <w:tcPr>
            <w:tcW w:w="7663" w:type="dxa"/>
          </w:tcPr>
          <w:p w14:paraId="588249AF" w14:textId="77777777" w:rsidR="00B70CDE" w:rsidRPr="007D2E19" w:rsidRDefault="00B70CDE" w:rsidP="005357AA">
            <w:pPr>
              <w:pStyle w:val="ListParagraph"/>
              <w:ind w:right="-432"/>
            </w:pPr>
            <w:r w:rsidRPr="007D2E19">
              <w:t>Open Spaces, Scenic and Historic Areas, and Natural Resources</w:t>
            </w:r>
          </w:p>
        </w:tc>
      </w:tr>
      <w:tr w:rsidR="00B70CDE" w:rsidRPr="007D2E19" w14:paraId="761A912C" w14:textId="77777777" w:rsidTr="005357AA">
        <w:tc>
          <w:tcPr>
            <w:tcW w:w="1255" w:type="dxa"/>
          </w:tcPr>
          <w:p w14:paraId="6E7E3C11" w14:textId="77777777" w:rsidR="00B70CDE" w:rsidRPr="007D2E19" w:rsidRDefault="00B70CDE" w:rsidP="005357AA">
            <w:pPr>
              <w:pStyle w:val="ListParagraph"/>
              <w:ind w:right="-432"/>
              <w:jc w:val="center"/>
            </w:pPr>
            <w:r w:rsidRPr="007D2E19">
              <w:t>6</w:t>
            </w:r>
          </w:p>
        </w:tc>
        <w:tc>
          <w:tcPr>
            <w:tcW w:w="7663" w:type="dxa"/>
          </w:tcPr>
          <w:p w14:paraId="7BD3596C" w14:textId="77777777" w:rsidR="00B70CDE" w:rsidRPr="007D2E19" w:rsidRDefault="00B70CDE" w:rsidP="005357AA">
            <w:pPr>
              <w:tabs>
                <w:tab w:val="right" w:pos="1440"/>
                <w:tab w:val="left" w:pos="1980"/>
              </w:tabs>
              <w:ind w:right="-432"/>
            </w:pPr>
            <w:r w:rsidRPr="007D2E19">
              <w:t>Air, Water and Land Resources Quality</w:t>
            </w:r>
          </w:p>
        </w:tc>
      </w:tr>
      <w:tr w:rsidR="00B70CDE" w:rsidRPr="007D2E19" w14:paraId="636FDE18" w14:textId="77777777" w:rsidTr="005357AA">
        <w:tc>
          <w:tcPr>
            <w:tcW w:w="1255" w:type="dxa"/>
          </w:tcPr>
          <w:p w14:paraId="74403872" w14:textId="77777777" w:rsidR="00B70CDE" w:rsidRPr="007D2E19" w:rsidRDefault="00B70CDE" w:rsidP="005357AA">
            <w:pPr>
              <w:pStyle w:val="ListParagraph"/>
              <w:ind w:right="-432"/>
              <w:jc w:val="center"/>
            </w:pPr>
            <w:r w:rsidRPr="007D2E19">
              <w:t>9</w:t>
            </w:r>
          </w:p>
        </w:tc>
        <w:tc>
          <w:tcPr>
            <w:tcW w:w="7663" w:type="dxa"/>
          </w:tcPr>
          <w:p w14:paraId="5EC26A2B" w14:textId="77777777" w:rsidR="00B70CDE" w:rsidRPr="007D2E19" w:rsidRDefault="00B70CDE" w:rsidP="005357AA">
            <w:pPr>
              <w:pStyle w:val="ListParagraph"/>
              <w:ind w:right="-432"/>
            </w:pPr>
            <w:r w:rsidRPr="007D2E19">
              <w:t>Ocean Resources</w:t>
            </w:r>
          </w:p>
        </w:tc>
      </w:tr>
      <w:tr w:rsidR="00B70CDE" w:rsidRPr="007D2E19" w14:paraId="5C4FFBEB" w14:textId="77777777" w:rsidTr="005357AA">
        <w:tc>
          <w:tcPr>
            <w:tcW w:w="1255" w:type="dxa"/>
          </w:tcPr>
          <w:p w14:paraId="55A81CD4" w14:textId="77777777" w:rsidR="00B70CDE" w:rsidRPr="007D2E19" w:rsidRDefault="00B70CDE" w:rsidP="005357AA">
            <w:pPr>
              <w:pStyle w:val="ListParagraph"/>
              <w:ind w:right="-432"/>
              <w:jc w:val="center"/>
            </w:pPr>
            <w:r w:rsidRPr="007D2E19">
              <w:t>11</w:t>
            </w:r>
          </w:p>
        </w:tc>
        <w:tc>
          <w:tcPr>
            <w:tcW w:w="7663" w:type="dxa"/>
          </w:tcPr>
          <w:p w14:paraId="2D66D040" w14:textId="77777777" w:rsidR="00B70CDE" w:rsidRPr="007D2E19" w:rsidRDefault="00B70CDE" w:rsidP="005357AA">
            <w:pPr>
              <w:pStyle w:val="ListParagraph"/>
              <w:ind w:right="-432"/>
            </w:pPr>
            <w:r w:rsidRPr="007D2E19">
              <w:t>Public Facilities and Services</w:t>
            </w:r>
          </w:p>
        </w:tc>
      </w:tr>
      <w:tr w:rsidR="00B70CDE" w:rsidRPr="007D2E19" w14:paraId="3AFA9B0F" w14:textId="77777777" w:rsidTr="005357AA">
        <w:tc>
          <w:tcPr>
            <w:tcW w:w="1255" w:type="dxa"/>
          </w:tcPr>
          <w:p w14:paraId="038049F4" w14:textId="77777777" w:rsidR="00B70CDE" w:rsidRPr="007D2E19" w:rsidRDefault="00B70CDE" w:rsidP="005357AA">
            <w:pPr>
              <w:pStyle w:val="ListParagraph"/>
              <w:ind w:right="-432"/>
              <w:jc w:val="center"/>
            </w:pPr>
            <w:r w:rsidRPr="007D2E19">
              <w:t>16</w:t>
            </w:r>
          </w:p>
        </w:tc>
        <w:tc>
          <w:tcPr>
            <w:tcW w:w="7663" w:type="dxa"/>
          </w:tcPr>
          <w:p w14:paraId="6BA1D879" w14:textId="77777777" w:rsidR="00B70CDE" w:rsidRPr="007D2E19" w:rsidRDefault="00B70CDE" w:rsidP="005357AA">
            <w:pPr>
              <w:pStyle w:val="ListParagraph"/>
              <w:ind w:right="-432"/>
            </w:pPr>
            <w:r w:rsidRPr="007D2E19">
              <w:t>Estuarial Resources</w:t>
            </w:r>
          </w:p>
        </w:tc>
      </w:tr>
    </w:tbl>
    <w:p w14:paraId="3B1B6717" w14:textId="77777777" w:rsidR="00B70CDE" w:rsidRDefault="00B70CDE" w:rsidP="00B70CDE">
      <w:pPr>
        <w:pStyle w:val="ListParagraph"/>
        <w:ind w:right="-432"/>
      </w:pPr>
    </w:p>
    <w:p w14:paraId="254EB2A0" w14:textId="77777777" w:rsidR="00B70CDE" w:rsidRDefault="00B70CDE" w:rsidP="00B70CDE">
      <w:pPr>
        <w:pStyle w:val="ListParagraph"/>
        <w:ind w:right="-432"/>
      </w:pPr>
      <w:r>
        <w:t>Statewide goals also specifically reference the following DEQ programs:</w:t>
      </w:r>
    </w:p>
    <w:p w14:paraId="572772B9" w14:textId="77777777" w:rsidR="00B70CDE" w:rsidRDefault="00B70CDE" w:rsidP="00B70CDE">
      <w:pPr>
        <w:pStyle w:val="ListParagraph"/>
        <w:ind w:right="-432"/>
      </w:pP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7663C2B4" w14:textId="77777777" w:rsidR="00B70CDE" w:rsidRPr="00476D38" w:rsidRDefault="00B70CDE" w:rsidP="00B70CDE">
      <w:pPr>
        <w:pStyle w:val="Heading2"/>
      </w:pPr>
      <w:r w:rsidRPr="00476D38">
        <w:t>Determination</w:t>
      </w:r>
    </w:p>
    <w:p w14:paraId="6C316E32" w14:textId="77777777" w:rsidR="00B70CDE" w:rsidRPr="008E319F" w:rsidRDefault="00B70CDE" w:rsidP="00B70CDE">
      <w:pPr>
        <w:pStyle w:val="Default"/>
        <w:rPr>
          <w:rFonts w:ascii="Times New Roman" w:hAnsi="Times New Roman" w:cs="Times New Roman"/>
          <w:b w:val="0"/>
        </w:rPr>
      </w:pPr>
    </w:p>
    <w:p w14:paraId="3F5D6947" w14:textId="77777777" w:rsidR="00B70CDE" w:rsidRPr="008E319F" w:rsidRDefault="00B70CDE" w:rsidP="00B70CDE">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B70CDE">
      <w:r w:rsidRPr="008E319F">
        <w:t>OAR 340-018-0030(5</w:t>
      </w:r>
      <w:proofErr w:type="gramStart"/>
      <w:r w:rsidRPr="008E319F">
        <w:t>)(</w:t>
      </w:r>
      <w:proofErr w:type="gramEnd"/>
      <w:r w:rsidRPr="008E319F">
        <w:t xml:space="preserve">c) and OAR 340-018-0030(5)(d) </w:t>
      </w:r>
    </w:p>
    <w:p w14:paraId="6D8BFD77" w14:textId="77777777" w:rsidR="00B70CDE" w:rsidRPr="008E319F" w:rsidRDefault="00B70CDE" w:rsidP="00B70CDE"/>
    <w:p w14:paraId="2E87AED9" w14:textId="77777777" w:rsidR="00B70CDE" w:rsidRPr="00BA08DA" w:rsidRDefault="00B70CDE" w:rsidP="00B70CDE">
      <w:r w:rsidRPr="00BA08DA">
        <w:t>DEQ’s statewide goal and local plan compatibility procedures adequately cover the proposed rules. Oregon Administrative Rule 340-018-0050(2</w:t>
      </w:r>
      <w:proofErr w:type="gramStart"/>
      <w:r w:rsidRPr="00BA08DA">
        <w:t>)(</w:t>
      </w:r>
      <w:proofErr w:type="gramEnd"/>
      <w:r w:rsidRPr="00BA08DA">
        <w:t>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5F45A9">
            <w:pPr>
              <w:pStyle w:val="Heading1"/>
            </w:pPr>
            <w:bookmarkStart w:id="10" w:name="_Toc490121551"/>
            <w:r>
              <w:t>Advisory Committee</w:t>
            </w:r>
            <w:bookmarkEnd w:id="10"/>
          </w:p>
        </w:tc>
      </w:tr>
    </w:tbl>
    <w:p w14:paraId="69C77FC6" w14:textId="77777777" w:rsidR="00680BD1" w:rsidRPr="00476D38" w:rsidRDefault="00680BD1" w:rsidP="00680BD1">
      <w:pPr>
        <w:pStyle w:val="Heading2"/>
      </w:pPr>
      <w:r w:rsidRPr="00476D38">
        <w:t>Advisory committee</w:t>
      </w:r>
    </w:p>
    <w:p w14:paraId="257DB43C" w14:textId="77777777" w:rsidR="00680BD1" w:rsidRPr="004E1AA0" w:rsidRDefault="00680BD1" w:rsidP="00680BD1">
      <w:pPr>
        <w:pStyle w:val="Heading3"/>
      </w:pPr>
    </w:p>
    <w:p w14:paraId="62782B73" w14:textId="77777777" w:rsidR="00680BD1" w:rsidRDefault="00680BD1" w:rsidP="00680BD1">
      <w:pPr>
        <w:pStyle w:val="Heading3"/>
      </w:pPr>
      <w:r>
        <w:t>Background</w:t>
      </w:r>
    </w:p>
    <w:p w14:paraId="3727C9D2" w14:textId="77777777" w:rsidR="00680BD1" w:rsidRPr="00E026AC" w:rsidRDefault="00680BD1" w:rsidP="00680BD1">
      <w:pPr>
        <w:ind w:right="-432"/>
      </w:pPr>
    </w:p>
    <w:p w14:paraId="0C765E79" w14:textId="77777777" w:rsidR="00680BD1" w:rsidRDefault="00680BD1" w:rsidP="00680BD1">
      <w:pPr>
        <w:ind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80BD1">
      <w:pPr>
        <w:ind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5357AA">
        <w:trPr>
          <w:trHeight w:val="464"/>
          <w:tblHeader/>
        </w:trPr>
        <w:tc>
          <w:tcPr>
            <w:tcW w:w="2448" w:type="dxa"/>
            <w:shd w:val="clear" w:color="auto" w:fill="A8D08D" w:themeFill="accent6" w:themeFillTint="99"/>
            <w:vAlign w:val="center"/>
          </w:tcPr>
          <w:p w14:paraId="003229CE" w14:textId="77777777" w:rsidR="00680BD1" w:rsidRPr="00B0705B" w:rsidRDefault="00680BD1" w:rsidP="005357AA">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5357AA">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5357AA">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5357AA">
        <w:trPr>
          <w:trHeight w:val="123"/>
        </w:trPr>
        <w:tc>
          <w:tcPr>
            <w:tcW w:w="2448" w:type="dxa"/>
            <w:shd w:val="clear" w:color="auto" w:fill="auto"/>
            <w:vAlign w:val="center"/>
          </w:tcPr>
          <w:p w14:paraId="3D2C4789" w14:textId="77777777" w:rsidR="00680BD1" w:rsidRPr="00B0705B" w:rsidRDefault="00680BD1" w:rsidP="005357AA">
            <w:pPr>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5357AA">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5357AA">
            <w:pPr>
              <w:ind w:left="46"/>
              <w:rPr>
                <w:b/>
                <w:lang w:val="en-ZW" w:eastAsia="en-ZW"/>
              </w:rPr>
            </w:pPr>
            <w:r w:rsidRPr="00B0705B">
              <w:rPr>
                <w:lang w:val="en-ZW" w:eastAsia="en-ZW"/>
              </w:rPr>
              <w:t>Natural Resources Coordinator</w:t>
            </w:r>
          </w:p>
        </w:tc>
      </w:tr>
      <w:tr w:rsidR="00680BD1" w:rsidRPr="00E27941" w14:paraId="74939CFD" w14:textId="77777777" w:rsidTr="005357AA">
        <w:trPr>
          <w:trHeight w:val="123"/>
        </w:trPr>
        <w:tc>
          <w:tcPr>
            <w:tcW w:w="2448" w:type="dxa"/>
            <w:shd w:val="clear" w:color="auto" w:fill="auto"/>
            <w:vAlign w:val="center"/>
            <w:hideMark/>
          </w:tcPr>
          <w:p w14:paraId="4CDBD221" w14:textId="77777777" w:rsidR="00680BD1" w:rsidRPr="00B0705B" w:rsidRDefault="00680BD1" w:rsidP="005357AA">
            <w:pPr>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5357AA">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5357AA">
            <w:pPr>
              <w:ind w:left="46"/>
              <w:rPr>
                <w:b/>
                <w:lang w:val="en-ZW" w:eastAsia="en-ZW"/>
              </w:rPr>
            </w:pPr>
            <w:r w:rsidRPr="00B0705B">
              <w:rPr>
                <w:lang w:val="en-ZW" w:eastAsia="en-ZW"/>
              </w:rPr>
              <w:t>Director of Government and Regulatory Affairs</w:t>
            </w:r>
          </w:p>
        </w:tc>
      </w:tr>
      <w:tr w:rsidR="00680BD1" w:rsidRPr="00E27941" w14:paraId="4DF6E47E" w14:textId="77777777" w:rsidTr="005357AA">
        <w:trPr>
          <w:trHeight w:val="123"/>
        </w:trPr>
        <w:tc>
          <w:tcPr>
            <w:tcW w:w="2448" w:type="dxa"/>
            <w:shd w:val="clear" w:color="auto" w:fill="auto"/>
            <w:vAlign w:val="center"/>
            <w:hideMark/>
          </w:tcPr>
          <w:p w14:paraId="5DFA9B6E" w14:textId="77777777" w:rsidR="00680BD1" w:rsidRPr="00B0705B" w:rsidRDefault="00680BD1" w:rsidP="005357AA">
            <w:pPr>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5357AA">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5357AA">
            <w:pPr>
              <w:ind w:left="46"/>
              <w:rPr>
                <w:b/>
                <w:lang w:val="en-ZW" w:eastAsia="en-ZW"/>
              </w:rPr>
            </w:pPr>
            <w:r w:rsidRPr="00B0705B">
              <w:rPr>
                <w:lang w:val="en-ZW" w:eastAsia="en-ZW"/>
              </w:rPr>
              <w:t>Executive Director</w:t>
            </w:r>
          </w:p>
        </w:tc>
      </w:tr>
      <w:tr w:rsidR="00680BD1" w:rsidRPr="00E27941" w14:paraId="6C15955F" w14:textId="77777777" w:rsidTr="005357AA">
        <w:trPr>
          <w:trHeight w:val="123"/>
        </w:trPr>
        <w:tc>
          <w:tcPr>
            <w:tcW w:w="2448" w:type="dxa"/>
            <w:shd w:val="clear" w:color="auto" w:fill="auto"/>
            <w:vAlign w:val="center"/>
            <w:hideMark/>
          </w:tcPr>
          <w:p w14:paraId="13A8A2B9" w14:textId="77777777" w:rsidR="00680BD1" w:rsidRPr="00B0705B" w:rsidRDefault="00680BD1" w:rsidP="005357AA">
            <w:pPr>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5357AA">
            <w:pPr>
              <w:ind w:left="5"/>
              <w:rPr>
                <w:b/>
                <w:lang w:val="en-ZW" w:eastAsia="en-ZW"/>
              </w:rPr>
            </w:pPr>
            <w:proofErr w:type="spellStart"/>
            <w:r w:rsidRPr="00B0705B">
              <w:rPr>
                <w:lang w:val="en-ZW" w:eastAsia="en-ZW"/>
              </w:rPr>
              <w:t>Sharla</w:t>
            </w:r>
            <w:proofErr w:type="spellEnd"/>
            <w:r w:rsidRPr="00B0705B">
              <w:rPr>
                <w:lang w:val="en-ZW" w:eastAsia="en-ZW"/>
              </w:rPr>
              <w:t xml:space="preserve"> Moffett </w:t>
            </w:r>
          </w:p>
        </w:tc>
        <w:tc>
          <w:tcPr>
            <w:tcW w:w="3780" w:type="dxa"/>
            <w:shd w:val="clear" w:color="auto" w:fill="auto"/>
            <w:vAlign w:val="center"/>
            <w:hideMark/>
          </w:tcPr>
          <w:p w14:paraId="467AB243" w14:textId="77777777" w:rsidR="00680BD1" w:rsidRPr="00B0705B" w:rsidRDefault="00680BD1" w:rsidP="005357AA">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5357AA">
        <w:trPr>
          <w:trHeight w:val="123"/>
        </w:trPr>
        <w:tc>
          <w:tcPr>
            <w:tcW w:w="2448" w:type="dxa"/>
            <w:shd w:val="clear" w:color="auto" w:fill="auto"/>
            <w:vAlign w:val="center"/>
            <w:hideMark/>
          </w:tcPr>
          <w:p w14:paraId="13103FF8" w14:textId="77777777" w:rsidR="00680BD1" w:rsidRPr="00B0705B" w:rsidRDefault="00680BD1" w:rsidP="005357AA">
            <w:pPr>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5357AA">
            <w:pPr>
              <w:ind w:left="5"/>
              <w:rPr>
                <w:b/>
                <w:lang w:val="en-ZW" w:eastAsia="en-ZW"/>
              </w:rPr>
            </w:pPr>
            <w:r w:rsidRPr="00B0705B">
              <w:rPr>
                <w:lang w:val="en-ZW" w:eastAsia="en-ZW"/>
              </w:rPr>
              <w:t xml:space="preserve">Scott </w:t>
            </w:r>
            <w:proofErr w:type="spellStart"/>
            <w:r w:rsidRPr="00B0705B">
              <w:rPr>
                <w:lang w:val="en-ZW" w:eastAsia="en-ZW"/>
              </w:rPr>
              <w:t>Nebeker</w:t>
            </w:r>
            <w:proofErr w:type="spellEnd"/>
          </w:p>
        </w:tc>
        <w:tc>
          <w:tcPr>
            <w:tcW w:w="3780" w:type="dxa"/>
            <w:shd w:val="clear" w:color="auto" w:fill="auto"/>
            <w:vAlign w:val="center"/>
            <w:hideMark/>
          </w:tcPr>
          <w:p w14:paraId="5E3AC5B4" w14:textId="77777777" w:rsidR="00680BD1" w:rsidRPr="00B0705B" w:rsidRDefault="00680BD1" w:rsidP="005357AA">
            <w:pPr>
              <w:ind w:left="46"/>
              <w:rPr>
                <w:b/>
                <w:lang w:val="en-ZW" w:eastAsia="en-ZW"/>
              </w:rPr>
            </w:pPr>
            <w:r w:rsidRPr="00B0705B">
              <w:rPr>
                <w:lang w:val="en-ZW" w:eastAsia="en-ZW"/>
              </w:rPr>
              <w:t xml:space="preserve">Park Development Administrator </w:t>
            </w:r>
          </w:p>
        </w:tc>
      </w:tr>
      <w:tr w:rsidR="00680BD1" w:rsidRPr="00E27941" w14:paraId="3DCF5AFE" w14:textId="77777777" w:rsidTr="005357AA">
        <w:trPr>
          <w:trHeight w:val="123"/>
        </w:trPr>
        <w:tc>
          <w:tcPr>
            <w:tcW w:w="2448" w:type="dxa"/>
            <w:shd w:val="clear" w:color="auto" w:fill="auto"/>
            <w:vAlign w:val="center"/>
            <w:hideMark/>
          </w:tcPr>
          <w:p w14:paraId="3FF5D4C2" w14:textId="77777777" w:rsidR="00680BD1" w:rsidRPr="00B0705B" w:rsidRDefault="00680BD1" w:rsidP="005357AA">
            <w:pPr>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5357AA">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5357AA">
            <w:pPr>
              <w:ind w:left="46"/>
              <w:rPr>
                <w:b/>
                <w:lang w:val="en-ZW" w:eastAsia="en-ZW"/>
              </w:rPr>
            </w:pPr>
            <w:proofErr w:type="spellStart"/>
            <w:r w:rsidRPr="00B0705B">
              <w:rPr>
                <w:lang w:val="en-ZW" w:eastAsia="en-ZW"/>
              </w:rPr>
              <w:t>Stormwater</w:t>
            </w:r>
            <w:proofErr w:type="spellEnd"/>
            <w:r w:rsidRPr="00B0705B">
              <w:rPr>
                <w:lang w:val="en-ZW" w:eastAsia="en-ZW"/>
              </w:rPr>
              <w:t xml:space="preserve"> Program Manager</w:t>
            </w:r>
          </w:p>
        </w:tc>
      </w:tr>
      <w:tr w:rsidR="00680BD1" w:rsidRPr="00E27941" w14:paraId="00B5A675" w14:textId="77777777" w:rsidTr="005357AA">
        <w:trPr>
          <w:trHeight w:val="123"/>
        </w:trPr>
        <w:tc>
          <w:tcPr>
            <w:tcW w:w="2448" w:type="dxa"/>
            <w:shd w:val="clear" w:color="auto" w:fill="auto"/>
            <w:vAlign w:val="center"/>
            <w:hideMark/>
          </w:tcPr>
          <w:p w14:paraId="56E29E6F" w14:textId="77777777" w:rsidR="00680BD1" w:rsidRPr="00B0705B" w:rsidRDefault="00680BD1" w:rsidP="005357AA">
            <w:pPr>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5357AA">
            <w:pPr>
              <w:ind w:left="5"/>
              <w:rPr>
                <w:b/>
                <w:lang w:val="en-ZW" w:eastAsia="en-ZW"/>
              </w:rPr>
            </w:pPr>
            <w:r w:rsidRPr="00B0705B">
              <w:rPr>
                <w:lang w:val="en-ZW" w:eastAsia="en-ZW"/>
              </w:rPr>
              <w:t xml:space="preserve">Mark </w:t>
            </w:r>
            <w:proofErr w:type="spellStart"/>
            <w:r w:rsidRPr="00B0705B">
              <w:rPr>
                <w:lang w:val="en-ZW" w:eastAsia="en-ZW"/>
              </w:rPr>
              <w:t>Landauer</w:t>
            </w:r>
            <w:proofErr w:type="spellEnd"/>
          </w:p>
        </w:tc>
        <w:tc>
          <w:tcPr>
            <w:tcW w:w="3780" w:type="dxa"/>
            <w:shd w:val="clear" w:color="auto" w:fill="auto"/>
            <w:vAlign w:val="center"/>
            <w:hideMark/>
          </w:tcPr>
          <w:p w14:paraId="402C5B41" w14:textId="77777777" w:rsidR="00680BD1" w:rsidRPr="00B0705B" w:rsidRDefault="00680BD1" w:rsidP="005357AA">
            <w:pPr>
              <w:ind w:left="46"/>
              <w:rPr>
                <w:b/>
                <w:lang w:val="en-ZW" w:eastAsia="en-ZW"/>
              </w:rPr>
            </w:pPr>
            <w:r w:rsidRPr="00B0705B">
              <w:rPr>
                <w:lang w:val="en-ZW" w:eastAsia="en-ZW"/>
              </w:rPr>
              <w:t>Executive Director</w:t>
            </w:r>
          </w:p>
        </w:tc>
      </w:tr>
      <w:tr w:rsidR="00680BD1" w:rsidRPr="00E27941" w14:paraId="34D1ABB1" w14:textId="77777777" w:rsidTr="005357AA">
        <w:trPr>
          <w:trHeight w:val="123"/>
        </w:trPr>
        <w:tc>
          <w:tcPr>
            <w:tcW w:w="2448" w:type="dxa"/>
            <w:shd w:val="clear" w:color="auto" w:fill="auto"/>
            <w:vAlign w:val="center"/>
            <w:hideMark/>
          </w:tcPr>
          <w:p w14:paraId="53BF81D0" w14:textId="77777777" w:rsidR="00680BD1" w:rsidRPr="00B0705B" w:rsidRDefault="00680BD1" w:rsidP="005357AA">
            <w:pPr>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5357AA">
            <w:pPr>
              <w:ind w:left="5"/>
              <w:rPr>
                <w:b/>
                <w:lang w:val="en-ZW" w:eastAsia="en-ZW"/>
              </w:rPr>
            </w:pPr>
            <w:r w:rsidRPr="00B0705B">
              <w:rPr>
                <w:lang w:val="en-ZW" w:eastAsia="en-ZW"/>
              </w:rPr>
              <w:t xml:space="preserve">Torrey </w:t>
            </w:r>
            <w:proofErr w:type="spellStart"/>
            <w:r w:rsidRPr="00B0705B">
              <w:rPr>
                <w:lang w:val="en-ZW" w:eastAsia="en-ZW"/>
              </w:rPr>
              <w:t>Lindbo</w:t>
            </w:r>
            <w:proofErr w:type="spellEnd"/>
          </w:p>
        </w:tc>
        <w:tc>
          <w:tcPr>
            <w:tcW w:w="3780" w:type="dxa"/>
            <w:shd w:val="clear" w:color="auto" w:fill="auto"/>
            <w:vAlign w:val="center"/>
            <w:hideMark/>
          </w:tcPr>
          <w:p w14:paraId="65602754" w14:textId="77777777" w:rsidR="00680BD1" w:rsidRPr="00B0705B" w:rsidRDefault="00680BD1" w:rsidP="005357AA">
            <w:pPr>
              <w:ind w:left="46"/>
              <w:rPr>
                <w:b/>
                <w:lang w:val="en-ZW" w:eastAsia="en-ZW"/>
              </w:rPr>
            </w:pPr>
            <w:r w:rsidRPr="00B0705B">
              <w:rPr>
                <w:lang w:val="en-ZW" w:eastAsia="en-ZW"/>
              </w:rPr>
              <w:t>Watershed Science Manager</w:t>
            </w:r>
          </w:p>
        </w:tc>
      </w:tr>
      <w:tr w:rsidR="00680BD1" w:rsidRPr="00E27941" w14:paraId="5ACD276E" w14:textId="77777777" w:rsidTr="005357AA">
        <w:trPr>
          <w:trHeight w:val="123"/>
        </w:trPr>
        <w:tc>
          <w:tcPr>
            <w:tcW w:w="2448" w:type="dxa"/>
            <w:shd w:val="clear" w:color="auto" w:fill="auto"/>
            <w:vAlign w:val="center"/>
            <w:hideMark/>
          </w:tcPr>
          <w:p w14:paraId="6AB46789" w14:textId="77777777" w:rsidR="00680BD1" w:rsidRPr="00B0705B" w:rsidRDefault="00680BD1" w:rsidP="005357AA">
            <w:pPr>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5357AA">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5357AA">
            <w:pPr>
              <w:ind w:left="46"/>
              <w:rPr>
                <w:b/>
                <w:lang w:val="en-ZW" w:eastAsia="en-ZW"/>
              </w:rPr>
            </w:pPr>
            <w:r w:rsidRPr="00B0705B">
              <w:rPr>
                <w:lang w:val="en-ZW" w:eastAsia="en-ZW"/>
              </w:rPr>
              <w:t>Intergovernmental Relations Associate</w:t>
            </w:r>
          </w:p>
        </w:tc>
      </w:tr>
      <w:tr w:rsidR="00680BD1" w:rsidRPr="00E27941" w14:paraId="47B0F095" w14:textId="77777777" w:rsidTr="005357AA">
        <w:trPr>
          <w:trHeight w:val="123"/>
        </w:trPr>
        <w:tc>
          <w:tcPr>
            <w:tcW w:w="2448" w:type="dxa"/>
            <w:shd w:val="clear" w:color="auto" w:fill="auto"/>
            <w:vAlign w:val="center"/>
            <w:hideMark/>
          </w:tcPr>
          <w:p w14:paraId="0B6E95DC" w14:textId="77777777" w:rsidR="00680BD1" w:rsidRPr="00B0705B" w:rsidRDefault="00680BD1" w:rsidP="005357AA">
            <w:pPr>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5357AA">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5357AA">
            <w:pPr>
              <w:ind w:left="46"/>
              <w:rPr>
                <w:b/>
                <w:lang w:val="en-ZW" w:eastAsia="en-ZW"/>
              </w:rPr>
            </w:pPr>
            <w:r w:rsidRPr="00B0705B">
              <w:rPr>
                <w:lang w:val="en-ZW" w:eastAsia="en-ZW"/>
              </w:rPr>
              <w:t>Executive Director</w:t>
            </w:r>
          </w:p>
        </w:tc>
      </w:tr>
      <w:tr w:rsidR="00680BD1" w:rsidRPr="00E27941" w14:paraId="0374D09E" w14:textId="77777777" w:rsidTr="005357AA">
        <w:trPr>
          <w:trHeight w:val="123"/>
        </w:trPr>
        <w:tc>
          <w:tcPr>
            <w:tcW w:w="2448" w:type="dxa"/>
            <w:shd w:val="clear" w:color="auto" w:fill="auto"/>
            <w:vAlign w:val="center"/>
            <w:hideMark/>
          </w:tcPr>
          <w:p w14:paraId="6A0A57BF" w14:textId="77777777" w:rsidR="00680BD1" w:rsidRPr="00B0705B" w:rsidRDefault="00680BD1" w:rsidP="005357AA">
            <w:pPr>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5357AA">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5357AA">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80BD1">
      <w:pPr>
        <w:ind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80BD1">
      <w:pPr>
        <w:ind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80BD1">
      <w:pPr>
        <w:ind w:right="-432"/>
      </w:pPr>
      <w:r w:rsidRPr="00A872BA">
        <w:t xml:space="preserve">DEQ did not present additional information specific to this proposed rule revision. </w:t>
      </w:r>
    </w:p>
    <w:p w14:paraId="09ECB781" w14:textId="77777777" w:rsidR="005F45A9" w:rsidRDefault="005F45A9" w:rsidP="005F45A9">
      <w:pPr>
        <w:pStyle w:val="Heading2"/>
        <w:ind w:left="0"/>
        <w:rPr>
          <w:rFonts w:ascii="Times New Roman" w:hAnsi="Times New Roman" w:cs="Times New Roman"/>
          <w:sz w:val="24"/>
          <w:szCs w:val="24"/>
        </w:rPr>
      </w:pPr>
    </w:p>
    <w:p w14:paraId="09ECB798" w14:textId="77777777" w:rsidR="005F45A9" w:rsidRDefault="005F45A9" w:rsidP="00AC7AF2">
      <w:pPr>
        <w:ind w:left="0"/>
        <w:jc w:val="center"/>
      </w:pPr>
    </w:p>
    <w:p w14:paraId="09ECB799"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6"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09ECB7AA" w14:textId="4194802E" w:rsidR="005F45A9" w:rsidRDefault="005F45A9" w:rsidP="00A11C0D">
      <w:pPr>
        <w:pStyle w:val="Heading2"/>
        <w:spacing w:before="0" w:after="0"/>
        <w:ind w:left="0"/>
        <w:rPr>
          <w:rFonts w:cs="Arial"/>
          <w:b w:val="0"/>
          <w:szCs w:val="24"/>
        </w:rPr>
      </w:pPr>
      <w:r>
        <w:rPr>
          <w:rFonts w:cs="Arial"/>
          <w:szCs w:val="24"/>
        </w:rPr>
        <w:t>Public Notice</w:t>
      </w:r>
    </w:p>
    <w:p w14:paraId="5DB87C8E" w14:textId="77777777" w:rsidR="0051487E" w:rsidRDefault="0051487E" w:rsidP="0051487E">
      <w:pPr>
        <w:ind w:left="0" w:right="-432"/>
        <w:rPr>
          <w:rStyle w:val="SubtitleChar"/>
          <w:rFonts w:ascii="Arial" w:eastAsiaTheme="majorEastAsia" w:hAnsi="Arial" w:cstheme="majorBidi"/>
          <w:b/>
          <w:bCs/>
          <w:sz w:val="32"/>
          <w:szCs w:val="26"/>
        </w:rPr>
      </w:pP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6C45FD">
            <w:pPr>
              <w:pStyle w:val="Heading1"/>
            </w:pPr>
            <w:bookmarkStart w:id="11" w:name="_Toc490121552"/>
            <w:r>
              <w:t>Public Hearings</w:t>
            </w:r>
            <w:bookmarkEnd w:id="1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F51795">
        <w:rPr>
          <w:rStyle w:val="Emphasis"/>
          <w:color w:val="000000" w:themeColor="text1"/>
          <w:sz w:val="24"/>
        </w:rPr>
        <w:t>one</w:t>
      </w:r>
      <w:r w:rsidRPr="00F51795">
        <w:rPr>
          <w:bCs/>
          <w:color w:val="000000" w:themeColor="text1"/>
        </w:rPr>
        <w:t xml:space="preserve"> 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lastRenderedPageBreak/>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t>
      </w:r>
      <w:proofErr w:type="spellStart"/>
      <w:r>
        <w:t>Wigal</w:t>
      </w:r>
      <w:proofErr w:type="spellEnd"/>
      <w:r>
        <w:t xml:space="preserve">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D9" w14:textId="51A45C97" w:rsidR="004A1BB3" w:rsidRDefault="004A1BB3" w:rsidP="001431AD">
      <w:pPr>
        <w:tabs>
          <w:tab w:val="left" w:pos="-1440"/>
          <w:tab w:val="left" w:pos="-720"/>
        </w:tabs>
        <w:suppressAutoHyphens/>
        <w:ind w:left="0" w:right="558"/>
        <w:rPr>
          <w:b/>
          <w:color w:val="000000" w:themeColor="text1"/>
        </w:rPr>
      </w:pPr>
    </w:p>
    <w:p w14:paraId="09ECB7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09ECB7E0" w14:textId="20CA08D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1" w14:textId="77777777" w:rsidR="00C961E7" w:rsidRPr="00377FA3" w:rsidRDefault="00C961E7" w:rsidP="005F45A9">
            <w:pPr>
              <w:pStyle w:val="Heading1"/>
            </w:pPr>
          </w:p>
          <w:p w14:paraId="09ECB7E2" w14:textId="77777777" w:rsidR="00C961E7" w:rsidRPr="00377FA3" w:rsidRDefault="00C961E7" w:rsidP="005F45A9">
            <w:pPr>
              <w:pStyle w:val="Heading1"/>
            </w:pPr>
            <w:bookmarkStart w:id="12" w:name="_Toc490121553"/>
            <w:r w:rsidRPr="00377FA3">
              <w:t>Summary of comments and DEQ responses</w:t>
            </w:r>
            <w:bookmarkEnd w:id="12"/>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5F45A9">
            <w:pPr>
              <w:pStyle w:val="Heading1"/>
            </w:pPr>
            <w:bookmarkStart w:id="13" w:name="_Toc490121554"/>
            <w:r w:rsidRPr="00276752">
              <w:t>Commenters</w:t>
            </w:r>
            <w:bookmarkEnd w:id="13"/>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1" w14:textId="77777777" w:rsidR="00C961E7" w:rsidRPr="00377FA3" w:rsidRDefault="00C961E7" w:rsidP="005F45A9">
            <w:pPr>
              <w:ind w:left="0"/>
              <w:rPr>
                <w:b/>
                <w:bCs/>
                <w:color w:val="32525C"/>
                <w:sz w:val="28"/>
                <w:szCs w:val="28"/>
              </w:rPr>
            </w:pPr>
            <w:r w:rsidRPr="00377FA3">
              <w:lastRenderedPageBreak/>
              <w:br w:type="page"/>
            </w:r>
          </w:p>
          <w:p w14:paraId="09ECB862" w14:textId="77777777" w:rsidR="00C961E7" w:rsidRPr="00377FA3" w:rsidRDefault="00C961E7" w:rsidP="005F45A9">
            <w:pPr>
              <w:pStyle w:val="Heading1"/>
            </w:pPr>
            <w:bookmarkStart w:id="14" w:name="_Toc490121555"/>
            <w:r w:rsidRPr="00377FA3">
              <w:t>Implementation</w:t>
            </w:r>
            <w:bookmarkEnd w:id="14"/>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F</w:t>
      </w:r>
      <w:r>
        <w:t xml:space="preserve">iling </w:t>
      </w:r>
      <w:r>
        <w:t xml:space="preserve">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5F45A9">
            <w:pPr>
              <w:pStyle w:val="Heading1"/>
              <w:tabs>
                <w:tab w:val="left" w:pos="8622"/>
              </w:tabs>
            </w:pPr>
            <w:bookmarkStart w:id="15" w:name="_Toc490121556"/>
            <w:r w:rsidRPr="001D0308">
              <w:lastRenderedPageBreak/>
              <w:t>Five-year review</w:t>
            </w:r>
            <w:bookmarkEnd w:id="15"/>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09ECB87F" w14:textId="77777777" w:rsidR="00C961E7" w:rsidRPr="00377FA3" w:rsidRDefault="00C961E7" w:rsidP="00C961E7">
      <w:pPr>
        <w:autoSpaceDE w:val="0"/>
        <w:autoSpaceDN w:val="0"/>
        <w:adjustRightInd w:val="0"/>
        <w:ind w:left="0" w:right="1008"/>
        <w:rPr>
          <w:color w:val="000000"/>
          <w:sz w:val="20"/>
          <w:szCs w:val="20"/>
        </w:rPr>
      </w:pPr>
      <w:bookmarkStart w:id="16" w:name="_GoBack"/>
      <w:bookmarkEnd w:id="16"/>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9ECB880"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09ECB881" w14:textId="77777777" w:rsidR="00C961E7" w:rsidRPr="00377FA3" w:rsidRDefault="00C961E7" w:rsidP="00C961E7">
      <w:pPr>
        <w:ind w:left="0"/>
      </w:pPr>
    </w:p>
    <w:p w14:paraId="09ECB882"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09ECB883" w14:textId="77777777" w:rsidR="00C961E7" w:rsidRPr="00377FA3" w:rsidRDefault="00C961E7" w:rsidP="00C961E7">
      <w:pPr>
        <w:ind w:left="0"/>
      </w:pPr>
    </w:p>
    <w:p w14:paraId="09ECB884"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14:paraId="09ECB885" w14:textId="77777777" w:rsidR="00C961E7" w:rsidRPr="00377FA3" w:rsidRDefault="00C961E7" w:rsidP="00C961E7">
      <w:pPr>
        <w:autoSpaceDE w:val="0"/>
        <w:autoSpaceDN w:val="0"/>
        <w:adjustRightInd w:val="0"/>
        <w:ind w:left="0" w:right="1008"/>
      </w:pPr>
    </w:p>
    <w:p w14:paraId="09ECB886"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14:paraId="09ECB887" w14:textId="77777777" w:rsidR="00C961E7" w:rsidRPr="00377FA3" w:rsidRDefault="00C961E7" w:rsidP="00C961E7">
      <w:pPr>
        <w:autoSpaceDE w:val="0"/>
        <w:autoSpaceDN w:val="0"/>
        <w:adjustRightInd w:val="0"/>
        <w:ind w:left="0" w:right="1008"/>
      </w:pPr>
    </w:p>
    <w:p w14:paraId="09ECB888"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09ECB889"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14:paraId="09ECB88A"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14:paraId="09ECB88B"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14:paraId="09ECB88C"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14:paraId="09ECB88D"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09ECB88E"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09ECB88F"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09ECB890"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09ECB891" w14:textId="77777777" w:rsidR="00C961E7" w:rsidRPr="00377FA3" w:rsidRDefault="00C961E7" w:rsidP="00C961E7">
      <w:pPr>
        <w:pStyle w:val="ListParagraph"/>
        <w:ind w:left="0"/>
        <w:rPr>
          <w:rStyle w:val="Emphasis"/>
          <w:vanish w:val="0"/>
          <w:color w:val="806000" w:themeColor="accent4" w:themeShade="80"/>
        </w:rPr>
      </w:pPr>
    </w:p>
    <w:p w14:paraId="09ECB892"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09ECB893"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09ECB894"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09ECB895"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09ECB896"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09ECB897"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09ECB898"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09ECB899" w14:textId="77777777" w:rsidR="00C961E7" w:rsidRPr="00377FA3" w:rsidRDefault="00C961E7" w:rsidP="00C961E7">
      <w:pPr>
        <w:autoSpaceDE w:val="0"/>
        <w:autoSpaceDN w:val="0"/>
        <w:adjustRightInd w:val="0"/>
        <w:spacing w:after="120"/>
        <w:ind w:left="0" w:right="1008"/>
        <w:outlineLvl w:val="9"/>
      </w:pPr>
      <w:r w:rsidRPr="00377FA3">
        <w:lastRenderedPageBreak/>
        <w:t>DEQ will use “available information” to comply with the review requirement allowed under ORS 183.405 (2).</w:t>
      </w:r>
    </w:p>
    <w:p w14:paraId="09ECB89A"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A86D3B" w:rsidRDefault="00A86D3B" w:rsidP="002D6C99">
      <w:r>
        <w:separator/>
      </w:r>
    </w:p>
  </w:endnote>
  <w:endnote w:type="continuationSeparator" w:id="0">
    <w:p w14:paraId="09ECB8C0" w14:textId="77777777" w:rsidR="00A86D3B" w:rsidRDefault="00A86D3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A86D3B" w:rsidRDefault="00A8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09ECB8C4" w14:textId="0DCC411E" w:rsidR="00A86D3B" w:rsidRDefault="00A86D3B">
        <w:pPr>
          <w:pStyle w:val="Footer"/>
          <w:jc w:val="right"/>
        </w:pPr>
        <w:r>
          <w:fldChar w:fldCharType="begin"/>
        </w:r>
        <w:r>
          <w:instrText xml:space="preserve"> PAGE   \* MERGEFORMAT </w:instrText>
        </w:r>
        <w:r>
          <w:fldChar w:fldCharType="separate"/>
        </w:r>
        <w:r w:rsidR="003B5480">
          <w:rPr>
            <w:noProof/>
          </w:rPr>
          <w:t>30</w:t>
        </w:r>
        <w:r>
          <w:rPr>
            <w:noProof/>
          </w:rPr>
          <w:fldChar w:fldCharType="end"/>
        </w:r>
      </w:p>
    </w:sdtContent>
  </w:sdt>
  <w:p w14:paraId="09ECB8C5" w14:textId="77777777" w:rsidR="00A86D3B" w:rsidRPr="002B4E71" w:rsidRDefault="00A86D3B"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A86D3B" w:rsidRDefault="00A8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A86D3B" w:rsidRDefault="00A86D3B" w:rsidP="002D6C99">
      <w:r>
        <w:separator/>
      </w:r>
    </w:p>
  </w:footnote>
  <w:footnote w:type="continuationSeparator" w:id="0">
    <w:p w14:paraId="09ECB8BE" w14:textId="77777777" w:rsidR="00A86D3B" w:rsidRDefault="00A86D3B"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A86D3B" w:rsidRDefault="00A86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A86D3B" w:rsidRDefault="00A86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A86D3B" w:rsidRDefault="00A86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260C"/>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5480"/>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487E"/>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ListId:doc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59A09B9B-F7D9-455F-9B75-532181C7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34</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50</cp:revision>
  <cp:lastPrinted>2013-02-28T21:12:00Z</cp:lastPrinted>
  <dcterms:created xsi:type="dcterms:W3CDTF">2017-05-09T17:00:00Z</dcterms:created>
  <dcterms:modified xsi:type="dcterms:W3CDTF">2019-05-17T14:48:00Z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