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Pr="00C43A0D" w:rsidRDefault="0002260C" w:rsidP="0002260C">
            <w:pPr>
              <w:rPr>
                <w:strike/>
              </w:rPr>
            </w:pPr>
            <w:r w:rsidRPr="00C43A0D">
              <w:rPr>
                <w:strike/>
              </w:rPr>
              <w:t>Program Mgr</w:t>
            </w:r>
          </w:p>
        </w:tc>
        <w:tc>
          <w:tcPr>
            <w:tcW w:w="3369" w:type="dxa"/>
            <w:vAlign w:val="center"/>
          </w:tcPr>
          <w:p w14:paraId="7F78A1AE" w14:textId="4E0E148C" w:rsidR="0002260C" w:rsidRPr="00C43A0D" w:rsidRDefault="0002260C" w:rsidP="0002260C">
            <w:pPr>
              <w:rPr>
                <w:strike/>
              </w:rPr>
            </w:pPr>
            <w:r w:rsidRPr="00C43A0D">
              <w:rPr>
                <w:strike/>
              </w:rPr>
              <w:t>Skip</w:t>
            </w:r>
          </w:p>
        </w:tc>
        <w:tc>
          <w:tcPr>
            <w:tcW w:w="1920" w:type="dxa"/>
            <w:vAlign w:val="center"/>
          </w:tcPr>
          <w:p w14:paraId="51DF9129" w14:textId="77777777" w:rsidR="0002260C" w:rsidRPr="00C43A0D" w:rsidRDefault="0002260C" w:rsidP="0002260C">
            <w:pPr>
              <w:ind w:left="91"/>
              <w:rPr>
                <w:strike/>
              </w:rPr>
            </w:pPr>
          </w:p>
        </w:tc>
      </w:tr>
      <w:tr w:rsidR="0002260C" w14:paraId="0307AAFD" w14:textId="77777777" w:rsidTr="00B02FE7">
        <w:trPr>
          <w:trHeight w:val="356"/>
        </w:trPr>
        <w:tc>
          <w:tcPr>
            <w:tcW w:w="2436" w:type="dxa"/>
            <w:vAlign w:val="center"/>
          </w:tcPr>
          <w:p w14:paraId="62C89521" w14:textId="77777777" w:rsidR="0002260C" w:rsidRPr="00C43A0D" w:rsidRDefault="0002260C" w:rsidP="0002260C">
            <w:pPr>
              <w:rPr>
                <w:strike/>
              </w:rPr>
            </w:pPr>
            <w:r w:rsidRPr="00C43A0D">
              <w:rPr>
                <w:strike/>
              </w:rPr>
              <w:t>Communications</w:t>
            </w:r>
          </w:p>
        </w:tc>
        <w:tc>
          <w:tcPr>
            <w:tcW w:w="3369" w:type="dxa"/>
            <w:vAlign w:val="center"/>
          </w:tcPr>
          <w:p w14:paraId="440DF392" w14:textId="572FFD5B" w:rsidR="0002260C" w:rsidRPr="00C43A0D" w:rsidRDefault="0002260C" w:rsidP="0002260C">
            <w:pPr>
              <w:rPr>
                <w:strike/>
              </w:rPr>
            </w:pPr>
            <w:r w:rsidRPr="00C43A0D">
              <w:rPr>
                <w:strike/>
              </w:rPr>
              <w:t>Susan Mills</w:t>
            </w:r>
          </w:p>
        </w:tc>
        <w:tc>
          <w:tcPr>
            <w:tcW w:w="1920" w:type="dxa"/>
            <w:vAlign w:val="center"/>
          </w:tcPr>
          <w:p w14:paraId="6646070C" w14:textId="50A2031E" w:rsidR="0002260C" w:rsidRPr="00C43A0D" w:rsidRDefault="00B02FE7" w:rsidP="0002260C">
            <w:pPr>
              <w:ind w:left="91"/>
              <w:rPr>
                <w:strike/>
              </w:rPr>
            </w:pPr>
            <w:r w:rsidRPr="00C43A0D">
              <w:rPr>
                <w:strike/>
              </w:rPr>
              <w:t>May 22 -</w:t>
            </w:r>
            <w:r w:rsidR="0002260C" w:rsidRPr="00C43A0D">
              <w:rPr>
                <w:strike/>
              </w:rPr>
              <w:t>May 30</w:t>
            </w:r>
          </w:p>
        </w:tc>
      </w:tr>
      <w:tr w:rsidR="0002260C" w14:paraId="64982297" w14:textId="77777777" w:rsidTr="00B02FE7">
        <w:trPr>
          <w:trHeight w:val="356"/>
        </w:trPr>
        <w:tc>
          <w:tcPr>
            <w:tcW w:w="2436" w:type="dxa"/>
            <w:vAlign w:val="center"/>
          </w:tcPr>
          <w:p w14:paraId="58376AD9" w14:textId="11722658" w:rsidR="0002260C" w:rsidRPr="00C43A0D" w:rsidRDefault="00B02FE7" w:rsidP="0002260C">
            <w:pPr>
              <w:rPr>
                <w:strike/>
              </w:rPr>
            </w:pPr>
            <w:r w:rsidRPr="00C43A0D">
              <w:rPr>
                <w:strike/>
              </w:rPr>
              <w:t>Fiscal Analyst</w:t>
            </w:r>
          </w:p>
        </w:tc>
        <w:tc>
          <w:tcPr>
            <w:tcW w:w="3369" w:type="dxa"/>
            <w:vAlign w:val="center"/>
          </w:tcPr>
          <w:p w14:paraId="610AF6DA" w14:textId="3D932611" w:rsidR="0002260C" w:rsidRPr="00C43A0D" w:rsidRDefault="00B02FE7" w:rsidP="0002260C">
            <w:pPr>
              <w:rPr>
                <w:strike/>
              </w:rPr>
            </w:pPr>
            <w:r w:rsidRPr="00C43A0D">
              <w:rPr>
                <w:strike/>
              </w:rPr>
              <w:t>Adam Coutu</w:t>
            </w:r>
          </w:p>
        </w:tc>
        <w:tc>
          <w:tcPr>
            <w:tcW w:w="1920" w:type="dxa"/>
            <w:vAlign w:val="center"/>
          </w:tcPr>
          <w:p w14:paraId="7CACE8E0" w14:textId="073E171A" w:rsidR="0002260C" w:rsidRPr="00C43A0D" w:rsidRDefault="00B02FE7" w:rsidP="00B02FE7">
            <w:pPr>
              <w:ind w:left="0"/>
              <w:rPr>
                <w:strike/>
              </w:rPr>
            </w:pPr>
            <w:r w:rsidRPr="00C43A0D">
              <w:rPr>
                <w:strike/>
              </w:rP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2019, Fiscal Year 2020</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2D9A5F4" w14:textId="3F9895B2" w:rsidR="00E6366E" w:rsidRPr="00E6366E" w:rsidRDefault="00E6366E" w:rsidP="00E6366E">
      <w:pPr>
        <w:pStyle w:val="TOC1"/>
        <w:spacing w:before="240"/>
        <w:rPr>
          <w:rFonts w:eastAsiaTheme="minorEastAsia" w:cs="Arial"/>
          <w:noProof/>
          <w:color w:val="auto"/>
          <w:sz w:val="24"/>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8994393" w:history="1">
        <w:r w:rsidRPr="00E6366E">
          <w:rPr>
            <w:rStyle w:val="Hyperlink"/>
            <w:rFonts w:cs="Arial"/>
            <w:noProof/>
            <w:sz w:val="24"/>
          </w:rPr>
          <w:t>DEQ recommendation to the EQC</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4</w:t>
        </w:r>
        <w:r w:rsidRPr="00E6366E">
          <w:rPr>
            <w:rFonts w:cs="Arial"/>
            <w:noProof/>
            <w:webHidden/>
            <w:sz w:val="24"/>
          </w:rPr>
          <w:fldChar w:fldCharType="end"/>
        </w:r>
      </w:hyperlink>
    </w:p>
    <w:p w14:paraId="72C03B68" w14:textId="2CC6C4AB" w:rsidR="00E6366E" w:rsidRPr="00E6366E" w:rsidRDefault="00281812" w:rsidP="00E6366E">
      <w:pPr>
        <w:pStyle w:val="TOC1"/>
        <w:spacing w:before="240"/>
        <w:rPr>
          <w:rFonts w:eastAsiaTheme="minorEastAsia" w:cs="Arial"/>
          <w:noProof/>
          <w:color w:val="auto"/>
          <w:sz w:val="24"/>
        </w:rPr>
      </w:pPr>
      <w:hyperlink w:anchor="_Toc8994394" w:history="1">
        <w:r w:rsidR="00E6366E" w:rsidRPr="00E6366E">
          <w:rPr>
            <w:rStyle w:val="Hyperlink"/>
            <w:rFonts w:cs="Arial"/>
            <w:noProof/>
            <w:sz w:val="24"/>
          </w:rPr>
          <w:t>Overview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5</w:t>
        </w:r>
        <w:r w:rsidR="00E6366E" w:rsidRPr="00E6366E">
          <w:rPr>
            <w:rFonts w:cs="Arial"/>
            <w:noProof/>
            <w:webHidden/>
            <w:sz w:val="24"/>
          </w:rPr>
          <w:fldChar w:fldCharType="end"/>
        </w:r>
      </w:hyperlink>
    </w:p>
    <w:p w14:paraId="53B406B5" w14:textId="29CCE75B" w:rsidR="00E6366E" w:rsidRPr="00E6366E" w:rsidRDefault="00281812" w:rsidP="00E6366E">
      <w:pPr>
        <w:pStyle w:val="TOC1"/>
        <w:spacing w:before="240"/>
        <w:rPr>
          <w:rFonts w:eastAsiaTheme="minorEastAsia" w:cs="Arial"/>
          <w:noProof/>
          <w:color w:val="auto"/>
          <w:sz w:val="24"/>
        </w:rPr>
      </w:pPr>
      <w:hyperlink w:anchor="_Toc8994395" w:history="1">
        <w:r w:rsidR="00E6366E" w:rsidRPr="00E6366E">
          <w:rPr>
            <w:rStyle w:val="Hyperlink"/>
            <w:rFonts w:cs="Arial"/>
            <w:noProof/>
            <w:sz w:val="24"/>
          </w:rPr>
          <w:t>Statement of Need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7</w:t>
        </w:r>
        <w:r w:rsidR="00E6366E" w:rsidRPr="00E6366E">
          <w:rPr>
            <w:rFonts w:cs="Arial"/>
            <w:noProof/>
            <w:webHidden/>
            <w:sz w:val="24"/>
          </w:rPr>
          <w:fldChar w:fldCharType="end"/>
        </w:r>
      </w:hyperlink>
    </w:p>
    <w:p w14:paraId="3C723D53" w14:textId="2B84404E" w:rsidR="00E6366E" w:rsidRPr="00E6366E" w:rsidRDefault="00281812" w:rsidP="00E6366E">
      <w:pPr>
        <w:pStyle w:val="TOC1"/>
        <w:spacing w:before="240"/>
        <w:rPr>
          <w:rFonts w:eastAsiaTheme="minorEastAsia" w:cs="Arial"/>
          <w:noProof/>
          <w:color w:val="auto"/>
          <w:sz w:val="24"/>
        </w:rPr>
      </w:pPr>
      <w:hyperlink w:anchor="_Toc8994396" w:history="1">
        <w:r w:rsidR="00E6366E" w:rsidRPr="00E6366E">
          <w:rPr>
            <w:rStyle w:val="Hyperlink"/>
            <w:rFonts w:cs="Arial"/>
            <w:noProof/>
            <w:sz w:val="24"/>
          </w:rPr>
          <w:t>Rules affected, authorities, 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9</w:t>
        </w:r>
        <w:r w:rsidR="00E6366E" w:rsidRPr="00E6366E">
          <w:rPr>
            <w:rFonts w:cs="Arial"/>
            <w:noProof/>
            <w:webHidden/>
            <w:sz w:val="24"/>
          </w:rPr>
          <w:fldChar w:fldCharType="end"/>
        </w:r>
      </w:hyperlink>
    </w:p>
    <w:p w14:paraId="05A75E64" w14:textId="4DE66EFA" w:rsidR="00E6366E" w:rsidRPr="00E6366E" w:rsidRDefault="00281812" w:rsidP="00E6366E">
      <w:pPr>
        <w:pStyle w:val="TOC1"/>
        <w:spacing w:before="240"/>
        <w:rPr>
          <w:rFonts w:eastAsiaTheme="minorEastAsia" w:cs="Arial"/>
          <w:noProof/>
          <w:color w:val="auto"/>
          <w:sz w:val="24"/>
        </w:rPr>
      </w:pPr>
      <w:hyperlink w:anchor="_Toc8994397" w:history="1">
        <w:r w:rsidR="00E6366E" w:rsidRPr="00E6366E">
          <w:rPr>
            <w:rStyle w:val="Hyperlink"/>
            <w:rFonts w:cs="Arial"/>
            <w:noProof/>
            <w:sz w:val="24"/>
          </w:rPr>
          <w:t>Fee Analysis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11</w:t>
        </w:r>
        <w:r w:rsidR="00E6366E" w:rsidRPr="00E6366E">
          <w:rPr>
            <w:rFonts w:cs="Arial"/>
            <w:noProof/>
            <w:webHidden/>
            <w:sz w:val="24"/>
          </w:rPr>
          <w:fldChar w:fldCharType="end"/>
        </w:r>
      </w:hyperlink>
    </w:p>
    <w:p w14:paraId="00DCCF84" w14:textId="53E63315" w:rsidR="00E6366E" w:rsidRPr="00E6366E" w:rsidRDefault="00281812" w:rsidP="00E6366E">
      <w:pPr>
        <w:pStyle w:val="TOC1"/>
        <w:spacing w:before="240"/>
        <w:rPr>
          <w:rFonts w:eastAsiaTheme="minorEastAsia" w:cs="Arial"/>
          <w:noProof/>
          <w:color w:val="auto"/>
          <w:sz w:val="24"/>
        </w:rPr>
      </w:pPr>
      <w:hyperlink w:anchor="_Toc8994398" w:history="1">
        <w:r w:rsidR="00E6366E" w:rsidRPr="00E6366E">
          <w:rPr>
            <w:rStyle w:val="Hyperlink"/>
            <w:rFonts w:cs="Arial"/>
            <w:bCs/>
            <w:noProof/>
            <w:sz w:val="24"/>
          </w:rPr>
          <w:t>Statement of fiscal and economic impact</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15</w:t>
        </w:r>
        <w:r w:rsidR="00E6366E" w:rsidRPr="00E6366E">
          <w:rPr>
            <w:rFonts w:cs="Arial"/>
            <w:noProof/>
            <w:webHidden/>
            <w:sz w:val="24"/>
          </w:rPr>
          <w:fldChar w:fldCharType="end"/>
        </w:r>
      </w:hyperlink>
    </w:p>
    <w:p w14:paraId="32119C5F" w14:textId="0C641262" w:rsidR="00E6366E" w:rsidRPr="00E6366E" w:rsidRDefault="00281812" w:rsidP="00E6366E">
      <w:pPr>
        <w:pStyle w:val="TOC1"/>
        <w:spacing w:before="240"/>
        <w:rPr>
          <w:rFonts w:eastAsiaTheme="minorEastAsia" w:cs="Arial"/>
          <w:noProof/>
          <w:color w:val="auto"/>
          <w:sz w:val="24"/>
        </w:rPr>
      </w:pPr>
      <w:hyperlink w:anchor="_Toc8994399" w:history="1">
        <w:r w:rsidR="00E6366E" w:rsidRPr="00E6366E">
          <w:rPr>
            <w:rStyle w:val="Hyperlink"/>
            <w:rFonts w:cs="Arial"/>
            <w:noProof/>
            <w:sz w:val="24"/>
          </w:rPr>
          <w:t>Federal relationship</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17</w:t>
        </w:r>
        <w:r w:rsidR="00E6366E" w:rsidRPr="00E6366E">
          <w:rPr>
            <w:rFonts w:cs="Arial"/>
            <w:noProof/>
            <w:webHidden/>
            <w:sz w:val="24"/>
          </w:rPr>
          <w:fldChar w:fldCharType="end"/>
        </w:r>
      </w:hyperlink>
    </w:p>
    <w:p w14:paraId="68A8C2CD" w14:textId="4F5DF0FE" w:rsidR="00E6366E" w:rsidRPr="00E6366E" w:rsidRDefault="00281812" w:rsidP="00E6366E">
      <w:pPr>
        <w:pStyle w:val="TOC1"/>
        <w:spacing w:before="240"/>
        <w:rPr>
          <w:rFonts w:eastAsiaTheme="minorEastAsia" w:cs="Arial"/>
          <w:noProof/>
          <w:color w:val="auto"/>
          <w:sz w:val="24"/>
        </w:rPr>
      </w:pPr>
      <w:hyperlink w:anchor="_Toc8994400" w:history="1">
        <w:r w:rsidR="00E6366E" w:rsidRPr="00E6366E">
          <w:rPr>
            <w:rStyle w:val="Hyperlink"/>
            <w:rFonts w:cs="Arial"/>
            <w:noProof/>
            <w:sz w:val="24"/>
          </w:rPr>
          <w:t>Land Use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_Toc8994400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19</w:t>
        </w:r>
        <w:r w:rsidR="00E6366E" w:rsidRPr="00E6366E">
          <w:rPr>
            <w:rFonts w:cs="Arial"/>
            <w:noProof/>
            <w:webHidden/>
            <w:sz w:val="24"/>
          </w:rPr>
          <w:fldChar w:fldCharType="end"/>
        </w:r>
      </w:hyperlink>
    </w:p>
    <w:p w14:paraId="2D461318" w14:textId="6E0BE540" w:rsidR="00E6366E" w:rsidRPr="00E6366E" w:rsidRDefault="00281812" w:rsidP="00E6366E">
      <w:pPr>
        <w:pStyle w:val="TOC1"/>
        <w:spacing w:before="240"/>
        <w:rPr>
          <w:rFonts w:eastAsiaTheme="minorEastAsia" w:cs="Arial"/>
          <w:noProof/>
          <w:color w:val="auto"/>
          <w:sz w:val="24"/>
        </w:rPr>
      </w:pPr>
      <w:hyperlink w:anchor="_Toc8994401" w:history="1">
        <w:r w:rsidR="00E6366E" w:rsidRPr="00E6366E">
          <w:rPr>
            <w:rStyle w:val="Hyperlink"/>
            <w:rFonts w:cs="Arial"/>
            <w:noProof/>
            <w:sz w:val="24"/>
          </w:rPr>
          <w:t>Advisory Committee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_Toc8994401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21</w:t>
        </w:r>
        <w:r w:rsidR="00E6366E" w:rsidRPr="00E6366E">
          <w:rPr>
            <w:rFonts w:cs="Arial"/>
            <w:noProof/>
            <w:webHidden/>
            <w:sz w:val="24"/>
          </w:rPr>
          <w:fldChar w:fldCharType="end"/>
        </w:r>
      </w:hyperlink>
    </w:p>
    <w:p w14:paraId="74574EFD" w14:textId="15A3C20F" w:rsidR="00E6366E" w:rsidRPr="00E6366E" w:rsidRDefault="00281812" w:rsidP="00E6366E">
      <w:pPr>
        <w:pStyle w:val="TOC1"/>
        <w:spacing w:before="240"/>
        <w:rPr>
          <w:rFonts w:eastAsiaTheme="minorEastAsia" w:cs="Arial"/>
          <w:noProof/>
          <w:color w:val="auto"/>
          <w:sz w:val="24"/>
        </w:rPr>
      </w:pPr>
      <w:hyperlink w:anchor="_Toc8994402" w:history="1">
        <w:r w:rsidR="00E6366E" w:rsidRPr="00E6366E">
          <w:rPr>
            <w:rStyle w:val="Hyperlink"/>
            <w:rFonts w:cs="Arial"/>
            <w:noProof/>
            <w:sz w:val="24"/>
          </w:rPr>
          <w:t>Public Hearings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_Toc8994402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547E46DB" w14:textId="5313A2E8" w:rsidR="00E6366E" w:rsidRPr="00E6366E" w:rsidRDefault="00281812" w:rsidP="00E6366E">
      <w:pPr>
        <w:pStyle w:val="TOC1"/>
        <w:spacing w:before="240"/>
        <w:rPr>
          <w:rFonts w:eastAsiaTheme="minorEastAsia" w:cs="Arial"/>
          <w:noProof/>
          <w:color w:val="auto"/>
          <w:sz w:val="24"/>
        </w:rPr>
      </w:pPr>
      <w:hyperlink w:anchor="_Toc8994403" w:history="1">
        <w:r w:rsidR="00E6366E" w:rsidRPr="00E6366E">
          <w:rPr>
            <w:rStyle w:val="Hyperlink"/>
            <w:rFonts w:cs="Arial"/>
            <w:noProof/>
            <w:sz w:val="24"/>
          </w:rPr>
          <w:t>Summary of comments and DEQ responses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_Toc8994403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0B711EA5" w14:textId="5DDF6359" w:rsidR="00E6366E" w:rsidRPr="00E6366E" w:rsidRDefault="00281812" w:rsidP="00E6366E">
      <w:pPr>
        <w:pStyle w:val="TOC1"/>
        <w:spacing w:before="240"/>
        <w:rPr>
          <w:rFonts w:eastAsiaTheme="minorEastAsia" w:cs="Arial"/>
          <w:noProof/>
          <w:color w:val="auto"/>
          <w:sz w:val="24"/>
        </w:rPr>
      </w:pPr>
      <w:hyperlink w:anchor="_Toc8994404" w:history="1">
        <w:r w:rsidR="00E6366E" w:rsidRPr="00E6366E">
          <w:rPr>
            <w:rStyle w:val="Hyperlink"/>
            <w:rFonts w:cs="Arial"/>
            <w:noProof/>
            <w:sz w:val="24"/>
          </w:rPr>
          <w:t>Commenters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0DB166AD" w14:textId="0C459CE6" w:rsidR="00E6366E" w:rsidRPr="00E6366E" w:rsidRDefault="00281812" w:rsidP="00E6366E">
      <w:pPr>
        <w:pStyle w:val="TOC1"/>
        <w:spacing w:before="240"/>
        <w:rPr>
          <w:rFonts w:eastAsiaTheme="minorEastAsia" w:cs="Arial"/>
          <w:noProof/>
          <w:color w:val="auto"/>
          <w:sz w:val="24"/>
        </w:rPr>
      </w:pPr>
      <w:hyperlink w:anchor="_Toc8994405" w:history="1">
        <w:r w:rsidR="00E6366E" w:rsidRPr="00E6366E">
          <w:rPr>
            <w:rStyle w:val="Hyperlink"/>
            <w:rFonts w:cs="Arial"/>
            <w:noProof/>
            <w:sz w:val="24"/>
          </w:rPr>
          <w:t>Implementation</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69BCC04E" w14:textId="5C258624" w:rsidR="00E6366E" w:rsidRPr="00E6366E" w:rsidRDefault="00281812" w:rsidP="00E6366E">
      <w:pPr>
        <w:pStyle w:val="TOC1"/>
        <w:spacing w:before="240"/>
        <w:rPr>
          <w:rFonts w:eastAsiaTheme="minorEastAsia" w:cs="Arial"/>
          <w:noProof/>
          <w:color w:val="auto"/>
          <w:sz w:val="24"/>
        </w:rPr>
      </w:pPr>
      <w:hyperlink w:anchor="_Toc8994406" w:history="1">
        <w:r w:rsidR="00E6366E" w:rsidRPr="00E6366E">
          <w:rPr>
            <w:rStyle w:val="Hyperlink"/>
            <w:rFonts w:cs="Arial"/>
            <w:noProof/>
            <w:sz w:val="24"/>
          </w:rPr>
          <w:t>Five-year review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25</w:t>
        </w:r>
        <w:r w:rsidR="00E6366E" w:rsidRPr="00E6366E">
          <w:rPr>
            <w:rFonts w:cs="Arial"/>
            <w:noProof/>
            <w:webHidden/>
            <w:sz w:val="24"/>
          </w:rPr>
          <w:fldChar w:fldCharType="end"/>
        </w:r>
      </w:hyperlink>
    </w:p>
    <w:p w14:paraId="092A58CA" w14:textId="7FB90838" w:rsidR="00E6366E" w:rsidRPr="00E6366E" w:rsidRDefault="00281812" w:rsidP="00E6366E">
      <w:pPr>
        <w:pStyle w:val="TOC1"/>
        <w:spacing w:before="240"/>
        <w:rPr>
          <w:rFonts w:eastAsiaTheme="minorEastAsia" w:cs="Arial"/>
          <w:noProof/>
          <w:color w:val="auto"/>
          <w:sz w:val="24"/>
        </w:rPr>
      </w:pPr>
      <w:hyperlink w:anchor="_Toc8994407" w:history="1">
        <w:r w:rsidR="00E6366E" w:rsidRPr="00E6366E">
          <w:rPr>
            <w:rStyle w:val="Hyperlink"/>
            <w:rFonts w:cs="Arial"/>
            <w:noProof/>
            <w:sz w:val="24"/>
          </w:rPr>
          <w:t>Draft Rules – With Edits Highlighted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26</w:t>
        </w:r>
        <w:r w:rsidR="00E6366E" w:rsidRPr="00E6366E">
          <w:rPr>
            <w:rFonts w:cs="Arial"/>
            <w:noProof/>
            <w:webHidden/>
            <w:sz w:val="24"/>
          </w:rPr>
          <w:fldChar w:fldCharType="end"/>
        </w:r>
      </w:hyperlink>
    </w:p>
    <w:p w14:paraId="389CF8CD" w14:textId="15CC499D" w:rsidR="00E6366E" w:rsidRPr="00E6366E" w:rsidRDefault="00281812" w:rsidP="00E6366E">
      <w:pPr>
        <w:pStyle w:val="TOC1"/>
        <w:spacing w:before="240"/>
        <w:rPr>
          <w:rFonts w:eastAsiaTheme="minorEastAsia" w:cs="Arial"/>
          <w:noProof/>
          <w:color w:val="auto"/>
          <w:sz w:val="24"/>
        </w:rPr>
      </w:pPr>
      <w:hyperlink w:anchor="_Toc8994408" w:history="1">
        <w:r w:rsidR="00E6366E" w:rsidRPr="00E6366E">
          <w:rPr>
            <w:rStyle w:val="Hyperlink"/>
            <w:rFonts w:cs="Arial"/>
            <w:noProof/>
            <w:sz w:val="24"/>
          </w:rPr>
          <w:t>Draft Rules – With Edits Included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27</w:t>
        </w:r>
        <w:r w:rsidR="00E6366E" w:rsidRPr="00E6366E">
          <w:rPr>
            <w:rFonts w:cs="Arial"/>
            <w:noProof/>
            <w:webHidden/>
            <w:sz w:val="24"/>
          </w:rPr>
          <w:fldChar w:fldCharType="end"/>
        </w:r>
      </w:hyperlink>
    </w:p>
    <w:p w14:paraId="7901ABE2" w14:textId="38F5109F" w:rsidR="00E6366E" w:rsidRPr="00E6366E" w:rsidRDefault="00281812" w:rsidP="00E6366E">
      <w:pPr>
        <w:pStyle w:val="TOC1"/>
        <w:spacing w:before="240"/>
        <w:rPr>
          <w:rFonts w:eastAsiaTheme="minorEastAsia" w:cs="Arial"/>
          <w:noProof/>
          <w:color w:val="auto"/>
          <w:sz w:val="24"/>
        </w:rPr>
      </w:pPr>
      <w:hyperlink w:anchor="_Toc8994409" w:history="1">
        <w:r w:rsidR="00E6366E" w:rsidRPr="00E6366E">
          <w:rPr>
            <w:rStyle w:val="Hyperlink"/>
            <w:rFonts w:cs="Arial"/>
            <w:noProof/>
            <w:sz w:val="24"/>
          </w:rPr>
          <w:t>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28</w:t>
        </w:r>
        <w:r w:rsidR="00E6366E" w:rsidRPr="00E6366E">
          <w:rPr>
            <w:rFonts w:cs="Arial"/>
            <w:noProof/>
            <w:webHidden/>
            <w:sz w:val="24"/>
          </w:rPr>
          <w:fldChar w:fldCharType="end"/>
        </w:r>
      </w:hyperlink>
    </w:p>
    <w:p w14:paraId="3874A117" w14:textId="1E6E26F7"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E6366E">
            <w:pPr>
              <w:pStyle w:val="Heading1"/>
            </w:pPr>
            <w:bookmarkStart w:id="0" w:name="_Toc490121542"/>
            <w:bookmarkStart w:id="1" w:name="_Toc8993957"/>
            <w:bookmarkStart w:id="2" w:name="_Toc8994393"/>
            <w:r w:rsidRPr="00377FA3">
              <w:lastRenderedPageBreak/>
              <w:t>DEQ recommendation to the EQC</w:t>
            </w:r>
            <w:bookmarkEnd w:id="0"/>
            <w:bookmarkEnd w:id="1"/>
            <w:bookmarkEnd w:id="2"/>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8994394"/>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ORS 468B.051.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hrough inspections, 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lastRenderedPageBreak/>
        <w:t>Regulated parties</w:t>
      </w:r>
      <w:r>
        <w:t xml:space="preserve"> </w:t>
      </w:r>
    </w:p>
    <w:p w14:paraId="6C639C69" w14:textId="7BCA5383" w:rsidR="009947DC" w:rsidRDefault="009947DC" w:rsidP="009947DC">
      <w:pPr>
        <w:ind w:left="0"/>
      </w:pPr>
      <w:r w:rsidRPr="001C05F1">
        <w:t>The proposed rules wou</w:t>
      </w:r>
      <w:r>
        <w:t>ld affect individuals, business</w:t>
      </w:r>
      <w:r w:rsidR="00AB2B05">
        <w:t>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69073129" w:rsidR="009947DC" w:rsidRDefault="009947DC" w:rsidP="009947DC">
      <w:pPr>
        <w:ind w:left="0"/>
        <w:rPr>
          <w:b/>
          <w:color w:val="806000" w:themeColor="accent4" w:themeShade="80"/>
        </w:rPr>
      </w:pPr>
      <w:r w:rsidRPr="0022345E">
        <w:t xml:space="preserve">During the public comment period, DEQ requests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6" w:name="_Toc490121545"/>
            <w:bookmarkStart w:id="7" w:name="_Toc8993959"/>
            <w:bookmarkStart w:id="8" w:name="_Toc8994395"/>
            <w:r w:rsidRPr="00377FA3">
              <w:lastRenderedPageBreak/>
              <w:t>Statement of Need</w:t>
            </w:r>
            <w:bookmarkEnd w:id="6"/>
            <w:bookmarkEnd w:id="7"/>
            <w:bookmarkEnd w:id="8"/>
          </w:p>
        </w:tc>
      </w:tr>
    </w:tbl>
    <w:p w14:paraId="09ECB757" w14:textId="77777777" w:rsidR="00C961E7" w:rsidRPr="00377FA3" w:rsidRDefault="00C961E7" w:rsidP="00C961E7"/>
    <w:p w14:paraId="09ECB758" w14:textId="77777777" w:rsidR="00C961E7" w:rsidRPr="00377FA3" w:rsidRDefault="00C961E7" w:rsidP="00C961E7">
      <w:r w:rsidRPr="00377FA3">
        <w:rPr>
          <w:noProof/>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lastRenderedPageBreak/>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lastRenderedPageBreak/>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E6366E">
            <w:pPr>
              <w:pStyle w:val="Heading1"/>
            </w:pPr>
            <w:bookmarkStart w:id="9" w:name="_Toc490121546"/>
            <w:bookmarkStart w:id="10" w:name="_Toc8993960"/>
            <w:bookmarkStart w:id="11" w:name="_Toc8994396"/>
            <w:r>
              <w:t>Rules affected, authorities, supporting documents</w:t>
            </w:r>
            <w:bookmarkEnd w:id="9"/>
            <w:bookmarkEnd w:id="10"/>
            <w:bookmarkEnd w:id="11"/>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2" w:name="SupportingDocuments"/>
      <w:r w:rsidRPr="00AB558B">
        <w:t>Documents relied on for rulemaking</w:t>
      </w:r>
      <w:r w:rsidRPr="00762E3F">
        <w:rPr>
          <w:rStyle w:val="Heading2Char"/>
          <w:rFonts w:eastAsiaTheme="majorEastAsia"/>
        </w:rPr>
        <w:t xml:space="preserve"> </w:t>
      </w:r>
      <w:bookmarkEnd w:id="12"/>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281812"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281812"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281812"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3" w:name="_Toc490121547"/>
            <w:bookmarkStart w:id="14" w:name="_Toc8993961"/>
            <w:bookmarkStart w:id="15" w:name="_Toc8994397"/>
            <w:r w:rsidRPr="00377FA3">
              <w:t>Fee Analysis</w:t>
            </w:r>
            <w:bookmarkEnd w:id="13"/>
            <w:bookmarkEnd w:id="14"/>
            <w:bookmarkEnd w:id="15"/>
          </w:p>
        </w:tc>
      </w:tr>
    </w:tbl>
    <w:p w14:paraId="09ECB765" w14:textId="77777777" w:rsidR="00C961E7" w:rsidRPr="00377FA3" w:rsidRDefault="00C961E7" w:rsidP="00C961E7"/>
    <w:p w14:paraId="09ECB766" w14:textId="77777777" w:rsidR="00C961E7" w:rsidRPr="00377FA3" w:rsidRDefault="00C961E7" w:rsidP="00C961E7">
      <w:r w:rsidRPr="00377FA3">
        <w:rPr>
          <w:noProof/>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xml:space="preserve">).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Sludge/Biosolids)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62F9F1A"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w:t>
      </w:r>
      <w:r w:rsidRPr="006C1F13">
        <w:lastRenderedPageBreak/>
        <w:t xml:space="preserve">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The proposed fees would affect individuals, businesses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lastRenderedPageBreak/>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A86D3B">
            <w:pPr>
              <w:contextualSpacing/>
              <w:jc w:val="center"/>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E6366E">
            <w:pPr>
              <w:pStyle w:val="Heading1"/>
            </w:pPr>
            <w:bookmarkStart w:id="16" w:name="_Toc490121548"/>
            <w:bookmarkStart w:id="17" w:name="_Toc8993962"/>
            <w:bookmarkStart w:id="18" w:name="_Toc8994398"/>
            <w:r w:rsidRPr="009A7CAE">
              <w:rPr>
                <w:rStyle w:val="Heading1Char"/>
                <w:b/>
                <w:bCs/>
              </w:rPr>
              <w:lastRenderedPageBreak/>
              <w:t>Statement of fiscal and economic impact</w:t>
            </w:r>
            <w:bookmarkEnd w:id="16"/>
            <w:bookmarkEnd w:id="17"/>
            <w:bookmarkEnd w:id="18"/>
          </w:p>
        </w:tc>
      </w:tr>
    </w:tbl>
    <w:p w14:paraId="09ECB76B" w14:textId="77777777" w:rsidR="00C961E7" w:rsidRPr="00377FA3" w:rsidRDefault="00C961E7" w:rsidP="00C961E7"/>
    <w:p w14:paraId="09ECB76C" w14:textId="77777777" w:rsidR="00C961E7" w:rsidRPr="00377FA3" w:rsidRDefault="00C961E7" w:rsidP="00C961E7">
      <w:r w:rsidRPr="00377FA3">
        <w:rPr>
          <w:noProof/>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lastRenderedPageBreak/>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lastRenderedPageBreak/>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E6366E">
            <w:pPr>
              <w:pStyle w:val="Heading1"/>
            </w:pPr>
            <w:bookmarkStart w:id="19" w:name="_Toc490121549"/>
            <w:bookmarkStart w:id="20" w:name="_Toc8993963"/>
            <w:bookmarkStart w:id="21" w:name="_Toc8994399"/>
            <w:r w:rsidRPr="00377FA3">
              <w:t>Federal relationship</w:t>
            </w:r>
            <w:bookmarkEnd w:id="19"/>
            <w:bookmarkEnd w:id="20"/>
            <w:bookmarkEnd w:id="21"/>
          </w:p>
        </w:tc>
      </w:tr>
    </w:tbl>
    <w:p w14:paraId="09ECB772" w14:textId="77777777" w:rsidR="00C961E7" w:rsidRPr="00377FA3" w:rsidRDefault="00C961E7" w:rsidP="00C961E7"/>
    <w:p w14:paraId="09ECB773" w14:textId="77777777" w:rsidR="00C961E7" w:rsidRPr="00377FA3" w:rsidRDefault="00C961E7" w:rsidP="00C961E7">
      <w:r w:rsidRPr="00377FA3">
        <w:rPr>
          <w:noProof/>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2" w:name="_Toc490121550"/>
            <w:bookmarkStart w:id="23" w:name="_Toc8993964"/>
            <w:bookmarkStart w:id="24" w:name="_Toc8994400"/>
            <w:r w:rsidRPr="00377FA3">
              <w:t>Land Use</w:t>
            </w:r>
            <w:bookmarkEnd w:id="22"/>
            <w:bookmarkEnd w:id="23"/>
            <w:bookmarkEnd w:id="24"/>
          </w:p>
        </w:tc>
      </w:tr>
    </w:tbl>
    <w:p w14:paraId="09ECB779" w14:textId="77777777" w:rsidR="00C961E7" w:rsidRPr="00377FA3" w:rsidRDefault="00C961E7" w:rsidP="00C961E7"/>
    <w:p w14:paraId="09ECB77A" w14:textId="77777777" w:rsidR="00C961E7" w:rsidRPr="00377FA3" w:rsidRDefault="00C961E7" w:rsidP="00C961E7">
      <w:r w:rsidRPr="00377FA3">
        <w:rPr>
          <w:noProof/>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 xml:space="preserve">OAR 340-018-0030(5)(c)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lastRenderedPageBreak/>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25" w:name="_Toc490121551"/>
            <w:bookmarkStart w:id="26" w:name="_Toc8993965"/>
            <w:bookmarkStart w:id="27" w:name="_Toc8994401"/>
            <w:r>
              <w:t>Advisory Committee</w:t>
            </w:r>
            <w:bookmarkEnd w:id="25"/>
            <w:bookmarkEnd w:id="26"/>
            <w:bookmarkEnd w:id="27"/>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5" w:history="1">
        <w:r>
          <w:rPr>
            <w:rStyle w:val="Hyperlink"/>
          </w:rPr>
          <w:t>DEQ’s calendar</w:t>
        </w:r>
      </w:hyperlink>
      <w:r>
        <w:t xml:space="preserve"> of public meetings</w:t>
      </w:r>
    </w:p>
    <w:p w14:paraId="4E8219E1" w14:textId="77777777" w:rsidR="00680BD1" w:rsidRDefault="00680BD1" w:rsidP="00281812">
      <w:pPr>
        <w:pStyle w:val="ListParagraph"/>
        <w:numPr>
          <w:ilvl w:val="0"/>
          <w:numId w:val="12"/>
        </w:numPr>
        <w:ind w:left="720" w:right="-432"/>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7A94DE2A" w:rsidR="005F45A9" w:rsidRPr="00B05CC1" w:rsidRDefault="005F45A9" w:rsidP="00281812">
      <w:pPr>
        <w:pStyle w:val="ListParagraph"/>
        <w:numPr>
          <w:ilvl w:val="1"/>
          <w:numId w:val="12"/>
        </w:numPr>
        <w:rPr>
          <w:color w:val="000000" w:themeColor="text1"/>
        </w:rPr>
      </w:pPr>
      <w:r>
        <w:rPr>
          <w:color w:val="000000" w:themeColor="text1"/>
        </w:rPr>
        <w:t xml:space="preserve"> </w:t>
      </w:r>
      <w:r w:rsidR="00281812">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6"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bookmarkStart w:id="28" w:name="_GoBack"/>
      <w:bookmarkEnd w:id="28"/>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7"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8"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29" w:name="_Toc490121552"/>
            <w:bookmarkStart w:id="30" w:name="_Toc8993966"/>
            <w:bookmarkStart w:id="31" w:name="_Toc8994402"/>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29"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E6366E">
            <w:pPr>
              <w:pStyle w:val="Heading1"/>
            </w:pPr>
            <w:bookmarkStart w:id="32" w:name="_Toc490121553"/>
            <w:bookmarkStart w:id="33" w:name="_Toc8993967"/>
            <w:bookmarkStart w:id="34" w:name="_Toc8994403"/>
            <w:r w:rsidRPr="00377FA3">
              <w:t>Summary of comments and DEQ responses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8994404"/>
            <w:r w:rsidRPr="00276752">
              <w:lastRenderedPageBreak/>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8994405"/>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0"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Sen. Michael Dembrow,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E6366E">
            <w:pPr>
              <w:pStyle w:val="Heading1"/>
            </w:pPr>
            <w:bookmarkStart w:id="41" w:name="_Toc490121556"/>
            <w:bookmarkStart w:id="42" w:name="_Toc8993970"/>
            <w:bookmarkStart w:id="43" w:name="_Toc8994406"/>
            <w:r w:rsidRPr="001D0308">
              <w:lastRenderedPageBreak/>
              <w:t>Five-year review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8994407"/>
            <w:r>
              <w:lastRenderedPageBreak/>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8994408"/>
            <w:r>
              <w:lastRenderedPageBreak/>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8994409"/>
            <w:r>
              <w:lastRenderedPageBreak/>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321C1" w:rsidRDefault="000321C1" w:rsidP="002D6C99">
      <w:r>
        <w:separator/>
      </w:r>
    </w:p>
  </w:endnote>
  <w:endnote w:type="continuationSeparator" w:id="0">
    <w:p w14:paraId="09ECB8C0" w14:textId="77777777" w:rsidR="000321C1" w:rsidRDefault="000321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321C1" w:rsidRDefault="0003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50F2DAD5" w:rsidR="000321C1" w:rsidRDefault="000321C1">
        <w:pPr>
          <w:pStyle w:val="Footer"/>
          <w:jc w:val="right"/>
        </w:pPr>
        <w:r>
          <w:fldChar w:fldCharType="begin"/>
        </w:r>
        <w:r>
          <w:instrText xml:space="preserve"> PAGE   \* MERGEFORMAT </w:instrText>
        </w:r>
        <w:r>
          <w:fldChar w:fldCharType="separate"/>
        </w:r>
        <w:r w:rsidR="00281812">
          <w:rPr>
            <w:noProof/>
          </w:rPr>
          <w:t>21</w:t>
        </w:r>
        <w:r>
          <w:rPr>
            <w:noProof/>
          </w:rPr>
          <w:fldChar w:fldCharType="end"/>
        </w:r>
      </w:p>
    </w:sdtContent>
  </w:sdt>
  <w:p w14:paraId="09ECB8C5" w14:textId="77777777" w:rsidR="000321C1" w:rsidRPr="002B4E71" w:rsidRDefault="000321C1"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321C1" w:rsidRDefault="0003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321C1" w:rsidRDefault="000321C1" w:rsidP="002D6C99">
      <w:r>
        <w:separator/>
      </w:r>
    </w:p>
  </w:footnote>
  <w:footnote w:type="continuationSeparator" w:id="0">
    <w:p w14:paraId="09ECB8BE" w14:textId="77777777" w:rsidR="000321C1" w:rsidRDefault="000321C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321C1" w:rsidRDefault="0003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321C1" w:rsidRDefault="0003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321C1" w:rsidRDefault="0003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s://www.oregon.gov/deq/Regulations/rulemaking/Pages/rwqfees2019.aspx" TargetMode="External"/><Relationship Id="rId30" Type="http://schemas.openxmlformats.org/officeDocument/2006/relationships/hyperlink" Target="https://www.oregon.gov/deq/Regulations/rulemaking/Pages/rwqfees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0ADB1-D5BB-47C5-BB93-72E571B6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5091</Words>
  <Characters>29022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19</cp:revision>
  <cp:lastPrinted>2013-02-28T21:12:00Z</cp:lastPrinted>
  <dcterms:created xsi:type="dcterms:W3CDTF">2019-05-17T21:06:00Z</dcterms:created>
  <dcterms:modified xsi:type="dcterms:W3CDTF">2019-06-04T15:36:00Z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