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lastRenderedPageBreak/>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781BFB">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lastRenderedPageBreak/>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4F2692">
        <w:tc>
          <w:tcPr>
            <w:tcW w:w="1728" w:type="dxa"/>
          </w:tcPr>
          <w:p w14:paraId="280FC1E3" w14:textId="77777777" w:rsidR="00450A46" w:rsidRPr="00AB558B" w:rsidRDefault="00450A46" w:rsidP="004F2692">
            <w:pPr>
              <w:ind w:left="0" w:right="-360"/>
              <w:jc w:val="center"/>
            </w:pPr>
            <w:r>
              <w:t>340-041-0002</w:t>
            </w:r>
          </w:p>
        </w:tc>
        <w:tc>
          <w:tcPr>
            <w:tcW w:w="1728" w:type="dxa"/>
          </w:tcPr>
          <w:p w14:paraId="7F8DE5B9" w14:textId="77777777" w:rsidR="00450A46" w:rsidRPr="00AB558B" w:rsidRDefault="00450A46" w:rsidP="004F2692">
            <w:pPr>
              <w:ind w:left="0" w:right="-360"/>
              <w:jc w:val="center"/>
            </w:pPr>
            <w:r>
              <w:t>340-041-0059</w:t>
            </w:r>
          </w:p>
        </w:tc>
        <w:tc>
          <w:tcPr>
            <w:tcW w:w="1728" w:type="dxa"/>
          </w:tcPr>
          <w:p w14:paraId="01B2D642" w14:textId="77777777" w:rsidR="00450A46" w:rsidRPr="00AB558B" w:rsidRDefault="00450A46" w:rsidP="004F2692">
            <w:pPr>
              <w:ind w:left="0" w:right="-360"/>
              <w:jc w:val="center"/>
            </w:pPr>
            <w:r>
              <w:t>340-041-0345</w:t>
            </w:r>
          </w:p>
        </w:tc>
        <w:tc>
          <w:tcPr>
            <w:tcW w:w="1728" w:type="dxa"/>
          </w:tcPr>
          <w:p w14:paraId="44D252C1" w14:textId="77777777" w:rsidR="00450A46" w:rsidRPr="00AB558B" w:rsidRDefault="00450A46" w:rsidP="004F2692">
            <w:pPr>
              <w:ind w:left="0" w:right="-360"/>
              <w:jc w:val="center"/>
            </w:pPr>
          </w:p>
        </w:tc>
        <w:tc>
          <w:tcPr>
            <w:tcW w:w="1728" w:type="dxa"/>
          </w:tcPr>
          <w:p w14:paraId="53BD9978" w14:textId="77777777" w:rsidR="00450A46" w:rsidRPr="00AB558B" w:rsidRDefault="00450A46" w:rsidP="004F2692">
            <w:pPr>
              <w:ind w:left="0" w:right="-360"/>
              <w:jc w:val="center"/>
            </w:pPr>
          </w:p>
        </w:tc>
      </w:tr>
      <w:tr w:rsidR="00450A46" w14:paraId="232B217B" w14:textId="77777777" w:rsidTr="004F2692">
        <w:tc>
          <w:tcPr>
            <w:tcW w:w="1728" w:type="dxa"/>
          </w:tcPr>
          <w:p w14:paraId="6C5EB7DC" w14:textId="77777777" w:rsidR="00450A46" w:rsidRPr="00AB558B" w:rsidRDefault="00450A46" w:rsidP="004F2692">
            <w:pPr>
              <w:ind w:left="0" w:right="-360"/>
              <w:jc w:val="center"/>
            </w:pPr>
          </w:p>
        </w:tc>
        <w:tc>
          <w:tcPr>
            <w:tcW w:w="1728" w:type="dxa"/>
          </w:tcPr>
          <w:p w14:paraId="08C0718E" w14:textId="77777777" w:rsidR="00450A46" w:rsidRPr="00AB558B" w:rsidRDefault="00450A46" w:rsidP="004F2692">
            <w:pPr>
              <w:ind w:left="0" w:right="-360"/>
              <w:jc w:val="center"/>
            </w:pPr>
          </w:p>
        </w:tc>
        <w:tc>
          <w:tcPr>
            <w:tcW w:w="1728" w:type="dxa"/>
          </w:tcPr>
          <w:p w14:paraId="59D10729" w14:textId="77777777" w:rsidR="00450A46" w:rsidRPr="00AB558B" w:rsidRDefault="00450A46" w:rsidP="004F2692">
            <w:pPr>
              <w:ind w:left="0" w:right="-360"/>
              <w:jc w:val="center"/>
            </w:pPr>
          </w:p>
        </w:tc>
        <w:tc>
          <w:tcPr>
            <w:tcW w:w="1728" w:type="dxa"/>
          </w:tcPr>
          <w:p w14:paraId="430CA109" w14:textId="77777777" w:rsidR="00450A46" w:rsidRPr="00AB558B" w:rsidRDefault="00450A46" w:rsidP="004F2692">
            <w:pPr>
              <w:ind w:left="0" w:right="-360"/>
              <w:jc w:val="center"/>
            </w:pPr>
          </w:p>
        </w:tc>
        <w:tc>
          <w:tcPr>
            <w:tcW w:w="1728" w:type="dxa"/>
          </w:tcPr>
          <w:p w14:paraId="568ABABF" w14:textId="77777777" w:rsidR="00450A46" w:rsidRPr="00AB558B" w:rsidRDefault="00450A46" w:rsidP="004F2692">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4F2692">
        <w:tc>
          <w:tcPr>
            <w:tcW w:w="1798" w:type="dxa"/>
          </w:tcPr>
          <w:p w14:paraId="2BE108F1" w14:textId="77777777" w:rsidR="00450A46" w:rsidRPr="0047393E" w:rsidRDefault="00450A46" w:rsidP="004F2692">
            <w:pPr>
              <w:ind w:left="0" w:right="-360"/>
              <w:rPr>
                <w:szCs w:val="22"/>
              </w:rPr>
            </w:pPr>
            <w:r w:rsidRPr="0047393E">
              <w:rPr>
                <w:szCs w:val="22"/>
              </w:rPr>
              <w:t>468.020</w:t>
            </w:r>
          </w:p>
        </w:tc>
        <w:tc>
          <w:tcPr>
            <w:tcW w:w="1798" w:type="dxa"/>
          </w:tcPr>
          <w:p w14:paraId="7320CFF4" w14:textId="77777777" w:rsidR="00450A46" w:rsidRPr="0047393E" w:rsidRDefault="00450A46" w:rsidP="004F2692">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4F2692">
            <w:pPr>
              <w:ind w:left="0" w:right="-360"/>
              <w:rPr>
                <w:szCs w:val="22"/>
              </w:rPr>
            </w:pPr>
            <w:r>
              <w:rPr>
                <w:szCs w:val="22"/>
              </w:rPr>
              <w:t>468B.015</w:t>
            </w:r>
          </w:p>
        </w:tc>
        <w:tc>
          <w:tcPr>
            <w:tcW w:w="1798" w:type="dxa"/>
          </w:tcPr>
          <w:p w14:paraId="628390E9" w14:textId="77777777" w:rsidR="00450A46" w:rsidRPr="0047393E" w:rsidRDefault="00450A46" w:rsidP="004F2692">
            <w:pPr>
              <w:ind w:left="0" w:right="-360"/>
              <w:rPr>
                <w:szCs w:val="22"/>
              </w:rPr>
            </w:pPr>
            <w:r>
              <w:rPr>
                <w:szCs w:val="22"/>
              </w:rPr>
              <w:t>468B.020</w:t>
            </w:r>
          </w:p>
        </w:tc>
        <w:tc>
          <w:tcPr>
            <w:tcW w:w="1798" w:type="dxa"/>
          </w:tcPr>
          <w:p w14:paraId="6C5B2EC8" w14:textId="77777777" w:rsidR="00450A46" w:rsidRPr="0047393E" w:rsidRDefault="00450A46" w:rsidP="004F2692">
            <w:pPr>
              <w:ind w:left="0" w:right="-360"/>
              <w:rPr>
                <w:szCs w:val="22"/>
              </w:rPr>
            </w:pPr>
            <w:r>
              <w:rPr>
                <w:szCs w:val="22"/>
              </w:rPr>
              <w:t>468B.030</w:t>
            </w:r>
          </w:p>
        </w:tc>
      </w:tr>
      <w:tr w:rsidR="00450A46" w14:paraId="1704C691" w14:textId="77777777" w:rsidTr="004F2692">
        <w:tc>
          <w:tcPr>
            <w:tcW w:w="1798" w:type="dxa"/>
          </w:tcPr>
          <w:p w14:paraId="0E865DEF" w14:textId="77777777" w:rsidR="00450A46" w:rsidRPr="0047393E" w:rsidRDefault="00450A46" w:rsidP="004F2692">
            <w:pPr>
              <w:ind w:left="0" w:right="-360"/>
              <w:rPr>
                <w:szCs w:val="22"/>
              </w:rPr>
            </w:pPr>
            <w:r>
              <w:rPr>
                <w:szCs w:val="22"/>
              </w:rPr>
              <w:t>468B.035</w:t>
            </w:r>
          </w:p>
        </w:tc>
        <w:tc>
          <w:tcPr>
            <w:tcW w:w="1798" w:type="dxa"/>
          </w:tcPr>
          <w:p w14:paraId="53CE5910" w14:textId="77777777" w:rsidR="00450A46" w:rsidRPr="0047393E" w:rsidRDefault="00450A46" w:rsidP="004F2692">
            <w:pPr>
              <w:ind w:left="0" w:right="-360"/>
              <w:rPr>
                <w:szCs w:val="22"/>
              </w:rPr>
            </w:pPr>
            <w:r>
              <w:rPr>
                <w:szCs w:val="22"/>
              </w:rPr>
              <w:t>468B.048</w:t>
            </w:r>
          </w:p>
        </w:tc>
        <w:tc>
          <w:tcPr>
            <w:tcW w:w="1798" w:type="dxa"/>
          </w:tcPr>
          <w:p w14:paraId="2E3BABD8" w14:textId="77777777" w:rsidR="00450A46" w:rsidRPr="0047393E" w:rsidRDefault="00450A46" w:rsidP="004F2692">
            <w:pPr>
              <w:ind w:left="0" w:right="-360"/>
              <w:rPr>
                <w:szCs w:val="22"/>
              </w:rPr>
            </w:pPr>
            <w:r>
              <w:rPr>
                <w:szCs w:val="22"/>
              </w:rPr>
              <w:t>468B.110</w:t>
            </w:r>
          </w:p>
        </w:tc>
        <w:tc>
          <w:tcPr>
            <w:tcW w:w="1798" w:type="dxa"/>
          </w:tcPr>
          <w:p w14:paraId="423C445A" w14:textId="77777777" w:rsidR="00450A46" w:rsidRPr="0047393E" w:rsidRDefault="00450A46" w:rsidP="004F2692">
            <w:pPr>
              <w:ind w:left="0" w:right="-360"/>
              <w:rPr>
                <w:szCs w:val="22"/>
              </w:rPr>
            </w:pPr>
          </w:p>
        </w:tc>
        <w:tc>
          <w:tcPr>
            <w:tcW w:w="1798" w:type="dxa"/>
          </w:tcPr>
          <w:p w14:paraId="1D170418" w14:textId="77777777" w:rsidR="00450A46" w:rsidRPr="0047393E" w:rsidRDefault="00450A46" w:rsidP="004F2692">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4F2692">
        <w:tc>
          <w:tcPr>
            <w:tcW w:w="1798" w:type="dxa"/>
          </w:tcPr>
          <w:p w14:paraId="5730D7E2" w14:textId="77777777" w:rsidR="00450A46" w:rsidRPr="0047393E" w:rsidRDefault="00450A46" w:rsidP="004F2692">
            <w:pPr>
              <w:ind w:left="0" w:right="-360"/>
              <w:rPr>
                <w:szCs w:val="22"/>
              </w:rPr>
            </w:pPr>
            <w:r>
              <w:rPr>
                <w:szCs w:val="22"/>
              </w:rPr>
              <w:t>468B.035</w:t>
            </w:r>
          </w:p>
        </w:tc>
        <w:tc>
          <w:tcPr>
            <w:tcW w:w="1798" w:type="dxa"/>
          </w:tcPr>
          <w:p w14:paraId="07D6D258" w14:textId="77777777" w:rsidR="00450A46" w:rsidRPr="0047393E" w:rsidRDefault="00450A46" w:rsidP="004F2692">
            <w:pPr>
              <w:ind w:left="0" w:right="-360"/>
              <w:rPr>
                <w:szCs w:val="22"/>
              </w:rPr>
            </w:pPr>
            <w:r>
              <w:rPr>
                <w:szCs w:val="22"/>
              </w:rPr>
              <w:t>468B.048</w:t>
            </w:r>
          </w:p>
        </w:tc>
        <w:tc>
          <w:tcPr>
            <w:tcW w:w="1798" w:type="dxa"/>
          </w:tcPr>
          <w:p w14:paraId="57503A42" w14:textId="77777777" w:rsidR="00450A46" w:rsidRPr="0047393E" w:rsidRDefault="00450A46" w:rsidP="004F2692">
            <w:pPr>
              <w:ind w:left="0" w:right="-360"/>
              <w:rPr>
                <w:szCs w:val="22"/>
              </w:rPr>
            </w:pPr>
          </w:p>
        </w:tc>
        <w:tc>
          <w:tcPr>
            <w:tcW w:w="1798" w:type="dxa"/>
          </w:tcPr>
          <w:p w14:paraId="3BD7C9F9" w14:textId="77777777" w:rsidR="00450A46" w:rsidRPr="0047393E" w:rsidRDefault="00450A46" w:rsidP="004F2692">
            <w:pPr>
              <w:ind w:left="0" w:right="-360"/>
              <w:rPr>
                <w:szCs w:val="22"/>
              </w:rPr>
            </w:pPr>
          </w:p>
        </w:tc>
        <w:tc>
          <w:tcPr>
            <w:tcW w:w="1798" w:type="dxa"/>
          </w:tcPr>
          <w:p w14:paraId="606C20AF" w14:textId="77777777" w:rsidR="00450A46" w:rsidRPr="0047393E" w:rsidRDefault="00450A46" w:rsidP="004F2692">
            <w:pPr>
              <w:ind w:left="0" w:right="-360"/>
              <w:rPr>
                <w:szCs w:val="22"/>
              </w:rPr>
            </w:pPr>
          </w:p>
        </w:tc>
      </w:tr>
      <w:tr w:rsidR="00450A46" w14:paraId="4A77E1A3" w14:textId="77777777" w:rsidTr="004F2692">
        <w:tc>
          <w:tcPr>
            <w:tcW w:w="1798" w:type="dxa"/>
          </w:tcPr>
          <w:p w14:paraId="2FC222DE" w14:textId="77777777" w:rsidR="00450A46" w:rsidRPr="0047393E" w:rsidRDefault="00450A46" w:rsidP="004F2692">
            <w:pPr>
              <w:ind w:left="0" w:right="-360"/>
              <w:rPr>
                <w:szCs w:val="22"/>
              </w:rPr>
            </w:pPr>
          </w:p>
        </w:tc>
        <w:tc>
          <w:tcPr>
            <w:tcW w:w="1798" w:type="dxa"/>
          </w:tcPr>
          <w:p w14:paraId="45C0708C" w14:textId="77777777" w:rsidR="00450A46" w:rsidRPr="0047393E" w:rsidRDefault="00450A46" w:rsidP="004F2692">
            <w:pPr>
              <w:ind w:left="0" w:right="-360"/>
              <w:rPr>
                <w:szCs w:val="22"/>
              </w:rPr>
            </w:pPr>
          </w:p>
        </w:tc>
        <w:tc>
          <w:tcPr>
            <w:tcW w:w="1798" w:type="dxa"/>
          </w:tcPr>
          <w:p w14:paraId="02AA72CB" w14:textId="77777777" w:rsidR="00450A46" w:rsidRPr="0047393E" w:rsidRDefault="00450A46" w:rsidP="004F2692">
            <w:pPr>
              <w:ind w:left="0" w:right="-360"/>
              <w:rPr>
                <w:szCs w:val="22"/>
              </w:rPr>
            </w:pPr>
          </w:p>
        </w:tc>
        <w:tc>
          <w:tcPr>
            <w:tcW w:w="1798" w:type="dxa"/>
          </w:tcPr>
          <w:p w14:paraId="6002979B" w14:textId="77777777" w:rsidR="00450A46" w:rsidRPr="0047393E" w:rsidRDefault="00450A46" w:rsidP="004F2692">
            <w:pPr>
              <w:ind w:left="0" w:right="-360"/>
              <w:rPr>
                <w:szCs w:val="22"/>
              </w:rPr>
            </w:pPr>
          </w:p>
        </w:tc>
        <w:tc>
          <w:tcPr>
            <w:tcW w:w="1798" w:type="dxa"/>
          </w:tcPr>
          <w:p w14:paraId="5E7F088D" w14:textId="77777777" w:rsidR="00450A46" w:rsidRPr="0047393E" w:rsidRDefault="00450A46" w:rsidP="004F2692">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4F2692">
        <w:trPr>
          <w:trHeight w:val="296"/>
          <w:jc w:val="center"/>
        </w:trPr>
        <w:tc>
          <w:tcPr>
            <w:tcW w:w="4395" w:type="dxa"/>
            <w:shd w:val="clear" w:color="auto" w:fill="C5E0B3" w:themeFill="accent6" w:themeFillTint="66"/>
          </w:tcPr>
          <w:p w14:paraId="3AEEC760" w14:textId="77777777" w:rsidR="00450A46" w:rsidRPr="005656D8" w:rsidRDefault="00450A46" w:rsidP="004F2692">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4F2692">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4F2692">
        <w:trPr>
          <w:trHeight w:val="237"/>
          <w:jc w:val="center"/>
        </w:trPr>
        <w:tc>
          <w:tcPr>
            <w:tcW w:w="4395" w:type="dxa"/>
          </w:tcPr>
          <w:p w14:paraId="0D7D8938" w14:textId="77777777" w:rsidR="00450A46" w:rsidRPr="001302BD" w:rsidRDefault="00450A46" w:rsidP="004F2692">
            <w:pPr>
              <w:ind w:left="0" w:right="-360"/>
            </w:pPr>
            <w:r w:rsidRPr="001302BD">
              <w:lastRenderedPageBreak/>
              <w:t>EPA Methy</w:t>
            </w:r>
            <w:r>
              <w:t>l</w:t>
            </w:r>
            <w:r w:rsidRPr="001302BD">
              <w:t>mercury Criteria documents.</w:t>
            </w:r>
          </w:p>
        </w:tc>
        <w:tc>
          <w:tcPr>
            <w:tcW w:w="4500" w:type="dxa"/>
          </w:tcPr>
          <w:p w14:paraId="2405E6A3" w14:textId="77777777" w:rsidR="00450A46" w:rsidRPr="001302BD" w:rsidRDefault="00781BFB" w:rsidP="004F2692">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4F2692">
        <w:trPr>
          <w:trHeight w:val="237"/>
          <w:jc w:val="center"/>
        </w:trPr>
        <w:tc>
          <w:tcPr>
            <w:tcW w:w="4395" w:type="dxa"/>
          </w:tcPr>
          <w:p w14:paraId="3B2C276F" w14:textId="77777777" w:rsidR="00450A46" w:rsidRPr="001302BD" w:rsidRDefault="00450A46" w:rsidP="004F2692">
            <w:pPr>
              <w:ind w:left="0" w:right="-360"/>
            </w:pPr>
            <w:r>
              <w:t xml:space="preserve">Oregon </w:t>
            </w:r>
            <w:r w:rsidRPr="001302BD">
              <w:t>DEQ. Draft Willamette Basin Mercury TMDL. 2019.</w:t>
            </w:r>
          </w:p>
        </w:tc>
        <w:tc>
          <w:tcPr>
            <w:tcW w:w="4500" w:type="dxa"/>
          </w:tcPr>
          <w:p w14:paraId="27F1A644" w14:textId="77777777" w:rsidR="00450A46" w:rsidRPr="001302BD" w:rsidRDefault="00781BFB" w:rsidP="004F2692">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4F2692">
        <w:trPr>
          <w:trHeight w:val="225"/>
          <w:jc w:val="center"/>
        </w:trPr>
        <w:tc>
          <w:tcPr>
            <w:tcW w:w="4395" w:type="dxa"/>
          </w:tcPr>
          <w:p w14:paraId="7A03D829" w14:textId="77777777" w:rsidR="00450A46" w:rsidRDefault="00450A46" w:rsidP="004F2692">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781BFB" w:rsidP="004F2692">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4F2692">
        <w:trPr>
          <w:trHeight w:val="225"/>
          <w:jc w:val="center"/>
        </w:trPr>
        <w:tc>
          <w:tcPr>
            <w:tcW w:w="4395" w:type="dxa"/>
          </w:tcPr>
          <w:p w14:paraId="20E0B5C6" w14:textId="77777777" w:rsidR="00450A46" w:rsidRPr="001302BD" w:rsidRDefault="00450A46" w:rsidP="004F2692">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81BFB" w:rsidP="004F2692">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4F2692">
        <w:trPr>
          <w:trHeight w:val="225"/>
          <w:jc w:val="center"/>
        </w:trPr>
        <w:tc>
          <w:tcPr>
            <w:tcW w:w="4395" w:type="dxa"/>
          </w:tcPr>
          <w:p w14:paraId="6F8F28B7" w14:textId="77777777" w:rsidR="00450A46" w:rsidRPr="001302BD" w:rsidRDefault="00450A46" w:rsidP="004F2692">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781BFB" w:rsidP="004F2692">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4F2692">
        <w:trPr>
          <w:trHeight w:val="225"/>
          <w:jc w:val="center"/>
        </w:trPr>
        <w:tc>
          <w:tcPr>
            <w:tcW w:w="4395" w:type="dxa"/>
          </w:tcPr>
          <w:p w14:paraId="4249133E" w14:textId="77777777" w:rsidR="00450A46" w:rsidRPr="001302BD" w:rsidRDefault="00450A46" w:rsidP="004F2692">
            <w:pPr>
              <w:ind w:left="0" w:right="150"/>
            </w:pPr>
            <w:r w:rsidRPr="001302BD">
              <w:lastRenderedPageBreak/>
              <w:t>U.S. EPA. 2007. Treatment Technologies for Mercury in Soil, Waste, and Water. Office of Superfund Remediation and Technology Innovation.</w:t>
            </w:r>
          </w:p>
        </w:tc>
        <w:tc>
          <w:tcPr>
            <w:tcW w:w="4500" w:type="dxa"/>
          </w:tcPr>
          <w:p w14:paraId="08740FDD" w14:textId="77777777" w:rsidR="00450A46" w:rsidRPr="001302BD" w:rsidRDefault="00781BFB" w:rsidP="004F2692">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4F2692">
        <w:trPr>
          <w:trHeight w:val="225"/>
          <w:jc w:val="center"/>
        </w:trPr>
        <w:tc>
          <w:tcPr>
            <w:tcW w:w="4395" w:type="dxa"/>
          </w:tcPr>
          <w:p w14:paraId="4938F355" w14:textId="77777777" w:rsidR="00450A46" w:rsidRDefault="00450A46" w:rsidP="004F2692">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781BFB" w:rsidP="004F2692">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4F2692">
        <w:trPr>
          <w:trHeight w:val="225"/>
          <w:jc w:val="center"/>
        </w:trPr>
        <w:tc>
          <w:tcPr>
            <w:tcW w:w="4395" w:type="dxa"/>
          </w:tcPr>
          <w:p w14:paraId="3750747D" w14:textId="77777777" w:rsidR="00450A46" w:rsidRPr="001302BD" w:rsidRDefault="00450A46" w:rsidP="004F2692">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81BFB" w:rsidP="004F2692">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4F2692">
        <w:trPr>
          <w:trHeight w:val="225"/>
          <w:jc w:val="center"/>
        </w:trPr>
        <w:tc>
          <w:tcPr>
            <w:tcW w:w="4395" w:type="dxa"/>
          </w:tcPr>
          <w:p w14:paraId="14B73DC9" w14:textId="77777777" w:rsidR="00450A46" w:rsidRPr="001302BD" w:rsidRDefault="00450A46" w:rsidP="004F2692">
            <w:pPr>
              <w:ind w:left="0" w:right="150"/>
            </w:pPr>
            <w:r w:rsidRPr="001302BD">
              <w:lastRenderedPageBreak/>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4F2692">
        <w:trPr>
          <w:trHeight w:val="225"/>
          <w:jc w:val="center"/>
        </w:trPr>
        <w:tc>
          <w:tcPr>
            <w:tcW w:w="4395" w:type="dxa"/>
          </w:tcPr>
          <w:p w14:paraId="4CFA9DD4" w14:textId="77777777" w:rsidR="00450A46" w:rsidRPr="001302BD" w:rsidRDefault="00450A46" w:rsidP="004F2692">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4F2692">
        <w:trPr>
          <w:trHeight w:val="225"/>
          <w:jc w:val="center"/>
        </w:trPr>
        <w:tc>
          <w:tcPr>
            <w:tcW w:w="4395" w:type="dxa"/>
          </w:tcPr>
          <w:p w14:paraId="0E4A55F4" w14:textId="77777777" w:rsidR="00450A46" w:rsidRPr="001302BD" w:rsidRDefault="00450A46" w:rsidP="004F2692">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4F2692">
        <w:trPr>
          <w:trHeight w:val="225"/>
          <w:jc w:val="center"/>
        </w:trPr>
        <w:tc>
          <w:tcPr>
            <w:tcW w:w="4395" w:type="dxa"/>
          </w:tcPr>
          <w:p w14:paraId="56694600" w14:textId="77777777" w:rsidR="00450A46" w:rsidRPr="001302BD" w:rsidRDefault="00450A46" w:rsidP="004F2692">
            <w:pPr>
              <w:ind w:left="0"/>
            </w:pPr>
            <w:r w:rsidRPr="001302BD">
              <w:t>Mercury Deposition Network studies</w:t>
            </w:r>
          </w:p>
        </w:tc>
        <w:tc>
          <w:tcPr>
            <w:tcW w:w="4500" w:type="dxa"/>
          </w:tcPr>
          <w:p w14:paraId="1FAF5DDF" w14:textId="77777777" w:rsidR="00450A46" w:rsidRPr="001302BD" w:rsidRDefault="00781BFB" w:rsidP="004F2692">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4F2692">
        <w:trPr>
          <w:trHeight w:val="225"/>
          <w:jc w:val="center"/>
        </w:trPr>
        <w:tc>
          <w:tcPr>
            <w:tcW w:w="4395" w:type="dxa"/>
          </w:tcPr>
          <w:p w14:paraId="0FC44B8A" w14:textId="77777777" w:rsidR="00450A46" w:rsidRPr="001302BD" w:rsidRDefault="00450A46" w:rsidP="004F2692">
            <w:pPr>
              <w:ind w:left="0"/>
            </w:pPr>
            <w:r w:rsidRPr="001302BD">
              <w:lastRenderedPageBreak/>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81BFB" w:rsidP="004F2692">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4F2692">
        <w:trPr>
          <w:trHeight w:val="225"/>
          <w:jc w:val="center"/>
        </w:trPr>
        <w:tc>
          <w:tcPr>
            <w:tcW w:w="4395" w:type="dxa"/>
          </w:tcPr>
          <w:p w14:paraId="7BF6319D" w14:textId="77777777" w:rsidR="00450A46" w:rsidRPr="001302BD" w:rsidRDefault="00450A46" w:rsidP="004F2692">
            <w:pPr>
              <w:ind w:left="0"/>
            </w:pPr>
            <w:r w:rsidRPr="001302BD">
              <w:t>Mercury effluent data from pre-treatment wastewater treatment plants in Oregon</w:t>
            </w:r>
          </w:p>
        </w:tc>
        <w:tc>
          <w:tcPr>
            <w:tcW w:w="4500" w:type="dxa"/>
          </w:tcPr>
          <w:p w14:paraId="2EDA4986"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4F2692">
        <w:trPr>
          <w:trHeight w:val="225"/>
          <w:jc w:val="center"/>
        </w:trPr>
        <w:tc>
          <w:tcPr>
            <w:tcW w:w="4395" w:type="dxa"/>
          </w:tcPr>
          <w:p w14:paraId="409F9367"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781BFB" w:rsidP="004F2692">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4F2692">
        <w:trPr>
          <w:trHeight w:val="225"/>
          <w:jc w:val="center"/>
        </w:trPr>
        <w:tc>
          <w:tcPr>
            <w:tcW w:w="4395" w:type="dxa"/>
          </w:tcPr>
          <w:p w14:paraId="60AF5DDB"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81BFB" w:rsidP="004F2692">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4F2692">
        <w:trPr>
          <w:trHeight w:val="225"/>
          <w:jc w:val="center"/>
        </w:trPr>
        <w:tc>
          <w:tcPr>
            <w:tcW w:w="4395" w:type="dxa"/>
          </w:tcPr>
          <w:p w14:paraId="2CBDD9B3"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Michigan Department of Environmental Quality. 2015. </w:t>
            </w:r>
            <w:r w:rsidRPr="001302BD">
              <w:rPr>
                <w:rFonts w:ascii="Times New Roman" w:hAnsi="Times New Roman" w:cs="Times New Roman"/>
                <w:sz w:val="24"/>
                <w:szCs w:val="24"/>
              </w:rPr>
              <w:lastRenderedPageBreak/>
              <w:t>Mercury Multiple Discharge Variance Document.</w:t>
            </w:r>
          </w:p>
        </w:tc>
        <w:tc>
          <w:tcPr>
            <w:tcW w:w="4500" w:type="dxa"/>
          </w:tcPr>
          <w:p w14:paraId="0A55767B" w14:textId="77777777" w:rsidR="00450A46" w:rsidRPr="001302BD" w:rsidRDefault="00781BFB" w:rsidP="004F2692">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4F2692">
        <w:trPr>
          <w:trHeight w:val="225"/>
          <w:jc w:val="center"/>
        </w:trPr>
        <w:tc>
          <w:tcPr>
            <w:tcW w:w="4395" w:type="dxa"/>
          </w:tcPr>
          <w:p w14:paraId="54AB8ACC" w14:textId="77777777" w:rsidR="00450A46" w:rsidRPr="001302BD" w:rsidRDefault="00450A46" w:rsidP="004F2692">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4F2692">
        <w:trPr>
          <w:trHeight w:val="225"/>
          <w:jc w:val="center"/>
        </w:trPr>
        <w:tc>
          <w:tcPr>
            <w:tcW w:w="4395" w:type="dxa"/>
          </w:tcPr>
          <w:p w14:paraId="60107DBF" w14:textId="77777777" w:rsidR="00450A46" w:rsidRPr="001302BD" w:rsidRDefault="00450A46" w:rsidP="004F2692">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4F2692">
        <w:trPr>
          <w:trHeight w:val="225"/>
          <w:jc w:val="center"/>
        </w:trPr>
        <w:tc>
          <w:tcPr>
            <w:tcW w:w="4395" w:type="dxa"/>
          </w:tcPr>
          <w:p w14:paraId="27DCC825"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4F2692">
        <w:trPr>
          <w:trHeight w:val="225"/>
          <w:jc w:val="center"/>
        </w:trPr>
        <w:tc>
          <w:tcPr>
            <w:tcW w:w="4395" w:type="dxa"/>
          </w:tcPr>
          <w:p w14:paraId="14CAF8FF"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4F2692">
        <w:trPr>
          <w:trHeight w:val="225"/>
          <w:jc w:val="center"/>
        </w:trPr>
        <w:tc>
          <w:tcPr>
            <w:tcW w:w="4395" w:type="dxa"/>
          </w:tcPr>
          <w:p w14:paraId="0D2175E3"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Electric Power Research Institute and Water Research Foundation. 2013. Electricity Use and </w:t>
            </w:r>
            <w:r w:rsidRPr="001302BD">
              <w:rPr>
                <w:rFonts w:ascii="Times New Roman" w:hAnsi="Times New Roman" w:cs="Times New Roman"/>
                <w:sz w:val="24"/>
                <w:szCs w:val="24"/>
              </w:rPr>
              <w:lastRenderedPageBreak/>
              <w:t>Management in the Municipal Water Supply and Wastewater Industries.</w:t>
            </w:r>
          </w:p>
        </w:tc>
        <w:tc>
          <w:tcPr>
            <w:tcW w:w="4500" w:type="dxa"/>
          </w:tcPr>
          <w:p w14:paraId="57B4398A" w14:textId="77777777" w:rsidR="00450A46" w:rsidRPr="001302BD" w:rsidRDefault="00781BFB" w:rsidP="004F2692">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4F2692">
        <w:trPr>
          <w:trHeight w:val="225"/>
          <w:jc w:val="center"/>
        </w:trPr>
        <w:tc>
          <w:tcPr>
            <w:tcW w:w="4395" w:type="dxa"/>
          </w:tcPr>
          <w:p w14:paraId="63617E38"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781BFB" w:rsidP="004F2692">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4F2692">
        <w:trPr>
          <w:trHeight w:val="225"/>
          <w:jc w:val="center"/>
        </w:trPr>
        <w:tc>
          <w:tcPr>
            <w:tcW w:w="4395" w:type="dxa"/>
          </w:tcPr>
          <w:p w14:paraId="1105BF5F" w14:textId="77777777" w:rsidR="00450A46" w:rsidRPr="001302BD" w:rsidRDefault="00450A46" w:rsidP="004F2692">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81BFB" w:rsidP="004F2692">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4F2692">
        <w:trPr>
          <w:trHeight w:val="225"/>
          <w:jc w:val="center"/>
        </w:trPr>
        <w:tc>
          <w:tcPr>
            <w:tcW w:w="4395" w:type="dxa"/>
          </w:tcPr>
          <w:p w14:paraId="641E1A5F" w14:textId="77777777" w:rsidR="00450A46" w:rsidRPr="001302BD" w:rsidRDefault="00450A46" w:rsidP="004F2692">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4F2692">
        <w:trPr>
          <w:trHeight w:val="225"/>
          <w:jc w:val="center"/>
        </w:trPr>
        <w:tc>
          <w:tcPr>
            <w:tcW w:w="4395" w:type="dxa"/>
          </w:tcPr>
          <w:p w14:paraId="4DB06BCC" w14:textId="77777777" w:rsidR="00450A46" w:rsidRDefault="00450A46" w:rsidP="004F2692">
            <w:pPr>
              <w:ind w:left="0"/>
            </w:pPr>
            <w:r>
              <w:t>City of Oshkosh, Wisconsin. 2018. Mercury Source Identification and Reduction Efforts</w:t>
            </w:r>
          </w:p>
        </w:tc>
        <w:tc>
          <w:tcPr>
            <w:tcW w:w="4500" w:type="dxa"/>
          </w:tcPr>
          <w:p w14:paraId="0424403D"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4F2692">
        <w:trPr>
          <w:trHeight w:val="225"/>
          <w:jc w:val="center"/>
        </w:trPr>
        <w:tc>
          <w:tcPr>
            <w:tcW w:w="4395" w:type="dxa"/>
          </w:tcPr>
          <w:p w14:paraId="72A0A64D" w14:textId="77777777" w:rsidR="00450A46" w:rsidRDefault="00450A46" w:rsidP="004F2692">
            <w:pPr>
              <w:pStyle w:val="Bibliography"/>
              <w:ind w:left="-45"/>
              <w:rPr>
                <w:noProof/>
              </w:rPr>
            </w:pPr>
            <w:r>
              <w:rPr>
                <w:noProof/>
              </w:rPr>
              <w:t xml:space="preserve">Stevens Point Public Utilities. </w:t>
            </w:r>
            <w:r>
              <w:rPr>
                <w:noProof/>
              </w:rPr>
              <w:lastRenderedPageBreak/>
              <w:t>2018. Mercury Source Identification and Control PMP.</w:t>
            </w:r>
          </w:p>
          <w:p w14:paraId="1818BD81" w14:textId="77777777" w:rsidR="00450A46" w:rsidRDefault="00450A46" w:rsidP="004F2692">
            <w:pPr>
              <w:ind w:left="0"/>
            </w:pPr>
          </w:p>
        </w:tc>
        <w:tc>
          <w:tcPr>
            <w:tcW w:w="4500" w:type="dxa"/>
          </w:tcPr>
          <w:p w14:paraId="082AB623"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1F1EEF58" w14:textId="77777777" w:rsidTr="004F2692">
        <w:trPr>
          <w:trHeight w:val="225"/>
          <w:jc w:val="center"/>
        </w:trPr>
        <w:tc>
          <w:tcPr>
            <w:tcW w:w="4395" w:type="dxa"/>
          </w:tcPr>
          <w:p w14:paraId="58CA7E2F" w14:textId="77777777" w:rsidR="00450A46" w:rsidRDefault="00450A46" w:rsidP="004F2692">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4F2692">
        <w:trPr>
          <w:trHeight w:val="225"/>
          <w:jc w:val="center"/>
        </w:trPr>
        <w:tc>
          <w:tcPr>
            <w:tcW w:w="4395" w:type="dxa"/>
          </w:tcPr>
          <w:p w14:paraId="00D0C0A4" w14:textId="77777777" w:rsidR="00450A46" w:rsidRDefault="00450A46" w:rsidP="004F2692">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4F2692">
        <w:trPr>
          <w:trHeight w:val="225"/>
          <w:jc w:val="center"/>
        </w:trPr>
        <w:tc>
          <w:tcPr>
            <w:tcW w:w="4395" w:type="dxa"/>
          </w:tcPr>
          <w:p w14:paraId="614A82DE" w14:textId="77777777" w:rsidR="00450A46" w:rsidRDefault="00450A46" w:rsidP="004F2692">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4F2692">
        <w:trPr>
          <w:trHeight w:val="225"/>
          <w:jc w:val="center"/>
        </w:trPr>
        <w:tc>
          <w:tcPr>
            <w:tcW w:w="4395" w:type="dxa"/>
          </w:tcPr>
          <w:p w14:paraId="3F93E74D" w14:textId="77777777" w:rsidR="00450A46" w:rsidRPr="00D63523" w:rsidRDefault="00450A46" w:rsidP="004F2692">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lastRenderedPageBreak/>
              <w:t>Ambio, 36</w:t>
            </w:r>
            <w:r w:rsidRPr="00D63523">
              <w:rPr>
                <w:noProof/>
              </w:rPr>
              <w:t>, 19-32.</w:t>
            </w:r>
          </w:p>
        </w:tc>
        <w:tc>
          <w:tcPr>
            <w:tcW w:w="4500" w:type="dxa"/>
          </w:tcPr>
          <w:p w14:paraId="281D4EF7"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4F2692">
        <w:trPr>
          <w:trHeight w:val="225"/>
          <w:jc w:val="center"/>
        </w:trPr>
        <w:tc>
          <w:tcPr>
            <w:tcW w:w="4395" w:type="dxa"/>
          </w:tcPr>
          <w:p w14:paraId="31C3D1F8" w14:textId="77777777" w:rsidR="00450A46" w:rsidRPr="00D63523" w:rsidRDefault="00450A46" w:rsidP="004F2692">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4F2692">
        <w:trPr>
          <w:trHeight w:val="225"/>
          <w:jc w:val="center"/>
        </w:trPr>
        <w:tc>
          <w:tcPr>
            <w:tcW w:w="4395" w:type="dxa"/>
          </w:tcPr>
          <w:p w14:paraId="788B3160" w14:textId="77777777" w:rsidR="00450A46" w:rsidRPr="00D63523" w:rsidRDefault="00450A46" w:rsidP="004F2692">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4F2692">
        <w:trPr>
          <w:trHeight w:val="225"/>
          <w:jc w:val="center"/>
        </w:trPr>
        <w:tc>
          <w:tcPr>
            <w:tcW w:w="4395" w:type="dxa"/>
          </w:tcPr>
          <w:p w14:paraId="2A0580B4" w14:textId="77777777" w:rsidR="00450A46" w:rsidRDefault="00450A46" w:rsidP="004F2692">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w:t>
      </w:r>
      <w:r>
        <w:rPr>
          <w:bCs/>
          <w:color w:val="000000"/>
        </w:rPr>
        <w:lastRenderedPageBreak/>
        <w:t xml:space="preserve">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w:t>
      </w:r>
      <w:r>
        <w:rPr>
          <w:bCs/>
          <w:color w:val="000000"/>
        </w:rPr>
        <w:lastRenderedPageBreak/>
        <w:t>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lastRenderedPageBreak/>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4F2692">
        <w:trPr>
          <w:jc w:val="center"/>
        </w:trPr>
        <w:tc>
          <w:tcPr>
            <w:tcW w:w="3870" w:type="dxa"/>
            <w:shd w:val="clear" w:color="auto" w:fill="C5E0B3" w:themeFill="accent6" w:themeFillTint="66"/>
          </w:tcPr>
          <w:p w14:paraId="46C1D9F7" w14:textId="77777777" w:rsidR="00450A46" w:rsidRPr="005656D8" w:rsidRDefault="00450A46" w:rsidP="004F2692">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4F2692">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4F2692">
        <w:trPr>
          <w:jc w:val="center"/>
        </w:trPr>
        <w:tc>
          <w:tcPr>
            <w:tcW w:w="3870" w:type="dxa"/>
          </w:tcPr>
          <w:p w14:paraId="6AC75BD4" w14:textId="77777777" w:rsidR="00450A46" w:rsidRPr="00B526B9" w:rsidRDefault="00450A46" w:rsidP="004F2692">
            <w:pPr>
              <w:ind w:left="0"/>
              <w:rPr>
                <w:szCs w:val="22"/>
              </w:rPr>
            </w:pPr>
            <w:r w:rsidRPr="00B526B9">
              <w:rPr>
                <w:szCs w:val="22"/>
              </w:rPr>
              <w:t>Oregon Department of Employment</w:t>
            </w:r>
          </w:p>
          <w:p w14:paraId="7D1ABE09" w14:textId="77777777" w:rsidR="00450A46" w:rsidRPr="005656D8" w:rsidRDefault="00450A46" w:rsidP="004F2692">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4F2692">
            <w:pPr>
              <w:ind w:left="0"/>
              <w:rPr>
                <w:szCs w:val="22"/>
              </w:rPr>
            </w:pPr>
            <w:r w:rsidRPr="00B25866">
              <w:rPr>
                <w:szCs w:val="22"/>
              </w:rPr>
              <w:t>Employment Department</w:t>
            </w:r>
          </w:p>
          <w:p w14:paraId="4AF2F527" w14:textId="77777777" w:rsidR="00450A46" w:rsidRPr="00B25866" w:rsidRDefault="00450A46" w:rsidP="004F2692">
            <w:pPr>
              <w:ind w:left="0"/>
              <w:rPr>
                <w:szCs w:val="22"/>
              </w:rPr>
            </w:pPr>
            <w:r w:rsidRPr="00B25866">
              <w:rPr>
                <w:szCs w:val="22"/>
              </w:rPr>
              <w:t>875 Union Street NE</w:t>
            </w:r>
          </w:p>
          <w:p w14:paraId="65B3AE6F" w14:textId="77777777" w:rsidR="00450A46" w:rsidRPr="00B25866" w:rsidRDefault="00450A46" w:rsidP="004F2692">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4F2692">
        <w:tc>
          <w:tcPr>
            <w:tcW w:w="1255" w:type="dxa"/>
          </w:tcPr>
          <w:p w14:paraId="00EF512B" w14:textId="77777777" w:rsidR="00450A46" w:rsidRPr="00025FEE" w:rsidRDefault="00450A46" w:rsidP="004F2692">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4F2692">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4F2692">
        <w:tc>
          <w:tcPr>
            <w:tcW w:w="1255" w:type="dxa"/>
          </w:tcPr>
          <w:p w14:paraId="19FBF77B" w14:textId="77777777" w:rsidR="00450A46" w:rsidRDefault="00450A46" w:rsidP="004F2692">
            <w:pPr>
              <w:pStyle w:val="ListParagraph"/>
              <w:ind w:left="0" w:right="-432"/>
              <w:jc w:val="center"/>
            </w:pPr>
            <w:r>
              <w:t>5</w:t>
            </w:r>
          </w:p>
        </w:tc>
        <w:tc>
          <w:tcPr>
            <w:tcW w:w="7663" w:type="dxa"/>
          </w:tcPr>
          <w:p w14:paraId="7251DD15" w14:textId="77777777" w:rsidR="00450A46" w:rsidRDefault="00450A46" w:rsidP="004F2692">
            <w:pPr>
              <w:pStyle w:val="ListParagraph"/>
              <w:ind w:left="0" w:right="-432"/>
            </w:pPr>
            <w:r w:rsidRPr="00680EF2">
              <w:t>Open Spaces, Scenic and Historic Areas, and Natural Resources</w:t>
            </w:r>
          </w:p>
        </w:tc>
      </w:tr>
      <w:tr w:rsidR="00450A46" w14:paraId="5E6AEEB1" w14:textId="77777777" w:rsidTr="004F2692">
        <w:tc>
          <w:tcPr>
            <w:tcW w:w="1255" w:type="dxa"/>
          </w:tcPr>
          <w:p w14:paraId="68B30D3F" w14:textId="77777777" w:rsidR="00450A46" w:rsidRDefault="00450A46" w:rsidP="004F2692">
            <w:pPr>
              <w:pStyle w:val="ListParagraph"/>
              <w:ind w:left="0" w:right="-432"/>
              <w:jc w:val="center"/>
            </w:pPr>
            <w:r>
              <w:t>6</w:t>
            </w:r>
          </w:p>
        </w:tc>
        <w:tc>
          <w:tcPr>
            <w:tcW w:w="7663" w:type="dxa"/>
          </w:tcPr>
          <w:p w14:paraId="38102512" w14:textId="77777777" w:rsidR="00450A46" w:rsidRDefault="00450A46" w:rsidP="004F2692">
            <w:pPr>
              <w:tabs>
                <w:tab w:val="right" w:pos="1440"/>
                <w:tab w:val="left" w:pos="1980"/>
              </w:tabs>
              <w:ind w:left="0" w:right="-432"/>
            </w:pPr>
            <w:r w:rsidRPr="00680EF2">
              <w:t>Air, Water and Land Resources Quality</w:t>
            </w:r>
          </w:p>
        </w:tc>
      </w:tr>
      <w:tr w:rsidR="00450A46" w14:paraId="20BD8EC1" w14:textId="77777777" w:rsidTr="004F2692">
        <w:tc>
          <w:tcPr>
            <w:tcW w:w="1255" w:type="dxa"/>
          </w:tcPr>
          <w:p w14:paraId="4753DD42" w14:textId="77777777" w:rsidR="00450A46" w:rsidRDefault="00450A46" w:rsidP="004F2692">
            <w:pPr>
              <w:pStyle w:val="ListParagraph"/>
              <w:ind w:left="0" w:right="-432"/>
              <w:jc w:val="center"/>
            </w:pPr>
            <w:r>
              <w:t>11</w:t>
            </w:r>
          </w:p>
        </w:tc>
        <w:tc>
          <w:tcPr>
            <w:tcW w:w="7663" w:type="dxa"/>
          </w:tcPr>
          <w:p w14:paraId="775C0876" w14:textId="77777777" w:rsidR="00450A46" w:rsidRDefault="00450A46" w:rsidP="004F2692">
            <w:pPr>
              <w:pStyle w:val="ListParagraph"/>
              <w:ind w:left="0" w:right="-432"/>
            </w:pPr>
            <w:r w:rsidRPr="00680EF2">
              <w:t>Public Facilities and Services</w:t>
            </w:r>
          </w:p>
        </w:tc>
      </w:tr>
      <w:tr w:rsidR="00450A46" w14:paraId="05A67873" w14:textId="77777777" w:rsidTr="004F2692">
        <w:tc>
          <w:tcPr>
            <w:tcW w:w="1255" w:type="dxa"/>
          </w:tcPr>
          <w:p w14:paraId="231A4D91" w14:textId="77777777" w:rsidR="00450A46" w:rsidRDefault="00450A46" w:rsidP="004F2692">
            <w:pPr>
              <w:pStyle w:val="ListParagraph"/>
              <w:ind w:left="0" w:right="-432"/>
              <w:jc w:val="center"/>
            </w:pPr>
            <w:r>
              <w:lastRenderedPageBreak/>
              <w:t>16</w:t>
            </w:r>
          </w:p>
        </w:tc>
        <w:tc>
          <w:tcPr>
            <w:tcW w:w="7663" w:type="dxa"/>
          </w:tcPr>
          <w:p w14:paraId="431E8A25" w14:textId="77777777" w:rsidR="00450A46" w:rsidRDefault="00450A46" w:rsidP="004F2692">
            <w:pPr>
              <w:pStyle w:val="ListParagraph"/>
              <w:ind w:left="0" w:right="-432"/>
            </w:pPr>
            <w:r w:rsidRPr="00680EF2">
              <w:t>Estuarial</w:t>
            </w:r>
            <w:r>
              <w:t xml:space="preserve"> R</w:t>
            </w:r>
            <w:r w:rsidRPr="00680EF2">
              <w:t>esources</w:t>
            </w:r>
          </w:p>
        </w:tc>
      </w:tr>
      <w:tr w:rsidR="00450A46" w14:paraId="5F7017DB" w14:textId="77777777" w:rsidTr="004F2692">
        <w:tc>
          <w:tcPr>
            <w:tcW w:w="1255" w:type="dxa"/>
          </w:tcPr>
          <w:p w14:paraId="5E67806F" w14:textId="77777777" w:rsidR="00450A46" w:rsidRDefault="00450A46" w:rsidP="004F2692">
            <w:pPr>
              <w:pStyle w:val="ListParagraph"/>
              <w:ind w:left="0" w:right="-432"/>
              <w:jc w:val="center"/>
            </w:pPr>
            <w:r>
              <w:t>19</w:t>
            </w:r>
          </w:p>
        </w:tc>
        <w:tc>
          <w:tcPr>
            <w:tcW w:w="7663" w:type="dxa"/>
          </w:tcPr>
          <w:p w14:paraId="43B7060E" w14:textId="77777777" w:rsidR="00450A46" w:rsidRDefault="00450A46" w:rsidP="004F2692">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4F2692">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4F2692">
            <w:pPr>
              <w:pStyle w:val="Tableheading"/>
              <w:ind w:left="0" w:right="0"/>
            </w:pPr>
            <w:r>
              <w:rPr>
                <w:sz w:val="32"/>
                <w:szCs w:val="32"/>
              </w:rPr>
              <w:t>Willamette Basin Mercury MDV Rulemaking Advisory Committee</w:t>
            </w:r>
          </w:p>
        </w:tc>
      </w:tr>
      <w:tr w:rsidR="00450A46" w:rsidRPr="005B626A" w14:paraId="3AD4921B" w14:textId="77777777" w:rsidTr="004F2692">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4F2692">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4F2692">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4F2692">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4F2692">
            <w:pPr>
              <w:ind w:left="0" w:right="-432"/>
              <w:rPr>
                <w:szCs w:val="22"/>
              </w:rPr>
            </w:pPr>
            <w:r>
              <w:rPr>
                <w:szCs w:val="22"/>
              </w:rPr>
              <w:t>Association of Clean Water Agencies (Meetings 1-2)</w:t>
            </w:r>
          </w:p>
        </w:tc>
      </w:tr>
      <w:tr w:rsidR="00450A46" w:rsidRPr="005B626A" w14:paraId="7DCAD2FD"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4F2692">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4F2692">
            <w:pPr>
              <w:ind w:left="0" w:right="-432"/>
              <w:rPr>
                <w:szCs w:val="22"/>
              </w:rPr>
            </w:pPr>
            <w:r>
              <w:rPr>
                <w:szCs w:val="22"/>
              </w:rPr>
              <w:t>Trout Unlimited</w:t>
            </w:r>
          </w:p>
        </w:tc>
      </w:tr>
      <w:tr w:rsidR="00450A46" w:rsidRPr="005B626A" w14:paraId="735FF15C"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4F2692">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4F2692">
            <w:pPr>
              <w:ind w:left="0" w:right="-432"/>
              <w:rPr>
                <w:szCs w:val="22"/>
              </w:rPr>
            </w:pPr>
            <w:r>
              <w:rPr>
                <w:szCs w:val="22"/>
              </w:rPr>
              <w:t>Association of Clean Water Agencies (Alternate)</w:t>
            </w:r>
          </w:p>
        </w:tc>
      </w:tr>
      <w:tr w:rsidR="00450A46" w:rsidRPr="005B626A" w14:paraId="78F2DF8C"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4F2692">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4F2692">
            <w:pPr>
              <w:ind w:left="0" w:right="-432"/>
              <w:rPr>
                <w:szCs w:val="22"/>
              </w:rPr>
            </w:pPr>
            <w:r>
              <w:rPr>
                <w:szCs w:val="22"/>
              </w:rPr>
              <w:t>Confederated Tribes of Grand Ronde</w:t>
            </w:r>
          </w:p>
        </w:tc>
      </w:tr>
      <w:tr w:rsidR="00450A46" w:rsidRPr="005B626A" w14:paraId="4B1CF634"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4F2692">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4F2692">
            <w:pPr>
              <w:ind w:left="0" w:right="-432"/>
              <w:rPr>
                <w:szCs w:val="22"/>
              </w:rPr>
            </w:pPr>
            <w:r>
              <w:rPr>
                <w:szCs w:val="22"/>
              </w:rPr>
              <w:t>Earthrise Law Center</w:t>
            </w:r>
          </w:p>
        </w:tc>
      </w:tr>
      <w:tr w:rsidR="00450A46" w:rsidRPr="005B626A" w14:paraId="19557634"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4F2692">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4F2692">
            <w:pPr>
              <w:ind w:left="0" w:right="-432"/>
              <w:rPr>
                <w:szCs w:val="22"/>
              </w:rPr>
            </w:pPr>
            <w:r>
              <w:rPr>
                <w:szCs w:val="22"/>
              </w:rPr>
              <w:t>Association of Clean Water Agencies (Meetings 3-6)</w:t>
            </w:r>
          </w:p>
        </w:tc>
      </w:tr>
      <w:tr w:rsidR="00450A46" w:rsidRPr="005B626A" w14:paraId="5C98E738"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4F2692">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4F2692">
            <w:pPr>
              <w:ind w:left="0" w:right="-432"/>
              <w:rPr>
                <w:szCs w:val="22"/>
              </w:rPr>
            </w:pPr>
            <w:r>
              <w:rPr>
                <w:szCs w:val="22"/>
              </w:rPr>
              <w:t>Oregon Business and Industry</w:t>
            </w:r>
          </w:p>
        </w:tc>
      </w:tr>
      <w:tr w:rsidR="00450A46" w:rsidRPr="005B626A" w14:paraId="625DC0E6" w14:textId="77777777" w:rsidTr="004F2692">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4F2692">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4F2692">
            <w:pPr>
              <w:ind w:left="0" w:right="-432"/>
              <w:rPr>
                <w:szCs w:val="22"/>
              </w:rPr>
            </w:pPr>
            <w:r>
              <w:rPr>
                <w:szCs w:val="22"/>
              </w:rPr>
              <w:t>Benton County Soil and Water Conservation District</w:t>
            </w:r>
          </w:p>
        </w:tc>
      </w:tr>
      <w:tr w:rsidR="00450A46" w:rsidRPr="005B626A" w14:paraId="2C56F832" w14:textId="77777777" w:rsidTr="004F2692">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4F2692">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4F2692">
            <w:pPr>
              <w:ind w:left="0" w:right="-432"/>
              <w:rPr>
                <w:szCs w:val="22"/>
              </w:rPr>
            </w:pPr>
            <w:r>
              <w:rPr>
                <w:szCs w:val="22"/>
              </w:rPr>
              <w:t>Oregon Association of Nurseries</w:t>
            </w:r>
          </w:p>
        </w:tc>
      </w:tr>
      <w:tr w:rsidR="00450A46" w:rsidRPr="005B626A" w14:paraId="6BE74FAD" w14:textId="77777777" w:rsidTr="004F2692">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4F2692">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4F2692">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lastRenderedPageBreak/>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lastRenderedPageBreak/>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lastRenderedPageBreak/>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0" w14:textId="77777777"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14:paraId="3ABC5C01" w14:textId="77777777" w:rsidR="00C961E7" w:rsidRPr="006B7192" w:rsidRDefault="00C961E7" w:rsidP="00C961E7">
      <w:pPr>
        <w:ind w:left="0" w:right="630"/>
        <w:rPr>
          <w:bCs/>
          <w:color w:val="000000" w:themeColor="text1"/>
        </w:rPr>
      </w:pPr>
    </w:p>
    <w:p w14:paraId="3ABC5C02"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3ABC5C03" w14:textId="77777777" w:rsidR="00C961E7" w:rsidRPr="001D0308" w:rsidRDefault="00C961E7" w:rsidP="00C961E7">
      <w:pPr>
        <w:ind w:left="0" w:right="828"/>
        <w:rPr>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5" w14:textId="77777777" w:rsidR="00C961E7" w:rsidRPr="00377FA3" w:rsidRDefault="00C961E7" w:rsidP="00C961E7">
      <w:pPr>
        <w:ind w:left="0" w:right="630"/>
        <w:rPr>
          <w:color w:val="385623" w:themeColor="accent6" w:themeShade="80"/>
        </w:rPr>
      </w:pPr>
    </w:p>
    <w:p w14:paraId="3ABC5C06" w14:textId="77777777" w:rsidR="00C961E7" w:rsidRDefault="00C961E7" w:rsidP="00C961E7">
      <w:pPr>
        <w:ind w:left="0" w:right="835"/>
        <w:rPr>
          <w:rStyle w:val="Emphasis"/>
          <w:caps/>
          <w:vanish w:val="0"/>
          <w:color w:val="806000" w:themeColor="accent4" w:themeShade="80"/>
          <w:sz w:val="24"/>
        </w:rPr>
      </w:pPr>
    </w:p>
    <w:p w14:paraId="3ABC5C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3ABC5C08" w14:textId="77777777" w:rsidR="00C961E7" w:rsidRDefault="00C961E7" w:rsidP="00C961E7">
      <w:pPr>
        <w:ind w:left="0" w:right="835"/>
        <w:rPr>
          <w:rStyle w:val="Emphasis"/>
          <w:vanish w:val="0"/>
          <w:color w:val="806000" w:themeColor="accent4" w:themeShade="80"/>
          <w:sz w:val="32"/>
          <w:szCs w:val="32"/>
        </w:rPr>
      </w:pPr>
    </w:p>
    <w:p w14:paraId="3ABC5C09"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3ABC5C0A" w14:textId="77777777" w:rsidR="00C961E7" w:rsidRDefault="00C961E7" w:rsidP="00C961E7">
      <w:pPr>
        <w:ind w:right="835"/>
        <w:rPr>
          <w:rStyle w:val="Emphasis"/>
          <w:vanish w:val="0"/>
          <w:color w:val="806000" w:themeColor="accent4" w:themeShade="80"/>
          <w:sz w:val="32"/>
          <w:szCs w:val="32"/>
        </w:rPr>
      </w:pPr>
    </w:p>
    <w:p w14:paraId="3ABC5C0B"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lastRenderedPageBreak/>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3ABC5C15" w14:textId="77777777" w:rsidTr="005F45A9">
        <w:trPr>
          <w:trHeight w:val="242"/>
          <w:jc w:val="center"/>
        </w:trPr>
        <w:tc>
          <w:tcPr>
            <w:tcW w:w="1020" w:type="dxa"/>
            <w:tcMar>
              <w:top w:w="43" w:type="dxa"/>
              <w:left w:w="43" w:type="dxa"/>
              <w:bottom w:w="43" w:type="dxa"/>
              <w:right w:w="43" w:type="dxa"/>
            </w:tcMar>
            <w:vAlign w:val="center"/>
          </w:tcPr>
          <w:p w14:paraId="3ABC5C12"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3ABC5C13"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4" w14:textId="77777777" w:rsidR="00C961E7" w:rsidRPr="0007051A" w:rsidRDefault="00C961E7" w:rsidP="005F45A9">
            <w:pPr>
              <w:ind w:left="0" w:right="0"/>
              <w:rPr>
                <w:sz w:val="22"/>
                <w:szCs w:val="22"/>
              </w:rPr>
            </w:pPr>
          </w:p>
        </w:tc>
      </w:tr>
      <w:tr w:rsidR="00C961E7" w:rsidRPr="00E16CB8" w14:paraId="3ABC5C19" w14:textId="77777777" w:rsidTr="005F45A9">
        <w:trPr>
          <w:trHeight w:val="242"/>
          <w:jc w:val="center"/>
        </w:trPr>
        <w:tc>
          <w:tcPr>
            <w:tcW w:w="1020" w:type="dxa"/>
            <w:tcMar>
              <w:top w:w="43" w:type="dxa"/>
              <w:left w:w="43" w:type="dxa"/>
              <w:bottom w:w="43" w:type="dxa"/>
              <w:right w:w="43" w:type="dxa"/>
            </w:tcMar>
            <w:vAlign w:val="center"/>
          </w:tcPr>
          <w:p w14:paraId="3ABC5C16"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3ABC5C17"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8" w14:textId="77777777" w:rsidR="00C961E7" w:rsidRPr="0007051A" w:rsidRDefault="00C961E7" w:rsidP="005F45A9">
            <w:pPr>
              <w:ind w:left="0" w:right="0"/>
              <w:rPr>
                <w:sz w:val="22"/>
                <w:szCs w:val="22"/>
              </w:rPr>
            </w:pPr>
          </w:p>
        </w:tc>
      </w:tr>
      <w:tr w:rsidR="00C961E7" w:rsidRPr="00E16CB8" w14:paraId="3ABC5C1D" w14:textId="77777777" w:rsidTr="005F45A9">
        <w:trPr>
          <w:trHeight w:val="231"/>
          <w:jc w:val="center"/>
        </w:trPr>
        <w:tc>
          <w:tcPr>
            <w:tcW w:w="1020" w:type="dxa"/>
            <w:tcMar>
              <w:top w:w="43" w:type="dxa"/>
              <w:left w:w="43" w:type="dxa"/>
              <w:bottom w:w="43" w:type="dxa"/>
              <w:right w:w="43" w:type="dxa"/>
            </w:tcMar>
            <w:vAlign w:val="center"/>
          </w:tcPr>
          <w:p w14:paraId="3ABC5C1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3ABC5C1B"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C" w14:textId="77777777" w:rsidR="00C961E7" w:rsidRPr="0007051A" w:rsidRDefault="00C961E7" w:rsidP="005F45A9">
            <w:pPr>
              <w:ind w:left="0" w:right="0"/>
              <w:rPr>
                <w:sz w:val="22"/>
                <w:szCs w:val="22"/>
              </w:rPr>
            </w:pP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3ABC5C2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3ABC5C21" w14:textId="77777777" w:rsidR="00C961E7" w:rsidRPr="00377FA3" w:rsidRDefault="00C961E7" w:rsidP="00C961E7">
      <w:pPr>
        <w:ind w:left="0" w:right="828"/>
        <w:rPr>
          <w:bCs/>
          <w:color w:val="806000" w:themeColor="accent4" w:themeShade="80"/>
        </w:rPr>
      </w:pPr>
    </w:p>
    <w:p w14:paraId="3ABC5C22" w14:textId="77777777" w:rsidR="00C961E7" w:rsidRPr="00377FA3" w:rsidRDefault="00C961E7" w:rsidP="00C961E7">
      <w:pPr>
        <w:ind w:right="630"/>
        <w:rPr>
          <w:bCs/>
          <w:color w:val="000000" w:themeColor="text1"/>
        </w:rPr>
      </w:pPr>
    </w:p>
    <w:p w14:paraId="3ABC5C23" w14:textId="55F86985" w:rsidR="00C961E7" w:rsidRPr="00377FA3" w:rsidRDefault="00C961E7" w:rsidP="00C961E7">
      <w:pPr>
        <w:tabs>
          <w:tab w:val="left" w:pos="1080"/>
        </w:tabs>
        <w:ind w:left="0" w:right="634"/>
      </w:pPr>
      <w:r>
        <w:rPr>
          <w:b/>
          <w:bCs/>
        </w:rPr>
        <w:t xml:space="preserve">Comment 1 </w:t>
      </w:r>
      <w:r w:rsidR="0053392F" w:rsidRPr="0053392F">
        <w:rPr>
          <w:sz w:val="22"/>
          <w:szCs w:val="22"/>
        </w:rPr>
        <w:t xml:space="preserve">The change to </w:t>
      </w:r>
      <w:r w:rsidR="0053392F">
        <w:rPr>
          <w:sz w:val="22"/>
          <w:szCs w:val="22"/>
        </w:rPr>
        <w:t>the variance rules m</w:t>
      </w:r>
      <w:r w:rsidR="0053392F" w:rsidRPr="0053392F">
        <w:rPr>
          <w:sz w:val="22"/>
          <w:szCs w:val="22"/>
        </w:rPr>
        <w:t>ake Oregon’s mercury variance process more lenient, in order to make Oregon’s process consistent with federal regulations.</w:t>
      </w:r>
      <w:r w:rsidR="0053392F">
        <w:rPr>
          <w:rFonts w:ascii="Arial" w:hAnsi="Arial" w:cs="Arial"/>
          <w:sz w:val="19"/>
          <w:szCs w:val="19"/>
        </w:rPr>
        <w:t> </w:t>
      </w:r>
    </w:p>
    <w:p w14:paraId="3ABC5C24" w14:textId="77777777" w:rsidR="00C961E7" w:rsidRDefault="00C961E7" w:rsidP="00C961E7">
      <w:pPr>
        <w:pStyle w:val="ListParagraph"/>
        <w:ind w:right="634"/>
        <w:contextualSpacing w:val="0"/>
        <w:rPr>
          <w:bCs/>
          <w:color w:val="000000" w:themeColor="text1"/>
        </w:rPr>
      </w:pPr>
    </w:p>
    <w:p w14:paraId="3ABC5C25" w14:textId="5F31D9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844845">
        <w:rPr>
          <w:bCs/>
          <w:color w:val="000000" w:themeColor="text1"/>
        </w:rPr>
        <w:t>1</w:t>
      </w:r>
      <w:r w:rsidRPr="00377FA3">
        <w:rPr>
          <w:rStyle w:val="Emphasis"/>
          <w:color w:val="806000" w:themeColor="accent4" w:themeShade="80"/>
          <w:sz w:val="24"/>
        </w:rPr>
        <w:t>Cross reference to commenter number or numbers submitted in this category using format ##, ##, ## and ##.</w:t>
      </w:r>
    </w:p>
    <w:p w14:paraId="3ABC5C26" w14:textId="77777777" w:rsidR="00C961E7" w:rsidRDefault="00C961E7" w:rsidP="00C961E7">
      <w:pPr>
        <w:pStyle w:val="ListParagraph"/>
        <w:ind w:right="634"/>
        <w:contextualSpacing w:val="0"/>
        <w:rPr>
          <w:rStyle w:val="Emphasis"/>
          <w:vanish w:val="0"/>
          <w:color w:val="806000" w:themeColor="accent4" w:themeShade="80"/>
          <w:sz w:val="24"/>
        </w:rPr>
      </w:pPr>
    </w:p>
    <w:p w14:paraId="3ABC5C29" w14:textId="77777777" w:rsidR="00C961E7" w:rsidRDefault="00C961E7" w:rsidP="00C961E7">
      <w:pPr>
        <w:ind w:left="0" w:right="630"/>
        <w:rPr>
          <w:b/>
          <w:bCs/>
          <w:color w:val="000000" w:themeColor="text1"/>
        </w:rPr>
      </w:pPr>
      <w:r w:rsidRPr="004646AA">
        <w:rPr>
          <w:b/>
          <w:bCs/>
          <w:color w:val="000000" w:themeColor="text1"/>
        </w:rPr>
        <w:t>Response</w:t>
      </w:r>
    </w:p>
    <w:p w14:paraId="3ABC5C2C" w14:textId="6324F57F" w:rsidR="00C961E7" w:rsidRDefault="00C961E7" w:rsidP="00C961E7">
      <w:pPr>
        <w:ind w:left="0" w:right="630"/>
        <w:rPr>
          <w:bCs/>
          <w:color w:val="000000" w:themeColor="text1"/>
        </w:rPr>
      </w:pPr>
    </w:p>
    <w:p w14:paraId="1BEAFE8D" w14:textId="51CCD169" w:rsidR="0053392F" w:rsidRDefault="0053392F" w:rsidP="00C961E7">
      <w:pPr>
        <w:ind w:left="0" w:right="630"/>
        <w:rPr>
          <w:bCs/>
          <w:color w:val="000000" w:themeColor="text1"/>
        </w:rPr>
      </w:pPr>
      <w:r>
        <w:rPr>
          <w:bCs/>
          <w:color w:val="000000" w:themeColor="text1"/>
        </w:rPr>
        <w:t>DEQ disagrees that the change to the variance rules make Oregon’s process more lenient. As with previous rules, variances are only allowed if one of seven criteria are met.</w:t>
      </w:r>
    </w:p>
    <w:p w14:paraId="547EAE5F" w14:textId="77777777" w:rsidR="0053392F" w:rsidRPr="00377FA3" w:rsidRDefault="0053392F" w:rsidP="00C961E7">
      <w:pPr>
        <w:ind w:left="0" w:right="630"/>
        <w:rPr>
          <w:bCs/>
          <w:color w:val="000000" w:themeColor="text1"/>
        </w:rPr>
      </w:pPr>
    </w:p>
    <w:p w14:paraId="3ABC5C2D" w14:textId="215A6CE6"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r w:rsidR="00844845">
        <w:rPr>
          <w:b/>
          <w:bCs/>
        </w:rPr>
        <w:t xml:space="preserve"> </w:t>
      </w:r>
      <w:r w:rsidR="00844845">
        <w:rPr>
          <w:bCs/>
        </w:rPr>
        <w:t>I disagree with loosening environmental regulations that limit human and environmental exposure to neurotoxins such as mercury.</w:t>
      </w:r>
    </w:p>
    <w:p w14:paraId="3ABC5C2E" w14:textId="77777777" w:rsidR="00C961E7" w:rsidRDefault="00C961E7" w:rsidP="00C961E7">
      <w:pPr>
        <w:pStyle w:val="ListParagraph"/>
        <w:tabs>
          <w:tab w:val="left" w:pos="1080"/>
        </w:tabs>
        <w:ind w:left="0" w:right="634"/>
        <w:contextualSpacing w:val="0"/>
        <w:rPr>
          <w:b/>
          <w:bCs/>
        </w:rPr>
      </w:pPr>
    </w:p>
    <w:p w14:paraId="3ABC5C2F" w14:textId="50B6C0AC"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w:t>
      </w:r>
      <w:r w:rsidR="00844845">
        <w:rPr>
          <w:bCs/>
          <w:color w:val="000000" w:themeColor="text1"/>
        </w:rPr>
        <w:t>in this category from commenter 1</w:t>
      </w:r>
      <w:r w:rsidRPr="00377FA3">
        <w:rPr>
          <w:bCs/>
          <w:color w:val="000000" w:themeColor="text1"/>
        </w:rPr>
        <w:t xml:space="preserve"> </w:t>
      </w:r>
      <w:r w:rsidRPr="00377FA3">
        <w:rPr>
          <w:rStyle w:val="Emphasis"/>
          <w:color w:val="806000" w:themeColor="accent4" w:themeShade="80"/>
          <w:sz w:val="24"/>
        </w:rPr>
        <w:t>Cross reference to commenter number or numbers submitted in this category using format ##, ##, ## and ##.</w:t>
      </w:r>
    </w:p>
    <w:p w14:paraId="3ABC5C31" w14:textId="640329B0"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3ABC5C33" w14:textId="77777777" w:rsidR="00C961E7" w:rsidRDefault="00C961E7" w:rsidP="00C961E7">
      <w:pPr>
        <w:ind w:left="0" w:right="630"/>
        <w:rPr>
          <w:b/>
          <w:bCs/>
          <w:color w:val="000000" w:themeColor="text1"/>
        </w:rPr>
      </w:pPr>
      <w:r w:rsidRPr="004646AA">
        <w:rPr>
          <w:b/>
          <w:bCs/>
          <w:color w:val="000000" w:themeColor="text1"/>
        </w:rPr>
        <w:t>Response</w:t>
      </w:r>
    </w:p>
    <w:p w14:paraId="3ABC5C34"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B613380" w14:textId="7A743C85" w:rsidR="00844845" w:rsidRPr="00844845" w:rsidRDefault="00844845" w:rsidP="00844845">
      <w:pPr>
        <w:ind w:left="0" w:right="630"/>
        <w:rPr>
          <w:bCs/>
          <w:color w:val="806000" w:themeColor="accent4" w:themeShade="80"/>
        </w:rPr>
      </w:pPr>
      <w:r>
        <w:rPr>
          <w:bCs/>
          <w:color w:val="806000" w:themeColor="accent4" w:themeShade="80"/>
        </w:rPr>
        <w:t xml:space="preserve">Federal and state regulations allow variances if one or more of seven criteria are met. In this case, DEQ has concluded that the methylmercury criterion cannot currently be attained due to human caused sources of pollution outside the control of the discharger or the State. Under the variance, dischargers must continue to decrease the amount of mercury that they discharge to the Basin. Therefore, the amount of mercury will continue </w:t>
      </w:r>
      <w:r>
        <w:rPr>
          <w:bCs/>
          <w:color w:val="806000" w:themeColor="accent4" w:themeShade="80"/>
        </w:rPr>
        <w:lastRenderedPageBreak/>
        <w:t>to decrease. Moreover, the proposed mercury variance maintains underlying criteria for methylmercury</w:t>
      </w:r>
      <w:r w:rsidR="0053392F">
        <w:rPr>
          <w:bCs/>
          <w:color w:val="806000" w:themeColor="accent4" w:themeShade="80"/>
        </w:rPr>
        <w:t xml:space="preserve"> for other purposes, such as water quality assessments and TMDLs</w:t>
      </w:r>
      <w:r>
        <w:rPr>
          <w:bCs/>
          <w:color w:val="806000" w:themeColor="accent4" w:themeShade="80"/>
        </w:rPr>
        <w:t xml:space="preserve">. </w:t>
      </w:r>
    </w:p>
    <w:p w14:paraId="3ABC5C35" w14:textId="2B0170B2" w:rsidR="00C961E7" w:rsidRDefault="00844845" w:rsidP="00844845">
      <w:pPr>
        <w:ind w:left="0" w:right="630"/>
        <w:rPr>
          <w:bCs/>
          <w:color w:val="000000" w:themeColor="text1"/>
        </w:rPr>
      </w:pPr>
      <w:r w:rsidRPr="00377FA3">
        <w:rPr>
          <w:rStyle w:val="Emphasis"/>
          <w:caps/>
          <w:color w:val="806000" w:themeColor="accent4" w:themeShade="80"/>
          <w:sz w:val="24"/>
        </w:rPr>
        <w:t xml:space="preserve"> </w:t>
      </w:r>
      <w:r w:rsidR="00C961E7" w:rsidRPr="00377FA3">
        <w:rPr>
          <w:rStyle w:val="Emphasis"/>
          <w:caps/>
          <w:color w:val="806000" w:themeColor="accent4" w:themeShade="80"/>
          <w:sz w:val="24"/>
        </w:rPr>
        <w:t>Enter DEQ’s response to this category of comments.</w:t>
      </w:r>
    </w:p>
    <w:p w14:paraId="3ABC5C36" w14:textId="77777777" w:rsidR="00C961E7" w:rsidRPr="00377FA3" w:rsidRDefault="00C961E7" w:rsidP="00C961E7">
      <w:pPr>
        <w:ind w:left="0" w:right="630"/>
        <w:rPr>
          <w:bCs/>
          <w:color w:val="000000" w:themeColor="text1"/>
        </w:rPr>
      </w:pPr>
    </w:p>
    <w:p w14:paraId="3ABC5C37" w14:textId="5760A54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r w:rsidR="0053392F">
        <w:rPr>
          <w:b/>
          <w:bCs/>
        </w:rPr>
        <w:t xml:space="preserve"> </w:t>
      </w:r>
      <w:r w:rsidR="0053392F" w:rsidRPr="0053392F">
        <w:rPr>
          <w:bCs/>
        </w:rPr>
        <w:t>DEQ should</w:t>
      </w:r>
      <w:r w:rsidR="0053392F">
        <w:rPr>
          <w:b/>
          <w:bCs/>
        </w:rPr>
        <w:t xml:space="preserve"> </w:t>
      </w:r>
      <w:r w:rsidR="0053392F" w:rsidRPr="0053392F">
        <w:rPr>
          <w:bCs/>
        </w:rPr>
        <w:t>provide variances to suction dredge miners.</w:t>
      </w:r>
    </w:p>
    <w:p w14:paraId="3ABC5C38" w14:textId="77777777" w:rsidR="00C961E7" w:rsidRDefault="00C961E7" w:rsidP="00C961E7">
      <w:pPr>
        <w:pStyle w:val="ListParagraph"/>
        <w:tabs>
          <w:tab w:val="left" w:pos="1080"/>
        </w:tabs>
        <w:ind w:left="0" w:right="634"/>
        <w:contextualSpacing w:val="0"/>
        <w:rPr>
          <w:b/>
          <w:bCs/>
        </w:rPr>
      </w:pPr>
    </w:p>
    <w:p w14:paraId="3ABC5C39" w14:textId="63C798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53392F">
        <w:rPr>
          <w:bCs/>
          <w:color w:val="000000" w:themeColor="text1"/>
        </w:rPr>
        <w:t>2</w:t>
      </w:r>
      <w:r w:rsidRPr="00377FA3">
        <w:rPr>
          <w:rStyle w:val="Emphasis"/>
          <w:color w:val="806000" w:themeColor="accent4" w:themeShade="80"/>
          <w:sz w:val="24"/>
        </w:rPr>
        <w:t>Cross reference to commenter number or numbers submitted in this category using format ##, ##, ## and ##.</w:t>
      </w:r>
    </w:p>
    <w:p w14:paraId="3ABC5C3B" w14:textId="3C94B334"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3ABC5C3C" w14:textId="77777777" w:rsidR="00C961E7" w:rsidRPr="00377FA3" w:rsidRDefault="00C961E7" w:rsidP="00C961E7">
      <w:pPr>
        <w:pStyle w:val="ListParagraph"/>
        <w:ind w:right="634"/>
        <w:contextualSpacing w:val="0"/>
        <w:rPr>
          <w:bCs/>
          <w:color w:val="806000" w:themeColor="accent4" w:themeShade="80"/>
        </w:rPr>
      </w:pPr>
    </w:p>
    <w:p w14:paraId="3ABC5C3D" w14:textId="77777777" w:rsidR="00C961E7" w:rsidRDefault="00C961E7" w:rsidP="00C961E7">
      <w:pPr>
        <w:ind w:left="0" w:right="630"/>
        <w:rPr>
          <w:b/>
          <w:bCs/>
          <w:color w:val="000000" w:themeColor="text1"/>
        </w:rPr>
      </w:pPr>
      <w:r w:rsidRPr="004646AA">
        <w:rPr>
          <w:b/>
          <w:bCs/>
          <w:color w:val="000000" w:themeColor="text1"/>
        </w:rPr>
        <w:t>Response</w:t>
      </w:r>
    </w:p>
    <w:p w14:paraId="5EF494CD" w14:textId="77777777" w:rsidR="0053392F" w:rsidRDefault="0053392F" w:rsidP="0053392F">
      <w:pPr>
        <w:ind w:right="630"/>
        <w:rPr>
          <w:b/>
          <w:bCs/>
          <w:color w:val="806000" w:themeColor="accent4" w:themeShade="80"/>
        </w:rPr>
      </w:pPr>
    </w:p>
    <w:p w14:paraId="3ABC5C3F" w14:textId="0B2B3194" w:rsidR="00C961E7" w:rsidRPr="0053392F" w:rsidRDefault="0053392F" w:rsidP="0053392F">
      <w:pPr>
        <w:ind w:left="0" w:right="630"/>
        <w:rPr>
          <w:bCs/>
          <w:color w:val="806000" w:themeColor="accent4" w:themeShade="80"/>
        </w:rPr>
      </w:pPr>
      <w:r w:rsidRPr="0053392F">
        <w:rPr>
          <w:bCs/>
          <w:color w:val="806000" w:themeColor="accent4" w:themeShade="80"/>
        </w:rPr>
        <w:t>This comment is not relevant to this rulemaking, which grants a multiple discharger variance to individual wastewater dischargers covered under the NPDES program.</w:t>
      </w:r>
      <w:r>
        <w:rPr>
          <w:bCs/>
          <w:color w:val="806000" w:themeColor="accent4" w:themeShade="80"/>
        </w:rPr>
        <w:t xml:space="preserve"> Variances are only necessary for such dischargers, which would otherwise have effluent limits for mercury that are not attainable for the reason justified under the variance.</w:t>
      </w:r>
      <w:r w:rsidR="00C961E7" w:rsidRPr="0053392F">
        <w:rPr>
          <w:rStyle w:val="Emphasis"/>
          <w:caps/>
          <w:color w:val="auto"/>
          <w:sz w:val="24"/>
        </w:rPr>
        <w:t>Enter DEQ’s response to this category of comments.</w:t>
      </w:r>
    </w:p>
    <w:p w14:paraId="3ABC5C40" w14:textId="77777777" w:rsidR="00C961E7" w:rsidRPr="00377FA3" w:rsidRDefault="00C961E7" w:rsidP="00C961E7">
      <w:pPr>
        <w:pStyle w:val="ListParagraph"/>
        <w:spacing w:after="120"/>
        <w:ind w:left="2160" w:right="630"/>
        <w:rPr>
          <w:bCs/>
          <w:color w:val="000000" w:themeColor="text1"/>
        </w:rPr>
      </w:pPr>
    </w:p>
    <w:p w14:paraId="3ABC5C41"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490121554"/>
            <w:r w:rsidRPr="00276752">
              <w:lastRenderedPageBreak/>
              <w:t>Commenters</w:t>
            </w:r>
            <w:bookmarkEnd w:id="1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844845">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083"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962"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78"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3ABC5C69" w14:textId="77777777" w:rsidTr="00844845">
        <w:trPr>
          <w:trHeight w:val="598"/>
          <w:jc w:val="center"/>
        </w:trPr>
        <w:tc>
          <w:tcPr>
            <w:tcW w:w="588" w:type="dxa"/>
            <w:tcMar>
              <w:top w:w="43" w:type="dxa"/>
              <w:left w:w="43" w:type="dxa"/>
              <w:bottom w:w="43" w:type="dxa"/>
              <w:right w:w="43" w:type="dxa"/>
            </w:tcMar>
            <w:vAlign w:val="center"/>
          </w:tcPr>
          <w:p w14:paraId="3ABC5C64"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083" w:type="dxa"/>
            <w:vAlign w:val="center"/>
          </w:tcPr>
          <w:p w14:paraId="3ABC5C65" w14:textId="7DB02BFE" w:rsidR="00C961E7" w:rsidRPr="0007051A" w:rsidRDefault="00844845" w:rsidP="005F45A9">
            <w:pPr>
              <w:ind w:left="0" w:right="0"/>
              <w:rPr>
                <w:sz w:val="22"/>
                <w:szCs w:val="22"/>
              </w:rPr>
            </w:pPr>
            <w:r>
              <w:rPr>
                <w:sz w:val="22"/>
                <w:szCs w:val="22"/>
              </w:rPr>
              <w:t>Diana Tesh</w:t>
            </w:r>
          </w:p>
        </w:tc>
        <w:tc>
          <w:tcPr>
            <w:tcW w:w="2962" w:type="dxa"/>
            <w:tcMar>
              <w:top w:w="43" w:type="dxa"/>
              <w:left w:w="43" w:type="dxa"/>
              <w:bottom w:w="43" w:type="dxa"/>
              <w:right w:w="43" w:type="dxa"/>
            </w:tcMar>
            <w:vAlign w:val="center"/>
          </w:tcPr>
          <w:p w14:paraId="3ABC5C66" w14:textId="3B38D838"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67" w14:textId="7A0E1CCD" w:rsidR="00C961E7" w:rsidRPr="0007051A" w:rsidRDefault="00C961E7" w:rsidP="005F45A9">
            <w:pPr>
              <w:ind w:left="0" w:right="0"/>
              <w:rPr>
                <w:sz w:val="22"/>
                <w:szCs w:val="22"/>
              </w:rPr>
            </w:pPr>
          </w:p>
        </w:tc>
        <w:tc>
          <w:tcPr>
            <w:tcW w:w="1038" w:type="dxa"/>
            <w:vAlign w:val="center"/>
          </w:tcPr>
          <w:p w14:paraId="3ABC5C68" w14:textId="77777777" w:rsidR="00C961E7" w:rsidRPr="0007051A" w:rsidRDefault="00C961E7" w:rsidP="005F45A9">
            <w:pPr>
              <w:ind w:left="0" w:right="0"/>
              <w:rPr>
                <w:sz w:val="22"/>
                <w:szCs w:val="22"/>
              </w:rPr>
            </w:pPr>
          </w:p>
        </w:tc>
      </w:tr>
      <w:tr w:rsidR="00C961E7" w:rsidRPr="00E16CB8" w14:paraId="3ABC5C6F" w14:textId="77777777" w:rsidTr="00844845">
        <w:trPr>
          <w:trHeight w:val="598"/>
          <w:jc w:val="center"/>
        </w:trPr>
        <w:tc>
          <w:tcPr>
            <w:tcW w:w="588" w:type="dxa"/>
            <w:tcMar>
              <w:top w:w="43" w:type="dxa"/>
              <w:left w:w="43" w:type="dxa"/>
              <w:bottom w:w="43" w:type="dxa"/>
              <w:right w:w="43" w:type="dxa"/>
            </w:tcMar>
            <w:vAlign w:val="center"/>
          </w:tcPr>
          <w:p w14:paraId="3ABC5C6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083" w:type="dxa"/>
            <w:vAlign w:val="center"/>
          </w:tcPr>
          <w:p w14:paraId="3ABC5C6B" w14:textId="7B3CDE79" w:rsidR="00C961E7" w:rsidRPr="0007051A" w:rsidRDefault="00844845" w:rsidP="005F45A9">
            <w:pPr>
              <w:ind w:left="0" w:right="0"/>
              <w:rPr>
                <w:sz w:val="22"/>
                <w:szCs w:val="22"/>
              </w:rPr>
            </w:pPr>
            <w:r>
              <w:rPr>
                <w:sz w:val="22"/>
                <w:szCs w:val="22"/>
              </w:rPr>
              <w:t>Tom Quintal</w:t>
            </w:r>
          </w:p>
        </w:tc>
        <w:tc>
          <w:tcPr>
            <w:tcW w:w="2962" w:type="dxa"/>
            <w:tcMar>
              <w:top w:w="43" w:type="dxa"/>
              <w:left w:w="43" w:type="dxa"/>
              <w:bottom w:w="43" w:type="dxa"/>
              <w:right w:w="43" w:type="dxa"/>
            </w:tcMar>
            <w:vAlign w:val="center"/>
          </w:tcPr>
          <w:p w14:paraId="3ABC5C6C" w14:textId="201E4BA0"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6D" w14:textId="143A6AC2" w:rsidR="00C961E7" w:rsidRPr="0007051A" w:rsidRDefault="00C961E7" w:rsidP="005F45A9">
            <w:pPr>
              <w:ind w:left="0" w:right="0"/>
              <w:rPr>
                <w:sz w:val="22"/>
                <w:szCs w:val="22"/>
              </w:rPr>
            </w:pPr>
          </w:p>
        </w:tc>
        <w:tc>
          <w:tcPr>
            <w:tcW w:w="1038" w:type="dxa"/>
            <w:vAlign w:val="center"/>
          </w:tcPr>
          <w:p w14:paraId="3ABC5C6E" w14:textId="77777777" w:rsidR="00C961E7" w:rsidRPr="0007051A" w:rsidRDefault="00C961E7" w:rsidP="005F45A9">
            <w:pPr>
              <w:ind w:left="0" w:right="0"/>
              <w:rPr>
                <w:sz w:val="22"/>
                <w:szCs w:val="22"/>
              </w:rPr>
            </w:pPr>
          </w:p>
        </w:tc>
      </w:tr>
      <w:tr w:rsidR="00C961E7" w:rsidRPr="00E16CB8" w14:paraId="3ABC5C75" w14:textId="77777777" w:rsidTr="00844845">
        <w:trPr>
          <w:trHeight w:val="520"/>
          <w:jc w:val="center"/>
        </w:trPr>
        <w:tc>
          <w:tcPr>
            <w:tcW w:w="588" w:type="dxa"/>
            <w:tcMar>
              <w:top w:w="43" w:type="dxa"/>
              <w:left w:w="43" w:type="dxa"/>
              <w:bottom w:w="43" w:type="dxa"/>
              <w:right w:w="43" w:type="dxa"/>
            </w:tcMar>
            <w:vAlign w:val="center"/>
          </w:tcPr>
          <w:p w14:paraId="3ABC5C70"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083" w:type="dxa"/>
            <w:vAlign w:val="center"/>
          </w:tcPr>
          <w:p w14:paraId="3ABC5C71" w14:textId="76C4BF69" w:rsidR="00C961E7" w:rsidRPr="0007051A" w:rsidRDefault="00C961E7" w:rsidP="005F45A9">
            <w:pPr>
              <w:ind w:left="0" w:right="0"/>
              <w:rPr>
                <w:sz w:val="22"/>
                <w:szCs w:val="22"/>
              </w:rPr>
            </w:pPr>
          </w:p>
        </w:tc>
        <w:tc>
          <w:tcPr>
            <w:tcW w:w="2962" w:type="dxa"/>
            <w:tcMar>
              <w:top w:w="43" w:type="dxa"/>
              <w:left w:w="43" w:type="dxa"/>
              <w:bottom w:w="43" w:type="dxa"/>
              <w:right w:w="43" w:type="dxa"/>
            </w:tcMar>
            <w:vAlign w:val="center"/>
          </w:tcPr>
          <w:p w14:paraId="3ABC5C72" w14:textId="239FF6C7"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73" w14:textId="7C3145C0" w:rsidR="00C961E7" w:rsidRPr="0007051A" w:rsidRDefault="00C961E7" w:rsidP="005F45A9">
            <w:pPr>
              <w:ind w:left="0" w:right="0"/>
              <w:rPr>
                <w:sz w:val="22"/>
                <w:szCs w:val="22"/>
              </w:rPr>
            </w:pPr>
          </w:p>
        </w:tc>
        <w:tc>
          <w:tcPr>
            <w:tcW w:w="1038" w:type="dxa"/>
            <w:vAlign w:val="center"/>
          </w:tcPr>
          <w:p w14:paraId="3ABC5C74" w14:textId="77777777" w:rsidR="00C961E7" w:rsidRPr="0007051A" w:rsidRDefault="00C961E7" w:rsidP="005F45A9">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6" w:name="_Toc490121556"/>
            <w:r w:rsidRPr="001D0308">
              <w:lastRenderedPageBreak/>
              <w:t>Five-year review</w:t>
            </w:r>
            <w:bookmarkEnd w:id="1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bookmarkStart w:id="17" w:name="_GoBack"/>
      <w:bookmarkEnd w:id="17"/>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1337AC" w:rsidRDefault="001337AC" w:rsidP="002D6C99">
      <w:r>
        <w:separator/>
      </w:r>
    </w:p>
  </w:endnote>
  <w:endnote w:type="continuationSeparator" w:id="0">
    <w:p w14:paraId="3ABC5CD7" w14:textId="77777777" w:rsidR="001337AC" w:rsidRDefault="001337A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1337AC" w:rsidRDefault="001337AC" w:rsidP="002D6C99">
    <w:pPr>
      <w:pStyle w:val="Footer"/>
    </w:pPr>
  </w:p>
  <w:p w14:paraId="3ABC5CD9" w14:textId="23EE187C" w:rsidR="001337AC" w:rsidRPr="002B4E71" w:rsidRDefault="001337AC" w:rsidP="002D6C99">
    <w:pPr>
      <w:pStyle w:val="Footer"/>
    </w:pPr>
    <w:r>
      <w:t>Staff Report</w:t>
    </w:r>
    <w:r w:rsidRPr="002B4E71">
      <w:t xml:space="preserve"> page | </w:t>
    </w:r>
    <w:r>
      <w:fldChar w:fldCharType="begin"/>
    </w:r>
    <w:r>
      <w:instrText xml:space="preserve"> PAGE   \* MERGEFORMAT </w:instrText>
    </w:r>
    <w:r>
      <w:fldChar w:fldCharType="separate"/>
    </w:r>
    <w:r w:rsidR="00781BFB">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1337AC" w:rsidRDefault="001337AC" w:rsidP="002D6C99">
      <w:r>
        <w:separator/>
      </w:r>
    </w:p>
  </w:footnote>
  <w:footnote w:type="continuationSeparator" w:id="0">
    <w:p w14:paraId="3ABC5CD5" w14:textId="77777777" w:rsidR="001337AC" w:rsidRDefault="001337AC"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2"/>
  </w:num>
  <w:num w:numId="4">
    <w:abstractNumId w:val="23"/>
  </w:num>
  <w:num w:numId="5">
    <w:abstractNumId w:val="22"/>
  </w:num>
  <w:num w:numId="6">
    <w:abstractNumId w:val="28"/>
  </w:num>
  <w:num w:numId="7">
    <w:abstractNumId w:val="31"/>
  </w:num>
  <w:num w:numId="8">
    <w:abstractNumId w:val="13"/>
  </w:num>
  <w:num w:numId="9">
    <w:abstractNumId w:val="17"/>
  </w:num>
  <w:num w:numId="10">
    <w:abstractNumId w:val="11"/>
  </w:num>
  <w:num w:numId="11">
    <w:abstractNumId w:val="12"/>
  </w:num>
  <w:num w:numId="12">
    <w:abstractNumId w:val="29"/>
  </w:num>
  <w:num w:numId="13">
    <w:abstractNumId w:val="24"/>
  </w:num>
  <w:num w:numId="14">
    <w:abstractNumId w:val="10"/>
  </w:num>
  <w:num w:numId="15">
    <w:abstractNumId w:val="36"/>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0"/>
  </w:num>
  <w:num w:numId="28">
    <w:abstractNumId w:val="14"/>
  </w:num>
  <w:num w:numId="29">
    <w:abstractNumId w:val="27"/>
  </w:num>
  <w:num w:numId="30">
    <w:abstractNumId w:val="33"/>
  </w:num>
  <w:num w:numId="31">
    <w:abstractNumId w:val="21"/>
  </w:num>
  <w:num w:numId="32">
    <w:abstractNumId w:val="15"/>
  </w:num>
  <w:num w:numId="33">
    <w:abstractNumId w:val="26"/>
  </w:num>
  <w:num w:numId="34">
    <w:abstractNumId w:val="16"/>
  </w:num>
  <w:num w:numId="35">
    <w:abstractNumId w:val="20"/>
  </w:num>
  <w:num w:numId="36">
    <w:abstractNumId w:val="19"/>
  </w:num>
  <w:num w:numId="3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39917A1F-F70E-45A8-A293-46382A09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34</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32</cp:revision>
  <cp:lastPrinted>2013-02-28T21:12:00Z</cp:lastPrinted>
  <dcterms:created xsi:type="dcterms:W3CDTF">2017-05-09T17:00:00Z</dcterms:created>
  <dcterms:modified xsi:type="dcterms:W3CDTF">2019-10-30T20:54:00Z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