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 xml:space="preserve">The Notice of Rulemaking and EQC Staff Report </w:t>
      </w:r>
      <w:proofErr w:type="gramStart"/>
      <w:r>
        <w:t>must also be reviewed and approved by the relevant Division Administrator</w:t>
      </w:r>
      <w:proofErr w:type="gramEnd"/>
      <w:r>
        <w:t>.</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 xml:space="preserve">mm </w:t>
      </w:r>
      <w:proofErr w:type="spellStart"/>
      <w:r w:rsidRPr="003C489B">
        <w:rPr>
          <w:rStyle w:val="Emphasis"/>
          <w:rFonts w:ascii="Arial" w:hAnsi="Arial" w:cs="Arial"/>
          <w:color w:val="525252" w:themeColor="accent3" w:themeShade="80"/>
          <w:szCs w:val="28"/>
        </w:rPr>
        <w:t>dd</w:t>
      </w:r>
      <w:proofErr w:type="spellEnd"/>
      <w:r w:rsidRPr="003C489B">
        <w:rPr>
          <w:rStyle w:val="Emphasis"/>
          <w:rFonts w:ascii="Arial" w:hAnsi="Arial" w:cs="Arial"/>
          <w:color w:val="525252" w:themeColor="accent3" w:themeShade="80"/>
          <w:szCs w:val="28"/>
        </w:rPr>
        <w:t xml:space="preserve">, </w:t>
      </w:r>
      <w:proofErr w:type="spellStart"/>
      <w:r w:rsidRPr="003C489B">
        <w:rPr>
          <w:rStyle w:val="Emphasis"/>
          <w:rFonts w:ascii="Arial" w:hAnsi="Arial" w:cs="Arial"/>
          <w:color w:val="525252" w:themeColor="accent3" w:themeShade="80"/>
          <w:szCs w:val="28"/>
        </w:rPr>
        <w:t>yyyy</w:t>
      </w:r>
      <w:proofErr w:type="spellEnd"/>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lastRenderedPageBreak/>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3ABC5B31"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3ABC5B32"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3ABC5B33"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3ABC5B34"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3ABC5B35"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3ABC5B36"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3ABC5B37"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3ABC5B38"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3ABC5B39"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3ABC5B3A"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3ABC5B3B"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3ABC5B3C"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3ABC5B3D"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3ABC5B3E"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3ABC5B3F"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3ABC5B40"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3ABC5B41" w14:textId="77777777" w:rsidR="0064316E" w:rsidRDefault="0003493F">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lastRenderedPageBreak/>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lastRenderedPageBreak/>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 xml:space="preserve">DEQ does not expect that the changes to the variance authorization rule will have any fiscal or economic impact, as these changes are simply ensuring that DEQ’s variance rules are consistent </w:t>
      </w:r>
      <w:r>
        <w:lastRenderedPageBreak/>
        <w:t>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w:t>
      </w:r>
      <w:r>
        <w:lastRenderedPageBreak/>
        <w:t>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03493F"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03493F"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03493F"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03493F"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 xml:space="preserve">U.S. Environmental Protection Agency. 2010. Guidance for Implementing the January 2001 Methylmercury Water Quality Criterion. Office of Science and Technology. Washington, DC. </w:t>
            </w:r>
            <w:r>
              <w:lastRenderedPageBreak/>
              <w:t>EPA 823-R-10-001. 221 pp.</w:t>
            </w:r>
          </w:p>
        </w:tc>
        <w:tc>
          <w:tcPr>
            <w:tcW w:w="4500" w:type="dxa"/>
          </w:tcPr>
          <w:p w14:paraId="6219F8BA" w14:textId="77777777" w:rsidR="00450A46" w:rsidRPr="001302BD" w:rsidRDefault="0003493F"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03493F"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03493F"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03493F"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 xml:space="preserve">Amos et al, 2013. Legacy impacts of all-time anthropogenic emissions on the global mercury cycle. BIOGEOCHEMICAL CYCLES, VOL. </w:t>
            </w:r>
            <w:r w:rsidRPr="001302BD">
              <w:lastRenderedPageBreak/>
              <w:t>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03493F"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03493F"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03493F"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03493F"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03493F"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03493F"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03493F"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03493F"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 xml:space="preserve">City of Oshkosh, Wisconsin. 2018. </w:t>
            </w:r>
            <w:r>
              <w:lastRenderedPageBreak/>
              <w:t>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w:t>
            </w:r>
            <w:r w:rsidRPr="00D63523">
              <w:rPr>
                <w:noProof/>
              </w:rPr>
              <w:lastRenderedPageBreak/>
              <w:t xml:space="preserve">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lastRenderedPageBreak/>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either have to do an HAC </w:t>
      </w:r>
      <w:r>
        <w:rPr>
          <w:bCs/>
          <w:color w:val="000000"/>
        </w:rPr>
        <w:lastRenderedPageBreak/>
        <w:t>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lastRenderedPageBreak/>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lastRenderedPageBreak/>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lastRenderedPageBreak/>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lastRenderedPageBreak/>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w:t>
      </w:r>
      <w:r>
        <w:lastRenderedPageBreak/>
        <w:t xml:space="preserve">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w:t>
      </w:r>
      <w:r>
        <w:lastRenderedPageBreak/>
        <w:t xml:space="preserve">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lastRenderedPageBreak/>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 xml:space="preserve">Kathryn </w:t>
            </w:r>
            <w:proofErr w:type="spellStart"/>
            <w:r>
              <w:rPr>
                <w:szCs w:val="22"/>
              </w:rPr>
              <w:t>VanNatta</w:t>
            </w:r>
            <w:proofErr w:type="spellEnd"/>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 xml:space="preserve">DEQ </w:t>
      </w:r>
      <w:proofErr w:type="spellStart"/>
      <w:r w:rsidRPr="00F51795">
        <w:rPr>
          <w:bCs/>
          <w:color w:val="000000" w:themeColor="text1"/>
        </w:rPr>
        <w:t>held</w:t>
      </w:r>
      <w:r w:rsidRPr="00F51795">
        <w:rPr>
          <w:rStyle w:val="Emphasis"/>
          <w:color w:val="000000" w:themeColor="text1"/>
          <w:sz w:val="24"/>
        </w:rPr>
        <w:t>one</w:t>
      </w:r>
      <w:proofErr w:type="spellEnd"/>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lastRenderedPageBreak/>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lastRenderedPageBreak/>
        <w:t>  </w:t>
      </w:r>
    </w:p>
    <w:p w14:paraId="3ABC5BFE"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0" w14:textId="77777777" w:rsidR="00C961E7" w:rsidRPr="001D0308" w:rsidRDefault="00C961E7" w:rsidP="00C961E7">
      <w:pPr>
        <w:ind w:left="0" w:right="630"/>
        <w:rPr>
          <w:bCs/>
          <w:color w:val="806000" w:themeColor="accent4" w:themeShade="80"/>
        </w:rPr>
      </w:pPr>
      <w:r>
        <w:rPr>
          <w:bCs/>
          <w:color w:val="806000" w:themeColor="accent4" w:themeShade="80"/>
        </w:rPr>
        <w:t>Select one of the following two statements:</w:t>
      </w:r>
    </w:p>
    <w:p w14:paraId="3ABC5C01" w14:textId="77777777" w:rsidR="00C961E7" w:rsidRPr="006B7192" w:rsidRDefault="00C961E7" w:rsidP="00C961E7">
      <w:pPr>
        <w:ind w:left="0" w:right="630"/>
        <w:rPr>
          <w:bCs/>
          <w:color w:val="000000" w:themeColor="text1"/>
        </w:rPr>
      </w:pPr>
    </w:p>
    <w:p w14:paraId="3ABC5C02" w14:textId="77777777"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14:paraId="3ABC5C03" w14:textId="77777777" w:rsidR="00C961E7" w:rsidRPr="001D0308" w:rsidRDefault="00C961E7" w:rsidP="00C961E7">
      <w:pPr>
        <w:ind w:left="0" w:right="828"/>
        <w:rPr>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5" w14:textId="77777777" w:rsidR="00C961E7" w:rsidRPr="00377FA3" w:rsidRDefault="00C961E7" w:rsidP="00C961E7">
      <w:pPr>
        <w:ind w:left="0" w:right="630"/>
        <w:rPr>
          <w:color w:val="385623" w:themeColor="accent6" w:themeShade="80"/>
        </w:rPr>
      </w:pPr>
    </w:p>
    <w:p w14:paraId="3ABC5C06" w14:textId="77777777" w:rsidR="00C961E7" w:rsidRDefault="00C961E7" w:rsidP="00C961E7">
      <w:pPr>
        <w:ind w:left="0" w:right="835"/>
        <w:rPr>
          <w:rStyle w:val="Emphasis"/>
          <w:caps/>
          <w:vanish w:val="0"/>
          <w:color w:val="806000" w:themeColor="accent4" w:themeShade="80"/>
          <w:sz w:val="24"/>
        </w:rPr>
      </w:pPr>
    </w:p>
    <w:p w14:paraId="3ABC5C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3ABC5C08" w14:textId="77777777" w:rsidR="00C961E7" w:rsidRDefault="00C961E7" w:rsidP="00C961E7">
      <w:pPr>
        <w:ind w:left="0" w:right="835"/>
        <w:rPr>
          <w:rStyle w:val="Emphasis"/>
          <w:vanish w:val="0"/>
          <w:color w:val="806000" w:themeColor="accent4" w:themeShade="80"/>
          <w:sz w:val="32"/>
          <w:szCs w:val="32"/>
        </w:rPr>
      </w:pPr>
    </w:p>
    <w:p w14:paraId="3ABC5C09"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3ABC5C0A" w14:textId="77777777" w:rsidR="00C961E7" w:rsidRDefault="00C961E7" w:rsidP="00C961E7">
      <w:pPr>
        <w:ind w:right="835"/>
        <w:rPr>
          <w:rStyle w:val="Emphasis"/>
          <w:vanish w:val="0"/>
          <w:color w:val="806000" w:themeColor="accent4" w:themeShade="80"/>
          <w:sz w:val="32"/>
          <w:szCs w:val="32"/>
        </w:rPr>
      </w:pPr>
    </w:p>
    <w:p w14:paraId="3ABC5C0B"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14:paraId="3ABC5C15" w14:textId="77777777" w:rsidTr="005F45A9">
        <w:trPr>
          <w:trHeight w:val="242"/>
          <w:jc w:val="center"/>
        </w:trPr>
        <w:tc>
          <w:tcPr>
            <w:tcW w:w="1020" w:type="dxa"/>
            <w:tcMar>
              <w:top w:w="43" w:type="dxa"/>
              <w:left w:w="43" w:type="dxa"/>
              <w:bottom w:w="43" w:type="dxa"/>
              <w:right w:w="43" w:type="dxa"/>
            </w:tcMar>
            <w:vAlign w:val="center"/>
          </w:tcPr>
          <w:p w14:paraId="3ABC5C12"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14:paraId="3ABC5C13"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4" w14:textId="77777777" w:rsidR="00C961E7" w:rsidRPr="0007051A" w:rsidRDefault="00C961E7" w:rsidP="005F45A9">
            <w:pPr>
              <w:ind w:left="0" w:right="0"/>
              <w:rPr>
                <w:sz w:val="22"/>
                <w:szCs w:val="22"/>
              </w:rPr>
            </w:pPr>
          </w:p>
        </w:tc>
      </w:tr>
      <w:tr w:rsidR="00C961E7" w:rsidRPr="00E16CB8" w14:paraId="3ABC5C19" w14:textId="77777777" w:rsidTr="005F45A9">
        <w:trPr>
          <w:trHeight w:val="242"/>
          <w:jc w:val="center"/>
        </w:trPr>
        <w:tc>
          <w:tcPr>
            <w:tcW w:w="1020" w:type="dxa"/>
            <w:tcMar>
              <w:top w:w="43" w:type="dxa"/>
              <w:left w:w="43" w:type="dxa"/>
              <w:bottom w:w="43" w:type="dxa"/>
              <w:right w:w="43" w:type="dxa"/>
            </w:tcMar>
            <w:vAlign w:val="center"/>
          </w:tcPr>
          <w:p w14:paraId="3ABC5C16"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lastRenderedPageBreak/>
              <w:t>2</w:t>
            </w:r>
          </w:p>
        </w:tc>
        <w:tc>
          <w:tcPr>
            <w:tcW w:w="6441" w:type="dxa"/>
            <w:vAlign w:val="center"/>
          </w:tcPr>
          <w:p w14:paraId="3ABC5C17"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8" w14:textId="77777777" w:rsidR="00C961E7" w:rsidRPr="0007051A" w:rsidRDefault="00C961E7" w:rsidP="005F45A9">
            <w:pPr>
              <w:ind w:left="0" w:right="0"/>
              <w:rPr>
                <w:sz w:val="22"/>
                <w:szCs w:val="22"/>
              </w:rPr>
            </w:pPr>
          </w:p>
        </w:tc>
      </w:tr>
      <w:tr w:rsidR="00C961E7" w:rsidRPr="00E16CB8" w14:paraId="3ABC5C1D" w14:textId="77777777" w:rsidTr="005F45A9">
        <w:trPr>
          <w:trHeight w:val="231"/>
          <w:jc w:val="center"/>
        </w:trPr>
        <w:tc>
          <w:tcPr>
            <w:tcW w:w="1020" w:type="dxa"/>
            <w:tcMar>
              <w:top w:w="43" w:type="dxa"/>
              <w:left w:w="43" w:type="dxa"/>
              <w:bottom w:w="43" w:type="dxa"/>
              <w:right w:w="43" w:type="dxa"/>
            </w:tcMar>
            <w:vAlign w:val="center"/>
          </w:tcPr>
          <w:p w14:paraId="3ABC5C1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14:paraId="3ABC5C1B"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C" w14:textId="77777777" w:rsidR="00C961E7" w:rsidRPr="0007051A" w:rsidRDefault="00C961E7" w:rsidP="005F45A9">
            <w:pPr>
              <w:ind w:left="0" w:right="0"/>
              <w:rPr>
                <w:sz w:val="22"/>
                <w:szCs w:val="22"/>
              </w:rPr>
            </w:pP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3ABC5C2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3ABC5C21" w14:textId="77777777" w:rsidR="00C961E7" w:rsidRPr="00377FA3" w:rsidRDefault="00C961E7" w:rsidP="00C961E7">
      <w:pPr>
        <w:ind w:left="0" w:right="828"/>
        <w:rPr>
          <w:bCs/>
          <w:color w:val="806000" w:themeColor="accent4" w:themeShade="80"/>
        </w:rPr>
      </w:pPr>
    </w:p>
    <w:p w14:paraId="3ABC5C22" w14:textId="77777777" w:rsidR="00C961E7" w:rsidRPr="00377FA3" w:rsidRDefault="00C961E7" w:rsidP="00C961E7">
      <w:pPr>
        <w:ind w:right="630"/>
        <w:rPr>
          <w:bCs/>
          <w:color w:val="000000" w:themeColor="text1"/>
        </w:rPr>
      </w:pPr>
    </w:p>
    <w:p w14:paraId="3ABC5C23" w14:textId="55F86985" w:rsidR="00C961E7" w:rsidRPr="00377FA3" w:rsidRDefault="00C961E7" w:rsidP="00C961E7">
      <w:pPr>
        <w:tabs>
          <w:tab w:val="left" w:pos="1080"/>
        </w:tabs>
        <w:ind w:left="0" w:right="634"/>
      </w:pPr>
      <w:r>
        <w:rPr>
          <w:b/>
          <w:bCs/>
        </w:rPr>
        <w:t xml:space="preserve">Comment 1 </w:t>
      </w:r>
      <w:r w:rsidR="0053392F" w:rsidRPr="0053392F">
        <w:rPr>
          <w:sz w:val="22"/>
          <w:szCs w:val="22"/>
        </w:rPr>
        <w:t xml:space="preserve">The change to </w:t>
      </w:r>
      <w:r w:rsidR="0053392F">
        <w:rPr>
          <w:sz w:val="22"/>
          <w:szCs w:val="22"/>
        </w:rPr>
        <w:t>the variance rules m</w:t>
      </w:r>
      <w:r w:rsidR="0053392F" w:rsidRPr="0053392F">
        <w:rPr>
          <w:sz w:val="22"/>
          <w:szCs w:val="22"/>
        </w:rPr>
        <w:t>ake Oregon’s mercury variance process more lenient, in order to make Oregon’s process consistent with federal regulations.</w:t>
      </w:r>
      <w:r w:rsidR="0053392F">
        <w:rPr>
          <w:rFonts w:ascii="Arial" w:hAnsi="Arial" w:cs="Arial"/>
          <w:sz w:val="19"/>
          <w:szCs w:val="19"/>
        </w:rPr>
        <w:t> </w:t>
      </w:r>
    </w:p>
    <w:p w14:paraId="3ABC5C24" w14:textId="77777777" w:rsidR="00C961E7" w:rsidRDefault="00C961E7" w:rsidP="00C961E7">
      <w:pPr>
        <w:pStyle w:val="ListParagraph"/>
        <w:ind w:right="634"/>
        <w:contextualSpacing w:val="0"/>
        <w:rPr>
          <w:bCs/>
          <w:color w:val="000000" w:themeColor="text1"/>
        </w:rPr>
      </w:pPr>
    </w:p>
    <w:p w14:paraId="3ABC5C25" w14:textId="5F31D9C8"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00844845">
        <w:rPr>
          <w:bCs/>
          <w:color w:val="000000" w:themeColor="text1"/>
        </w:rPr>
        <w:t>1</w:t>
      </w:r>
      <w:r w:rsidRPr="00377FA3">
        <w:rPr>
          <w:rStyle w:val="Emphasis"/>
          <w:color w:val="806000" w:themeColor="accent4" w:themeShade="80"/>
          <w:sz w:val="24"/>
        </w:rPr>
        <w:t>Cross reference to commenter number or numbers submitted in this category using format ##, ##, ## and ##.</w:t>
      </w:r>
    </w:p>
    <w:p w14:paraId="3ABC5C26" w14:textId="77777777" w:rsidR="00C961E7" w:rsidRDefault="00C961E7" w:rsidP="00C961E7">
      <w:pPr>
        <w:pStyle w:val="ListParagraph"/>
        <w:ind w:right="634"/>
        <w:contextualSpacing w:val="0"/>
        <w:rPr>
          <w:rStyle w:val="Emphasis"/>
          <w:vanish w:val="0"/>
          <w:color w:val="806000" w:themeColor="accent4" w:themeShade="80"/>
          <w:sz w:val="24"/>
        </w:rPr>
      </w:pPr>
    </w:p>
    <w:p w14:paraId="3ABC5C29" w14:textId="77777777" w:rsidR="00C961E7" w:rsidRDefault="00C961E7" w:rsidP="00C961E7">
      <w:pPr>
        <w:ind w:left="0" w:right="630"/>
        <w:rPr>
          <w:b/>
          <w:bCs/>
          <w:color w:val="000000" w:themeColor="text1"/>
        </w:rPr>
      </w:pPr>
      <w:r w:rsidRPr="004646AA">
        <w:rPr>
          <w:b/>
          <w:bCs/>
          <w:color w:val="000000" w:themeColor="text1"/>
        </w:rPr>
        <w:t>Response</w:t>
      </w:r>
    </w:p>
    <w:p w14:paraId="3ABC5C2C" w14:textId="6324F57F" w:rsidR="00C961E7" w:rsidRDefault="00C961E7" w:rsidP="00C961E7">
      <w:pPr>
        <w:ind w:left="0" w:right="630"/>
        <w:rPr>
          <w:bCs/>
          <w:color w:val="000000" w:themeColor="text1"/>
        </w:rPr>
      </w:pPr>
    </w:p>
    <w:p w14:paraId="1BEAFE8D" w14:textId="51CCD169" w:rsidR="0053392F" w:rsidRDefault="0053392F" w:rsidP="00C961E7">
      <w:pPr>
        <w:ind w:left="0" w:right="630"/>
        <w:rPr>
          <w:bCs/>
          <w:color w:val="000000" w:themeColor="text1"/>
        </w:rPr>
      </w:pPr>
      <w:r>
        <w:rPr>
          <w:bCs/>
          <w:color w:val="000000" w:themeColor="text1"/>
        </w:rPr>
        <w:t>DEQ disagrees that the change to the variance rules make Oregon’s process more lenient. As with previous rules, variances are only allowed if one of seven criteria are met.</w:t>
      </w:r>
    </w:p>
    <w:p w14:paraId="547EAE5F" w14:textId="77777777" w:rsidR="0053392F" w:rsidRPr="00377FA3" w:rsidRDefault="0053392F" w:rsidP="00C961E7">
      <w:pPr>
        <w:ind w:left="0" w:right="630"/>
        <w:rPr>
          <w:bCs/>
          <w:color w:val="000000" w:themeColor="text1"/>
        </w:rPr>
      </w:pPr>
    </w:p>
    <w:p w14:paraId="3ABC5C2D" w14:textId="215A6CE6"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r w:rsidR="00844845">
        <w:rPr>
          <w:b/>
          <w:bCs/>
        </w:rPr>
        <w:t xml:space="preserve"> </w:t>
      </w:r>
      <w:r w:rsidR="00844845">
        <w:rPr>
          <w:bCs/>
        </w:rPr>
        <w:t>I disagree with loosening environmental regulations that limit human and environmental exposure to neurotoxins such as mercury.</w:t>
      </w:r>
    </w:p>
    <w:p w14:paraId="3ABC5C2E" w14:textId="77777777" w:rsidR="00C961E7" w:rsidRDefault="00C961E7" w:rsidP="00C961E7">
      <w:pPr>
        <w:pStyle w:val="ListParagraph"/>
        <w:tabs>
          <w:tab w:val="left" w:pos="1080"/>
        </w:tabs>
        <w:ind w:left="0" w:right="634"/>
        <w:contextualSpacing w:val="0"/>
        <w:rPr>
          <w:b/>
          <w:bCs/>
        </w:rPr>
      </w:pPr>
    </w:p>
    <w:p w14:paraId="3ABC5C2F" w14:textId="50B6C0AC"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w:t>
      </w:r>
      <w:r w:rsidR="00844845">
        <w:rPr>
          <w:bCs/>
          <w:color w:val="000000" w:themeColor="text1"/>
        </w:rPr>
        <w:t>in this category from commenter 1</w:t>
      </w:r>
      <w:r w:rsidRPr="00377FA3">
        <w:rPr>
          <w:bCs/>
          <w:color w:val="000000" w:themeColor="text1"/>
        </w:rPr>
        <w:t xml:space="preserve"> </w:t>
      </w:r>
      <w:r w:rsidRPr="00377FA3">
        <w:rPr>
          <w:rStyle w:val="Emphasis"/>
          <w:color w:val="806000" w:themeColor="accent4" w:themeShade="80"/>
          <w:sz w:val="24"/>
        </w:rPr>
        <w:t>Cross reference to commenter number or numbers submitted in this category using format ##, ##, ## and ##.</w:t>
      </w:r>
    </w:p>
    <w:p w14:paraId="3ABC5C31" w14:textId="640329B0"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3ABC5C33" w14:textId="77777777" w:rsidR="00C961E7" w:rsidRDefault="00C961E7" w:rsidP="00C961E7">
      <w:pPr>
        <w:ind w:left="0" w:right="630"/>
        <w:rPr>
          <w:b/>
          <w:bCs/>
          <w:color w:val="000000" w:themeColor="text1"/>
        </w:rPr>
      </w:pPr>
      <w:r w:rsidRPr="004646AA">
        <w:rPr>
          <w:b/>
          <w:bCs/>
          <w:color w:val="000000" w:themeColor="text1"/>
        </w:rPr>
        <w:t>Response</w:t>
      </w:r>
    </w:p>
    <w:p w14:paraId="3ABC5C34"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B613380" w14:textId="7A743C85" w:rsidR="00844845" w:rsidRPr="00844845" w:rsidRDefault="00844845" w:rsidP="00844845">
      <w:pPr>
        <w:ind w:left="0" w:right="630"/>
        <w:rPr>
          <w:bCs/>
          <w:color w:val="806000" w:themeColor="accent4" w:themeShade="80"/>
        </w:rPr>
      </w:pPr>
      <w:r>
        <w:rPr>
          <w:bCs/>
          <w:color w:val="806000" w:themeColor="accent4" w:themeShade="80"/>
        </w:rPr>
        <w:t xml:space="preserve">Federal and state regulations allow variances if one or more of seven criteria are met. In this case, DEQ has concluded that the methylmercury criterion cannot currently be attained due </w:t>
      </w:r>
      <w:r>
        <w:rPr>
          <w:bCs/>
          <w:color w:val="806000" w:themeColor="accent4" w:themeShade="80"/>
        </w:rPr>
        <w:lastRenderedPageBreak/>
        <w:t>to human caused sources of pollution outside the control of the discharger or the State. Under the variance, dischargers must continue to decrease the amount of mercury that they discharge to the Basin. Therefore, the amount of mercury will continue to decrease. Moreover, the proposed mercury variance maintains underlying criteria for methylmercury</w:t>
      </w:r>
      <w:r w:rsidR="0053392F">
        <w:rPr>
          <w:bCs/>
          <w:color w:val="806000" w:themeColor="accent4" w:themeShade="80"/>
        </w:rPr>
        <w:t xml:space="preserve"> for other purposes, such as water quality assessments and TMDLs</w:t>
      </w:r>
      <w:r>
        <w:rPr>
          <w:bCs/>
          <w:color w:val="806000" w:themeColor="accent4" w:themeShade="80"/>
        </w:rPr>
        <w:t xml:space="preserve">. </w:t>
      </w:r>
    </w:p>
    <w:p w14:paraId="3ABC5C35" w14:textId="2B0170B2" w:rsidR="00C961E7" w:rsidRDefault="00844845" w:rsidP="00844845">
      <w:pPr>
        <w:ind w:left="0" w:right="630"/>
        <w:rPr>
          <w:bCs/>
          <w:color w:val="000000" w:themeColor="text1"/>
        </w:rPr>
      </w:pPr>
      <w:r w:rsidRPr="00377FA3">
        <w:rPr>
          <w:rStyle w:val="Emphasis"/>
          <w:caps/>
          <w:color w:val="806000" w:themeColor="accent4" w:themeShade="80"/>
          <w:sz w:val="24"/>
        </w:rPr>
        <w:t xml:space="preserve"> </w:t>
      </w:r>
      <w:r w:rsidR="00C961E7" w:rsidRPr="00377FA3">
        <w:rPr>
          <w:rStyle w:val="Emphasis"/>
          <w:caps/>
          <w:color w:val="806000" w:themeColor="accent4" w:themeShade="80"/>
          <w:sz w:val="24"/>
        </w:rPr>
        <w:t>Enter DEQ’s response to this category of comments.</w:t>
      </w:r>
    </w:p>
    <w:p w14:paraId="3ABC5C36" w14:textId="77777777" w:rsidR="00C961E7" w:rsidRPr="00377FA3" w:rsidRDefault="00C961E7" w:rsidP="00C961E7">
      <w:pPr>
        <w:ind w:left="0" w:right="630"/>
        <w:rPr>
          <w:bCs/>
          <w:color w:val="000000" w:themeColor="text1"/>
        </w:rPr>
      </w:pPr>
    </w:p>
    <w:p w14:paraId="3ABC5C37" w14:textId="5760A54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r w:rsidR="0053392F">
        <w:rPr>
          <w:b/>
          <w:bCs/>
        </w:rPr>
        <w:t xml:space="preserve"> </w:t>
      </w:r>
      <w:r w:rsidR="0053392F" w:rsidRPr="0053392F">
        <w:rPr>
          <w:bCs/>
        </w:rPr>
        <w:t>DEQ should</w:t>
      </w:r>
      <w:r w:rsidR="0053392F">
        <w:rPr>
          <w:b/>
          <w:bCs/>
        </w:rPr>
        <w:t xml:space="preserve"> </w:t>
      </w:r>
      <w:r w:rsidR="0053392F" w:rsidRPr="0053392F">
        <w:rPr>
          <w:bCs/>
        </w:rPr>
        <w:t>provide variances to suction dredge miners.</w:t>
      </w:r>
    </w:p>
    <w:p w14:paraId="3ABC5C38" w14:textId="77777777" w:rsidR="00C961E7" w:rsidRDefault="00C961E7" w:rsidP="00C961E7">
      <w:pPr>
        <w:pStyle w:val="ListParagraph"/>
        <w:tabs>
          <w:tab w:val="left" w:pos="1080"/>
        </w:tabs>
        <w:ind w:left="0" w:right="634"/>
        <w:contextualSpacing w:val="0"/>
        <w:rPr>
          <w:b/>
          <w:bCs/>
        </w:rPr>
      </w:pPr>
    </w:p>
    <w:p w14:paraId="3ABC5C39" w14:textId="63C798C8"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0053392F">
        <w:rPr>
          <w:bCs/>
          <w:color w:val="000000" w:themeColor="text1"/>
        </w:rPr>
        <w:t>2</w:t>
      </w:r>
      <w:r w:rsidRPr="00377FA3">
        <w:rPr>
          <w:rStyle w:val="Emphasis"/>
          <w:color w:val="806000" w:themeColor="accent4" w:themeShade="80"/>
          <w:sz w:val="24"/>
        </w:rPr>
        <w:t>Cross reference to commenter number or numbers submitted in this category using format ##, ##, ## and ##.</w:t>
      </w:r>
    </w:p>
    <w:p w14:paraId="3ABC5C3B" w14:textId="3C94B334"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3ABC5C3C" w14:textId="77777777" w:rsidR="00C961E7" w:rsidRPr="00377FA3" w:rsidRDefault="00C961E7" w:rsidP="00C961E7">
      <w:pPr>
        <w:pStyle w:val="ListParagraph"/>
        <w:ind w:right="634"/>
        <w:contextualSpacing w:val="0"/>
        <w:rPr>
          <w:bCs/>
          <w:color w:val="806000" w:themeColor="accent4" w:themeShade="80"/>
        </w:rPr>
      </w:pPr>
    </w:p>
    <w:p w14:paraId="3ABC5C3D" w14:textId="77777777" w:rsidR="00C961E7" w:rsidRDefault="00C961E7" w:rsidP="00C961E7">
      <w:pPr>
        <w:ind w:left="0" w:right="630"/>
        <w:rPr>
          <w:b/>
          <w:bCs/>
          <w:color w:val="000000" w:themeColor="text1"/>
        </w:rPr>
      </w:pPr>
      <w:r w:rsidRPr="004646AA">
        <w:rPr>
          <w:b/>
          <w:bCs/>
          <w:color w:val="000000" w:themeColor="text1"/>
        </w:rPr>
        <w:t>Response</w:t>
      </w:r>
    </w:p>
    <w:p w14:paraId="5EF494CD" w14:textId="77777777" w:rsidR="0053392F" w:rsidRDefault="0053392F" w:rsidP="0053392F">
      <w:pPr>
        <w:ind w:right="630"/>
        <w:rPr>
          <w:b/>
          <w:bCs/>
          <w:color w:val="806000" w:themeColor="accent4" w:themeShade="80"/>
        </w:rPr>
      </w:pPr>
    </w:p>
    <w:p w14:paraId="3ABC5C3F" w14:textId="0B2B3194" w:rsidR="00C961E7" w:rsidRPr="0053392F" w:rsidRDefault="0053392F" w:rsidP="0053392F">
      <w:pPr>
        <w:ind w:left="0" w:right="630"/>
        <w:rPr>
          <w:bCs/>
          <w:color w:val="806000" w:themeColor="accent4" w:themeShade="80"/>
        </w:rPr>
      </w:pPr>
      <w:r w:rsidRPr="0053392F">
        <w:rPr>
          <w:bCs/>
          <w:color w:val="806000" w:themeColor="accent4" w:themeShade="80"/>
        </w:rPr>
        <w:t>This comment is not relevant to this rulemaking, which grants a multiple discharger variance to individual wastewater dischargers covered under the NPDES program.</w:t>
      </w:r>
      <w:r>
        <w:rPr>
          <w:bCs/>
          <w:color w:val="806000" w:themeColor="accent4" w:themeShade="80"/>
        </w:rPr>
        <w:t xml:space="preserve"> Variances are only necessary for such dischargers, which would otherwise have effluent limits for mercury that are not attainable for the reason justified under the </w:t>
      </w:r>
      <w:proofErr w:type="spellStart"/>
      <w:r>
        <w:rPr>
          <w:bCs/>
          <w:color w:val="806000" w:themeColor="accent4" w:themeShade="80"/>
        </w:rPr>
        <w:t>variance.</w:t>
      </w:r>
      <w:r w:rsidR="00C961E7" w:rsidRPr="0053392F">
        <w:rPr>
          <w:rStyle w:val="Emphasis"/>
          <w:caps/>
          <w:color w:val="auto"/>
          <w:sz w:val="24"/>
        </w:rPr>
        <w:t>Enter</w:t>
      </w:r>
      <w:proofErr w:type="spellEnd"/>
      <w:r w:rsidR="00C961E7" w:rsidRPr="0053392F">
        <w:rPr>
          <w:rStyle w:val="Emphasis"/>
          <w:caps/>
          <w:color w:val="auto"/>
          <w:sz w:val="24"/>
        </w:rPr>
        <w:t xml:space="preserve"> DEQ’s response to this category of comments.</w:t>
      </w:r>
    </w:p>
    <w:p w14:paraId="3ABC5C40" w14:textId="77777777" w:rsidR="00C961E7" w:rsidRPr="00377FA3" w:rsidRDefault="00C961E7" w:rsidP="00C961E7">
      <w:pPr>
        <w:pStyle w:val="ListParagraph"/>
        <w:spacing w:after="120"/>
        <w:ind w:left="2160" w:right="630"/>
        <w:rPr>
          <w:bCs/>
          <w:color w:val="000000" w:themeColor="text1"/>
        </w:rPr>
      </w:pPr>
    </w:p>
    <w:p w14:paraId="3ABC5C41"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4" w:name="_Toc490121554"/>
            <w:r w:rsidRPr="00276752">
              <w:lastRenderedPageBreak/>
              <w:t>Commenters</w:t>
            </w:r>
            <w:bookmarkEnd w:id="1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844845">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083"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962"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78"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14:paraId="3ABC5C69" w14:textId="77777777" w:rsidTr="00844845">
        <w:trPr>
          <w:trHeight w:val="598"/>
          <w:jc w:val="center"/>
        </w:trPr>
        <w:tc>
          <w:tcPr>
            <w:tcW w:w="588" w:type="dxa"/>
            <w:tcMar>
              <w:top w:w="43" w:type="dxa"/>
              <w:left w:w="43" w:type="dxa"/>
              <w:bottom w:w="43" w:type="dxa"/>
              <w:right w:w="43" w:type="dxa"/>
            </w:tcMar>
            <w:vAlign w:val="center"/>
          </w:tcPr>
          <w:p w14:paraId="3ABC5C64"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083" w:type="dxa"/>
            <w:vAlign w:val="center"/>
          </w:tcPr>
          <w:p w14:paraId="3ABC5C65" w14:textId="7DB02BFE" w:rsidR="00C961E7" w:rsidRPr="0007051A" w:rsidRDefault="00844845" w:rsidP="005F45A9">
            <w:pPr>
              <w:ind w:left="0" w:right="0"/>
              <w:rPr>
                <w:sz w:val="22"/>
                <w:szCs w:val="22"/>
              </w:rPr>
            </w:pPr>
            <w:r>
              <w:rPr>
                <w:sz w:val="22"/>
                <w:szCs w:val="22"/>
              </w:rPr>
              <w:t xml:space="preserve">Diana </w:t>
            </w:r>
            <w:proofErr w:type="spellStart"/>
            <w:r>
              <w:rPr>
                <w:sz w:val="22"/>
                <w:szCs w:val="22"/>
              </w:rPr>
              <w:t>Tesh</w:t>
            </w:r>
            <w:proofErr w:type="spellEnd"/>
          </w:p>
        </w:tc>
        <w:tc>
          <w:tcPr>
            <w:tcW w:w="2962" w:type="dxa"/>
            <w:tcMar>
              <w:top w:w="43" w:type="dxa"/>
              <w:left w:w="43" w:type="dxa"/>
              <w:bottom w:w="43" w:type="dxa"/>
              <w:right w:w="43" w:type="dxa"/>
            </w:tcMar>
            <w:vAlign w:val="center"/>
          </w:tcPr>
          <w:p w14:paraId="3ABC5C66" w14:textId="3B38D838" w:rsidR="00C961E7" w:rsidRPr="0007051A" w:rsidRDefault="00C961E7" w:rsidP="005F45A9">
            <w:pPr>
              <w:ind w:left="0" w:right="0"/>
              <w:rPr>
                <w:sz w:val="22"/>
                <w:szCs w:val="22"/>
              </w:rPr>
            </w:pPr>
          </w:p>
        </w:tc>
        <w:tc>
          <w:tcPr>
            <w:tcW w:w="1278" w:type="dxa"/>
            <w:tcMar>
              <w:top w:w="43" w:type="dxa"/>
              <w:left w:w="43" w:type="dxa"/>
              <w:bottom w:w="43" w:type="dxa"/>
              <w:right w:w="43" w:type="dxa"/>
            </w:tcMar>
            <w:vAlign w:val="center"/>
          </w:tcPr>
          <w:p w14:paraId="3ABC5C67" w14:textId="7A0E1CCD" w:rsidR="00C961E7" w:rsidRPr="0007051A" w:rsidRDefault="00C961E7" w:rsidP="005F45A9">
            <w:pPr>
              <w:ind w:left="0" w:right="0"/>
              <w:rPr>
                <w:sz w:val="22"/>
                <w:szCs w:val="22"/>
              </w:rPr>
            </w:pPr>
          </w:p>
        </w:tc>
        <w:tc>
          <w:tcPr>
            <w:tcW w:w="1038" w:type="dxa"/>
            <w:vAlign w:val="center"/>
          </w:tcPr>
          <w:p w14:paraId="3ABC5C68" w14:textId="77777777" w:rsidR="00C961E7" w:rsidRPr="0007051A" w:rsidRDefault="00C961E7" w:rsidP="005F45A9">
            <w:pPr>
              <w:ind w:left="0" w:right="0"/>
              <w:rPr>
                <w:sz w:val="22"/>
                <w:szCs w:val="22"/>
              </w:rPr>
            </w:pPr>
          </w:p>
        </w:tc>
      </w:tr>
      <w:tr w:rsidR="00C961E7" w:rsidRPr="00E16CB8" w14:paraId="3ABC5C6F" w14:textId="77777777" w:rsidTr="00844845">
        <w:trPr>
          <w:trHeight w:val="598"/>
          <w:jc w:val="center"/>
        </w:trPr>
        <w:tc>
          <w:tcPr>
            <w:tcW w:w="588" w:type="dxa"/>
            <w:tcMar>
              <w:top w:w="43" w:type="dxa"/>
              <w:left w:w="43" w:type="dxa"/>
              <w:bottom w:w="43" w:type="dxa"/>
              <w:right w:w="43" w:type="dxa"/>
            </w:tcMar>
            <w:vAlign w:val="center"/>
          </w:tcPr>
          <w:p w14:paraId="3ABC5C6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083" w:type="dxa"/>
            <w:vAlign w:val="center"/>
          </w:tcPr>
          <w:p w14:paraId="3ABC5C6B" w14:textId="7B3CDE79" w:rsidR="00C961E7" w:rsidRPr="0007051A" w:rsidRDefault="00844845" w:rsidP="005F45A9">
            <w:pPr>
              <w:ind w:left="0" w:right="0"/>
              <w:rPr>
                <w:sz w:val="22"/>
                <w:szCs w:val="22"/>
              </w:rPr>
            </w:pPr>
            <w:r>
              <w:rPr>
                <w:sz w:val="22"/>
                <w:szCs w:val="22"/>
              </w:rPr>
              <w:t>Tom Quintal</w:t>
            </w:r>
          </w:p>
        </w:tc>
        <w:tc>
          <w:tcPr>
            <w:tcW w:w="2962" w:type="dxa"/>
            <w:tcMar>
              <w:top w:w="43" w:type="dxa"/>
              <w:left w:w="43" w:type="dxa"/>
              <w:bottom w:w="43" w:type="dxa"/>
              <w:right w:w="43" w:type="dxa"/>
            </w:tcMar>
            <w:vAlign w:val="center"/>
          </w:tcPr>
          <w:p w14:paraId="3ABC5C6C" w14:textId="7E43B6D3" w:rsidR="00C961E7" w:rsidRPr="0007051A" w:rsidRDefault="0003493F" w:rsidP="005F45A9">
            <w:pPr>
              <w:ind w:left="0" w:right="0"/>
              <w:rPr>
                <w:sz w:val="22"/>
                <w:szCs w:val="22"/>
              </w:rPr>
            </w:pPr>
            <w:r>
              <w:rPr>
                <w:sz w:val="22"/>
                <w:szCs w:val="22"/>
              </w:rPr>
              <w:t>Willamette Valley Mining Association</w:t>
            </w:r>
          </w:p>
        </w:tc>
        <w:tc>
          <w:tcPr>
            <w:tcW w:w="1278" w:type="dxa"/>
            <w:tcMar>
              <w:top w:w="43" w:type="dxa"/>
              <w:left w:w="43" w:type="dxa"/>
              <w:bottom w:w="43" w:type="dxa"/>
              <w:right w:w="43" w:type="dxa"/>
            </w:tcMar>
            <w:vAlign w:val="center"/>
          </w:tcPr>
          <w:p w14:paraId="3ABC5C6D" w14:textId="143A6AC2" w:rsidR="00C961E7" w:rsidRPr="0007051A" w:rsidRDefault="00C961E7" w:rsidP="005F45A9">
            <w:pPr>
              <w:ind w:left="0" w:right="0"/>
              <w:rPr>
                <w:sz w:val="22"/>
                <w:szCs w:val="22"/>
              </w:rPr>
            </w:pPr>
          </w:p>
        </w:tc>
        <w:tc>
          <w:tcPr>
            <w:tcW w:w="1038" w:type="dxa"/>
            <w:vAlign w:val="center"/>
          </w:tcPr>
          <w:p w14:paraId="3ABC5C6E" w14:textId="77777777" w:rsidR="00C961E7" w:rsidRPr="0007051A" w:rsidRDefault="00C961E7" w:rsidP="005F45A9">
            <w:pPr>
              <w:ind w:left="0" w:right="0"/>
              <w:rPr>
                <w:sz w:val="22"/>
                <w:szCs w:val="22"/>
              </w:rPr>
            </w:pPr>
          </w:p>
        </w:tc>
      </w:tr>
      <w:tr w:rsidR="00C961E7" w:rsidRPr="00E16CB8" w14:paraId="3ABC5C75" w14:textId="77777777" w:rsidTr="00844845">
        <w:trPr>
          <w:trHeight w:val="520"/>
          <w:jc w:val="center"/>
        </w:trPr>
        <w:tc>
          <w:tcPr>
            <w:tcW w:w="588" w:type="dxa"/>
            <w:tcMar>
              <w:top w:w="43" w:type="dxa"/>
              <w:left w:w="43" w:type="dxa"/>
              <w:bottom w:w="43" w:type="dxa"/>
              <w:right w:w="43" w:type="dxa"/>
            </w:tcMar>
            <w:vAlign w:val="center"/>
          </w:tcPr>
          <w:p w14:paraId="3ABC5C70"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083" w:type="dxa"/>
            <w:vAlign w:val="center"/>
          </w:tcPr>
          <w:p w14:paraId="3ABC5C71" w14:textId="67AA6074" w:rsidR="00C961E7" w:rsidRPr="0007051A" w:rsidRDefault="0003493F" w:rsidP="005F45A9">
            <w:pPr>
              <w:ind w:left="0" w:right="0"/>
              <w:rPr>
                <w:sz w:val="22"/>
                <w:szCs w:val="22"/>
              </w:rPr>
            </w:pPr>
            <w:r>
              <w:rPr>
                <w:sz w:val="22"/>
                <w:szCs w:val="22"/>
              </w:rPr>
              <w:t>Nina Bell</w:t>
            </w:r>
          </w:p>
        </w:tc>
        <w:tc>
          <w:tcPr>
            <w:tcW w:w="2962" w:type="dxa"/>
            <w:tcMar>
              <w:top w:w="43" w:type="dxa"/>
              <w:left w:w="43" w:type="dxa"/>
              <w:bottom w:w="43" w:type="dxa"/>
              <w:right w:w="43" w:type="dxa"/>
            </w:tcMar>
            <w:vAlign w:val="center"/>
          </w:tcPr>
          <w:p w14:paraId="3ABC5C72" w14:textId="39DD6123" w:rsidR="00C961E7" w:rsidRPr="0007051A" w:rsidRDefault="0003493F" w:rsidP="005F45A9">
            <w:pPr>
              <w:ind w:left="0" w:right="0"/>
              <w:rPr>
                <w:sz w:val="22"/>
                <w:szCs w:val="22"/>
              </w:rPr>
            </w:pPr>
            <w:r>
              <w:rPr>
                <w:sz w:val="22"/>
                <w:szCs w:val="22"/>
              </w:rPr>
              <w:t>Northwest Environmental Advocates</w:t>
            </w:r>
          </w:p>
        </w:tc>
        <w:tc>
          <w:tcPr>
            <w:tcW w:w="1278" w:type="dxa"/>
            <w:tcMar>
              <w:top w:w="43" w:type="dxa"/>
              <w:left w:w="43" w:type="dxa"/>
              <w:bottom w:w="43" w:type="dxa"/>
              <w:right w:w="43" w:type="dxa"/>
            </w:tcMar>
            <w:vAlign w:val="center"/>
          </w:tcPr>
          <w:p w14:paraId="3ABC5C73" w14:textId="7C3145C0" w:rsidR="00C961E7" w:rsidRPr="0007051A" w:rsidRDefault="00C961E7" w:rsidP="005F45A9">
            <w:pPr>
              <w:ind w:left="0" w:right="0"/>
              <w:rPr>
                <w:sz w:val="22"/>
                <w:szCs w:val="22"/>
              </w:rPr>
            </w:pPr>
          </w:p>
        </w:tc>
        <w:tc>
          <w:tcPr>
            <w:tcW w:w="1038" w:type="dxa"/>
            <w:vAlign w:val="center"/>
          </w:tcPr>
          <w:p w14:paraId="3ABC5C74" w14:textId="77777777" w:rsidR="00C961E7" w:rsidRPr="0007051A" w:rsidRDefault="00C961E7" w:rsidP="005F45A9">
            <w:pPr>
              <w:ind w:left="0" w:right="0"/>
              <w:rPr>
                <w:sz w:val="22"/>
                <w:szCs w:val="22"/>
              </w:rPr>
            </w:pPr>
          </w:p>
        </w:tc>
      </w:tr>
      <w:tr w:rsidR="0003493F" w:rsidRPr="00E16CB8" w14:paraId="53CC7057" w14:textId="77777777" w:rsidTr="00844845">
        <w:trPr>
          <w:trHeight w:val="520"/>
          <w:jc w:val="center"/>
        </w:trPr>
        <w:tc>
          <w:tcPr>
            <w:tcW w:w="588" w:type="dxa"/>
            <w:tcMar>
              <w:top w:w="43" w:type="dxa"/>
              <w:left w:w="43" w:type="dxa"/>
              <w:bottom w:w="43" w:type="dxa"/>
              <w:right w:w="43" w:type="dxa"/>
            </w:tcMar>
            <w:vAlign w:val="center"/>
          </w:tcPr>
          <w:p w14:paraId="26F906CC" w14:textId="7339E7B2" w:rsidR="0003493F" w:rsidRPr="0007051A" w:rsidRDefault="0003493F" w:rsidP="005F45A9">
            <w:pPr>
              <w:ind w:left="0" w:right="0"/>
              <w:jc w:val="center"/>
              <w:rPr>
                <w:rFonts w:ascii="Arial" w:hAnsi="Arial" w:cs="Arial"/>
                <w:sz w:val="22"/>
                <w:szCs w:val="22"/>
              </w:rPr>
            </w:pPr>
            <w:r>
              <w:rPr>
                <w:rFonts w:ascii="Arial" w:hAnsi="Arial" w:cs="Arial"/>
                <w:sz w:val="22"/>
                <w:szCs w:val="22"/>
              </w:rPr>
              <w:t>4</w:t>
            </w:r>
          </w:p>
        </w:tc>
        <w:tc>
          <w:tcPr>
            <w:tcW w:w="3083" w:type="dxa"/>
            <w:vAlign w:val="center"/>
          </w:tcPr>
          <w:p w14:paraId="3A867DC7" w14:textId="63A24A09" w:rsidR="0003493F" w:rsidRDefault="0003493F" w:rsidP="005F45A9">
            <w:pPr>
              <w:ind w:left="0" w:right="0"/>
              <w:rPr>
                <w:sz w:val="22"/>
                <w:szCs w:val="22"/>
              </w:rPr>
            </w:pPr>
            <w:r>
              <w:rPr>
                <w:sz w:val="22"/>
                <w:szCs w:val="22"/>
              </w:rPr>
              <w:t>Amy Pepper</w:t>
            </w:r>
          </w:p>
        </w:tc>
        <w:tc>
          <w:tcPr>
            <w:tcW w:w="2962" w:type="dxa"/>
            <w:tcMar>
              <w:top w:w="43" w:type="dxa"/>
              <w:left w:w="43" w:type="dxa"/>
              <w:bottom w:w="43" w:type="dxa"/>
              <w:right w:w="43" w:type="dxa"/>
            </w:tcMar>
            <w:vAlign w:val="center"/>
          </w:tcPr>
          <w:p w14:paraId="54940193" w14:textId="2DF75DED" w:rsidR="0003493F" w:rsidRDefault="0003493F" w:rsidP="005F45A9">
            <w:pPr>
              <w:ind w:left="0" w:right="0"/>
              <w:rPr>
                <w:sz w:val="22"/>
                <w:szCs w:val="22"/>
              </w:rPr>
            </w:pPr>
            <w:r>
              <w:rPr>
                <w:sz w:val="22"/>
                <w:szCs w:val="22"/>
              </w:rPr>
              <w:t>Oregon Association of Clean Water Agencies (ACWA)</w:t>
            </w:r>
          </w:p>
        </w:tc>
        <w:tc>
          <w:tcPr>
            <w:tcW w:w="1278" w:type="dxa"/>
            <w:tcMar>
              <w:top w:w="43" w:type="dxa"/>
              <w:left w:w="43" w:type="dxa"/>
              <w:bottom w:w="43" w:type="dxa"/>
              <w:right w:w="43" w:type="dxa"/>
            </w:tcMar>
            <w:vAlign w:val="center"/>
          </w:tcPr>
          <w:p w14:paraId="4D0D4CC7" w14:textId="77777777" w:rsidR="0003493F" w:rsidRPr="0007051A" w:rsidRDefault="0003493F" w:rsidP="005F45A9">
            <w:pPr>
              <w:ind w:left="0" w:right="0"/>
              <w:rPr>
                <w:sz w:val="22"/>
                <w:szCs w:val="22"/>
              </w:rPr>
            </w:pPr>
          </w:p>
        </w:tc>
        <w:tc>
          <w:tcPr>
            <w:tcW w:w="1038" w:type="dxa"/>
            <w:vAlign w:val="center"/>
          </w:tcPr>
          <w:p w14:paraId="1247491C" w14:textId="77777777" w:rsidR="0003493F" w:rsidRPr="0007051A" w:rsidRDefault="0003493F" w:rsidP="005F45A9">
            <w:pPr>
              <w:ind w:left="0" w:right="0"/>
              <w:rPr>
                <w:sz w:val="22"/>
                <w:szCs w:val="22"/>
              </w:rPr>
            </w:pPr>
          </w:p>
        </w:tc>
      </w:tr>
      <w:tr w:rsidR="0003493F" w:rsidRPr="00E16CB8" w14:paraId="7C1D7C45" w14:textId="77777777" w:rsidTr="00844845">
        <w:trPr>
          <w:trHeight w:val="520"/>
          <w:jc w:val="center"/>
        </w:trPr>
        <w:tc>
          <w:tcPr>
            <w:tcW w:w="588" w:type="dxa"/>
            <w:tcMar>
              <w:top w:w="43" w:type="dxa"/>
              <w:left w:w="43" w:type="dxa"/>
              <w:bottom w:w="43" w:type="dxa"/>
              <w:right w:w="43" w:type="dxa"/>
            </w:tcMar>
            <w:vAlign w:val="center"/>
          </w:tcPr>
          <w:p w14:paraId="1B1556C4" w14:textId="4DFF1366" w:rsidR="0003493F" w:rsidRDefault="0003493F" w:rsidP="005F45A9">
            <w:pPr>
              <w:ind w:left="0" w:right="0"/>
              <w:jc w:val="center"/>
              <w:rPr>
                <w:rFonts w:ascii="Arial" w:hAnsi="Arial" w:cs="Arial"/>
                <w:sz w:val="22"/>
                <w:szCs w:val="22"/>
              </w:rPr>
            </w:pPr>
            <w:r>
              <w:rPr>
                <w:rFonts w:ascii="Arial" w:hAnsi="Arial" w:cs="Arial"/>
                <w:sz w:val="22"/>
                <w:szCs w:val="22"/>
              </w:rPr>
              <w:t>5</w:t>
            </w:r>
          </w:p>
        </w:tc>
        <w:tc>
          <w:tcPr>
            <w:tcW w:w="3083" w:type="dxa"/>
            <w:vAlign w:val="center"/>
          </w:tcPr>
          <w:p w14:paraId="1CAE56AD" w14:textId="73C7C21C" w:rsidR="0003493F" w:rsidRDefault="0003493F" w:rsidP="005F45A9">
            <w:pPr>
              <w:ind w:left="0" w:right="0"/>
              <w:rPr>
                <w:sz w:val="22"/>
                <w:szCs w:val="22"/>
              </w:rPr>
            </w:pPr>
            <w:r>
              <w:rPr>
                <w:sz w:val="22"/>
                <w:szCs w:val="22"/>
              </w:rPr>
              <w:t>Lindsay Guzzo</w:t>
            </w:r>
          </w:p>
        </w:tc>
        <w:tc>
          <w:tcPr>
            <w:tcW w:w="2962" w:type="dxa"/>
            <w:tcMar>
              <w:top w:w="43" w:type="dxa"/>
              <w:left w:w="43" w:type="dxa"/>
              <w:bottom w:w="43" w:type="dxa"/>
              <w:right w:w="43" w:type="dxa"/>
            </w:tcMar>
            <w:vAlign w:val="center"/>
          </w:tcPr>
          <w:p w14:paraId="673FEA89" w14:textId="0FC671CA" w:rsidR="0003493F" w:rsidRDefault="0003493F" w:rsidP="005F45A9">
            <w:pPr>
              <w:ind w:left="0" w:right="0"/>
              <w:rPr>
                <w:sz w:val="22"/>
                <w:szCs w:val="22"/>
              </w:rPr>
            </w:pPr>
            <w:r>
              <w:rPr>
                <w:sz w:val="22"/>
                <w:szCs w:val="22"/>
              </w:rPr>
              <w:t>EPA</w:t>
            </w:r>
          </w:p>
        </w:tc>
        <w:tc>
          <w:tcPr>
            <w:tcW w:w="1278" w:type="dxa"/>
            <w:tcMar>
              <w:top w:w="43" w:type="dxa"/>
              <w:left w:w="43" w:type="dxa"/>
              <w:bottom w:w="43" w:type="dxa"/>
              <w:right w:w="43" w:type="dxa"/>
            </w:tcMar>
            <w:vAlign w:val="center"/>
          </w:tcPr>
          <w:p w14:paraId="1A1572BF" w14:textId="77777777" w:rsidR="0003493F" w:rsidRPr="0007051A" w:rsidRDefault="0003493F" w:rsidP="005F45A9">
            <w:pPr>
              <w:ind w:left="0" w:right="0"/>
              <w:rPr>
                <w:sz w:val="22"/>
                <w:szCs w:val="22"/>
              </w:rPr>
            </w:pPr>
          </w:p>
        </w:tc>
        <w:tc>
          <w:tcPr>
            <w:tcW w:w="1038" w:type="dxa"/>
            <w:vAlign w:val="center"/>
          </w:tcPr>
          <w:p w14:paraId="43DFCF38" w14:textId="77777777" w:rsidR="0003493F" w:rsidRDefault="0003493F" w:rsidP="005F45A9">
            <w:pPr>
              <w:ind w:left="0" w:right="0"/>
              <w:rPr>
                <w:sz w:val="22"/>
                <w:szCs w:val="22"/>
              </w:rPr>
            </w:pPr>
          </w:p>
        </w:tc>
      </w:tr>
      <w:tr w:rsidR="0003493F" w:rsidRPr="00E16CB8" w14:paraId="78FB3D2F" w14:textId="77777777" w:rsidTr="00844845">
        <w:trPr>
          <w:trHeight w:val="520"/>
          <w:jc w:val="center"/>
        </w:trPr>
        <w:tc>
          <w:tcPr>
            <w:tcW w:w="588" w:type="dxa"/>
            <w:tcMar>
              <w:top w:w="43" w:type="dxa"/>
              <w:left w:w="43" w:type="dxa"/>
              <w:bottom w:w="43" w:type="dxa"/>
              <w:right w:w="43" w:type="dxa"/>
            </w:tcMar>
            <w:vAlign w:val="center"/>
          </w:tcPr>
          <w:p w14:paraId="490504BB" w14:textId="142AC3C7" w:rsidR="0003493F" w:rsidRDefault="0003493F" w:rsidP="005F45A9">
            <w:pPr>
              <w:ind w:left="0" w:right="0"/>
              <w:jc w:val="center"/>
              <w:rPr>
                <w:rFonts w:ascii="Arial" w:hAnsi="Arial" w:cs="Arial"/>
                <w:sz w:val="22"/>
                <w:szCs w:val="22"/>
              </w:rPr>
            </w:pPr>
            <w:r>
              <w:rPr>
                <w:rFonts w:ascii="Arial" w:hAnsi="Arial" w:cs="Arial"/>
                <w:sz w:val="22"/>
                <w:szCs w:val="22"/>
              </w:rPr>
              <w:t>6</w:t>
            </w:r>
          </w:p>
        </w:tc>
        <w:tc>
          <w:tcPr>
            <w:tcW w:w="3083" w:type="dxa"/>
            <w:vAlign w:val="center"/>
          </w:tcPr>
          <w:p w14:paraId="60935A71" w14:textId="4A086AFC" w:rsidR="0003493F" w:rsidRDefault="0003493F" w:rsidP="005F45A9">
            <w:pPr>
              <w:ind w:left="0" w:right="0"/>
              <w:rPr>
                <w:sz w:val="22"/>
                <w:szCs w:val="22"/>
              </w:rPr>
            </w:pPr>
            <w:r>
              <w:rPr>
                <w:sz w:val="22"/>
                <w:szCs w:val="22"/>
              </w:rPr>
              <w:t>Mary Anne Cooper</w:t>
            </w:r>
          </w:p>
        </w:tc>
        <w:tc>
          <w:tcPr>
            <w:tcW w:w="2962" w:type="dxa"/>
            <w:tcMar>
              <w:top w:w="43" w:type="dxa"/>
              <w:left w:w="43" w:type="dxa"/>
              <w:bottom w:w="43" w:type="dxa"/>
              <w:right w:w="43" w:type="dxa"/>
            </w:tcMar>
            <w:vAlign w:val="center"/>
          </w:tcPr>
          <w:p w14:paraId="10017918" w14:textId="37AE0439" w:rsidR="0003493F" w:rsidRDefault="0003493F" w:rsidP="005F45A9">
            <w:pPr>
              <w:ind w:left="0" w:right="0"/>
              <w:rPr>
                <w:sz w:val="22"/>
                <w:szCs w:val="22"/>
              </w:rPr>
            </w:pPr>
            <w:r>
              <w:rPr>
                <w:sz w:val="22"/>
                <w:szCs w:val="22"/>
              </w:rPr>
              <w:t>Oregon Farm Bureau (OFB, OFIC, OAN)</w:t>
            </w:r>
          </w:p>
        </w:tc>
        <w:tc>
          <w:tcPr>
            <w:tcW w:w="1278" w:type="dxa"/>
            <w:tcMar>
              <w:top w:w="43" w:type="dxa"/>
              <w:left w:w="43" w:type="dxa"/>
              <w:bottom w:w="43" w:type="dxa"/>
              <w:right w:w="43" w:type="dxa"/>
            </w:tcMar>
            <w:vAlign w:val="center"/>
          </w:tcPr>
          <w:p w14:paraId="238F519B" w14:textId="77777777" w:rsidR="0003493F" w:rsidRPr="0007051A" w:rsidRDefault="0003493F" w:rsidP="005F45A9">
            <w:pPr>
              <w:ind w:left="0" w:right="0"/>
              <w:rPr>
                <w:sz w:val="22"/>
                <w:szCs w:val="22"/>
              </w:rPr>
            </w:pPr>
          </w:p>
        </w:tc>
        <w:tc>
          <w:tcPr>
            <w:tcW w:w="1038" w:type="dxa"/>
            <w:vAlign w:val="center"/>
          </w:tcPr>
          <w:p w14:paraId="4C3A7083" w14:textId="77777777" w:rsidR="0003493F" w:rsidRDefault="0003493F" w:rsidP="005F45A9">
            <w:pPr>
              <w:ind w:left="0" w:right="0"/>
              <w:rPr>
                <w:sz w:val="22"/>
                <w:szCs w:val="22"/>
              </w:rPr>
            </w:pPr>
          </w:p>
        </w:tc>
      </w:tr>
      <w:tr w:rsidR="0003493F" w:rsidRPr="00E16CB8" w14:paraId="06B912DB" w14:textId="77777777" w:rsidTr="00844845">
        <w:trPr>
          <w:trHeight w:val="520"/>
          <w:jc w:val="center"/>
        </w:trPr>
        <w:tc>
          <w:tcPr>
            <w:tcW w:w="588" w:type="dxa"/>
            <w:tcMar>
              <w:top w:w="43" w:type="dxa"/>
              <w:left w:w="43" w:type="dxa"/>
              <w:bottom w:w="43" w:type="dxa"/>
              <w:right w:w="43" w:type="dxa"/>
            </w:tcMar>
            <w:vAlign w:val="center"/>
          </w:tcPr>
          <w:p w14:paraId="24118C9E" w14:textId="28B4BF83" w:rsidR="0003493F" w:rsidRDefault="0003493F" w:rsidP="005F45A9">
            <w:pPr>
              <w:ind w:left="0" w:right="0"/>
              <w:jc w:val="center"/>
              <w:rPr>
                <w:rFonts w:ascii="Arial" w:hAnsi="Arial" w:cs="Arial"/>
                <w:sz w:val="22"/>
                <w:szCs w:val="22"/>
              </w:rPr>
            </w:pPr>
            <w:r>
              <w:rPr>
                <w:rFonts w:ascii="Arial" w:hAnsi="Arial" w:cs="Arial"/>
                <w:sz w:val="22"/>
                <w:szCs w:val="22"/>
              </w:rPr>
              <w:t>7</w:t>
            </w:r>
          </w:p>
        </w:tc>
        <w:tc>
          <w:tcPr>
            <w:tcW w:w="3083" w:type="dxa"/>
            <w:vAlign w:val="center"/>
          </w:tcPr>
          <w:p w14:paraId="504C5A2C" w14:textId="2DA5ABB9" w:rsidR="0003493F" w:rsidRDefault="0003493F" w:rsidP="005F45A9">
            <w:pPr>
              <w:ind w:left="0" w:right="0"/>
              <w:rPr>
                <w:sz w:val="22"/>
                <w:szCs w:val="22"/>
              </w:rPr>
            </w:pPr>
            <w:r>
              <w:rPr>
                <w:sz w:val="22"/>
                <w:szCs w:val="22"/>
              </w:rPr>
              <w:t xml:space="preserve">Kathryn </w:t>
            </w:r>
            <w:proofErr w:type="spellStart"/>
            <w:r>
              <w:rPr>
                <w:sz w:val="22"/>
                <w:szCs w:val="22"/>
              </w:rPr>
              <w:t>VanNatta</w:t>
            </w:r>
            <w:proofErr w:type="spellEnd"/>
          </w:p>
        </w:tc>
        <w:tc>
          <w:tcPr>
            <w:tcW w:w="2962" w:type="dxa"/>
            <w:tcMar>
              <w:top w:w="43" w:type="dxa"/>
              <w:left w:w="43" w:type="dxa"/>
              <w:bottom w:w="43" w:type="dxa"/>
              <w:right w:w="43" w:type="dxa"/>
            </w:tcMar>
            <w:vAlign w:val="center"/>
          </w:tcPr>
          <w:p w14:paraId="1C2C1C7C" w14:textId="72B46103" w:rsidR="0003493F" w:rsidRDefault="0003493F" w:rsidP="005F45A9">
            <w:pPr>
              <w:ind w:left="0" w:right="0"/>
              <w:rPr>
                <w:sz w:val="22"/>
                <w:szCs w:val="22"/>
              </w:rPr>
            </w:pPr>
            <w:r>
              <w:rPr>
                <w:sz w:val="22"/>
                <w:szCs w:val="22"/>
              </w:rPr>
              <w:t>Northwest Pulp &amp; Paper Association (NWPPA)</w:t>
            </w:r>
          </w:p>
        </w:tc>
        <w:tc>
          <w:tcPr>
            <w:tcW w:w="1278" w:type="dxa"/>
            <w:tcMar>
              <w:top w:w="43" w:type="dxa"/>
              <w:left w:w="43" w:type="dxa"/>
              <w:bottom w:w="43" w:type="dxa"/>
              <w:right w:w="43" w:type="dxa"/>
            </w:tcMar>
            <w:vAlign w:val="center"/>
          </w:tcPr>
          <w:p w14:paraId="634D73FF" w14:textId="77777777" w:rsidR="0003493F" w:rsidRPr="0007051A" w:rsidRDefault="0003493F" w:rsidP="005F45A9">
            <w:pPr>
              <w:ind w:left="0" w:right="0"/>
              <w:rPr>
                <w:sz w:val="22"/>
                <w:szCs w:val="22"/>
              </w:rPr>
            </w:pPr>
          </w:p>
        </w:tc>
        <w:tc>
          <w:tcPr>
            <w:tcW w:w="1038" w:type="dxa"/>
            <w:vAlign w:val="center"/>
          </w:tcPr>
          <w:p w14:paraId="2D67EB42" w14:textId="77777777" w:rsidR="0003493F" w:rsidRDefault="0003493F" w:rsidP="005F45A9">
            <w:pPr>
              <w:ind w:left="0" w:right="0"/>
              <w:rPr>
                <w:sz w:val="22"/>
                <w:szCs w:val="22"/>
              </w:rPr>
            </w:pPr>
          </w:p>
        </w:tc>
      </w:tr>
      <w:tr w:rsidR="0003493F" w:rsidRPr="00E16CB8" w14:paraId="57121C6C" w14:textId="77777777" w:rsidTr="00844845">
        <w:trPr>
          <w:trHeight w:val="520"/>
          <w:jc w:val="center"/>
        </w:trPr>
        <w:tc>
          <w:tcPr>
            <w:tcW w:w="588" w:type="dxa"/>
            <w:tcMar>
              <w:top w:w="43" w:type="dxa"/>
              <w:left w:w="43" w:type="dxa"/>
              <w:bottom w:w="43" w:type="dxa"/>
              <w:right w:w="43" w:type="dxa"/>
            </w:tcMar>
            <w:vAlign w:val="center"/>
          </w:tcPr>
          <w:p w14:paraId="1CCAD3C1" w14:textId="35D58220" w:rsidR="0003493F" w:rsidRDefault="0003493F" w:rsidP="005F45A9">
            <w:pPr>
              <w:ind w:left="0" w:right="0"/>
              <w:jc w:val="center"/>
              <w:rPr>
                <w:rFonts w:ascii="Arial" w:hAnsi="Arial" w:cs="Arial"/>
                <w:sz w:val="22"/>
                <w:szCs w:val="22"/>
              </w:rPr>
            </w:pPr>
            <w:r>
              <w:rPr>
                <w:rFonts w:ascii="Arial" w:hAnsi="Arial" w:cs="Arial"/>
                <w:sz w:val="22"/>
                <w:szCs w:val="22"/>
              </w:rPr>
              <w:t>8</w:t>
            </w:r>
          </w:p>
        </w:tc>
        <w:tc>
          <w:tcPr>
            <w:tcW w:w="3083" w:type="dxa"/>
            <w:vAlign w:val="center"/>
          </w:tcPr>
          <w:p w14:paraId="2C2A61B7" w14:textId="4FAF6ADA" w:rsidR="0003493F" w:rsidRDefault="0003493F" w:rsidP="005F45A9">
            <w:pPr>
              <w:ind w:left="0" w:right="0"/>
              <w:rPr>
                <w:sz w:val="22"/>
                <w:szCs w:val="22"/>
              </w:rPr>
            </w:pPr>
            <w:r>
              <w:rPr>
                <w:sz w:val="22"/>
                <w:szCs w:val="22"/>
              </w:rPr>
              <w:t xml:space="preserve">Kirsten </w:t>
            </w:r>
            <w:proofErr w:type="spellStart"/>
            <w:r>
              <w:rPr>
                <w:sz w:val="22"/>
                <w:szCs w:val="22"/>
              </w:rPr>
              <w:t>Losli</w:t>
            </w:r>
            <w:proofErr w:type="spellEnd"/>
          </w:p>
        </w:tc>
        <w:tc>
          <w:tcPr>
            <w:tcW w:w="2962" w:type="dxa"/>
            <w:tcMar>
              <w:top w:w="43" w:type="dxa"/>
              <w:left w:w="43" w:type="dxa"/>
              <w:bottom w:w="43" w:type="dxa"/>
              <w:right w:w="43" w:type="dxa"/>
            </w:tcMar>
            <w:vAlign w:val="center"/>
          </w:tcPr>
          <w:p w14:paraId="70F371B5" w14:textId="20F424EC" w:rsidR="0003493F" w:rsidRDefault="0003493F" w:rsidP="005F45A9">
            <w:pPr>
              <w:ind w:left="0" w:right="0"/>
              <w:rPr>
                <w:sz w:val="22"/>
                <w:szCs w:val="22"/>
              </w:rPr>
            </w:pPr>
            <w:r>
              <w:rPr>
                <w:sz w:val="22"/>
                <w:szCs w:val="22"/>
              </w:rPr>
              <w:t>Clean Water Services</w:t>
            </w:r>
            <w:bookmarkStart w:id="15" w:name="_GoBack"/>
            <w:bookmarkEnd w:id="15"/>
          </w:p>
        </w:tc>
        <w:tc>
          <w:tcPr>
            <w:tcW w:w="1278" w:type="dxa"/>
            <w:tcMar>
              <w:top w:w="43" w:type="dxa"/>
              <w:left w:w="43" w:type="dxa"/>
              <w:bottom w:w="43" w:type="dxa"/>
              <w:right w:w="43" w:type="dxa"/>
            </w:tcMar>
            <w:vAlign w:val="center"/>
          </w:tcPr>
          <w:p w14:paraId="465E30DA" w14:textId="77777777" w:rsidR="0003493F" w:rsidRPr="0007051A" w:rsidRDefault="0003493F" w:rsidP="005F45A9">
            <w:pPr>
              <w:ind w:left="0" w:right="0"/>
              <w:rPr>
                <w:sz w:val="22"/>
                <w:szCs w:val="22"/>
              </w:rPr>
            </w:pPr>
          </w:p>
        </w:tc>
        <w:tc>
          <w:tcPr>
            <w:tcW w:w="1038" w:type="dxa"/>
            <w:vAlign w:val="center"/>
          </w:tcPr>
          <w:p w14:paraId="2684FE07" w14:textId="77777777" w:rsidR="0003493F" w:rsidRDefault="0003493F" w:rsidP="005F45A9">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 xml:space="preserve">filing on approximately January 20, 2020, and then after EPA approves of the rules under the Clean Water </w:t>
      </w:r>
      <w:proofErr w:type="spellStart"/>
      <w:r w:rsidR="00781BFB">
        <w:rPr>
          <w:color w:val="000000" w:themeColor="text1"/>
        </w:rPr>
        <w:t>Act</w:t>
      </w:r>
      <w:r w:rsidRPr="009A06A3">
        <w:rPr>
          <w:rStyle w:val="Emphasis"/>
          <w:color w:val="000000" w:themeColor="text1"/>
          <w:sz w:val="24"/>
        </w:rPr>
        <w:t>mmm</w:t>
      </w:r>
      <w:proofErr w:type="spellEnd"/>
      <w:r w:rsidRPr="009A06A3">
        <w:rPr>
          <w:rStyle w:val="Emphasis"/>
          <w:color w:val="000000" w:themeColor="text1"/>
          <w:sz w:val="24"/>
        </w:rPr>
        <w:t xml:space="preserve">, </w:t>
      </w:r>
      <w:proofErr w:type="spellStart"/>
      <w:r w:rsidRPr="009A06A3">
        <w:rPr>
          <w:rStyle w:val="Emphasis"/>
          <w:color w:val="000000" w:themeColor="text1"/>
          <w:sz w:val="24"/>
        </w:rPr>
        <w:t>dd</w:t>
      </w:r>
      <w:proofErr w:type="spellEnd"/>
      <w:r w:rsidRPr="009A06A3">
        <w:rPr>
          <w:rStyle w:val="Emphasis"/>
          <w:color w:val="000000" w:themeColor="text1"/>
          <w:sz w:val="24"/>
        </w:rPr>
        <w:t xml:space="preserve">, </w:t>
      </w:r>
      <w:proofErr w:type="spellStart"/>
      <w:r w:rsidRPr="009A06A3">
        <w:rPr>
          <w:rStyle w:val="Emphasis"/>
          <w:color w:val="000000" w:themeColor="text1"/>
          <w:sz w:val="24"/>
        </w:rPr>
        <w:t>yyyy</w:t>
      </w:r>
      <w:proofErr w:type="spellEnd"/>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03493F" w:rsidRDefault="0003493F" w:rsidP="002D6C99">
      <w:r>
        <w:separator/>
      </w:r>
    </w:p>
  </w:endnote>
  <w:endnote w:type="continuationSeparator" w:id="0">
    <w:p w14:paraId="3ABC5CD7" w14:textId="77777777" w:rsidR="0003493F" w:rsidRDefault="0003493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03493F" w:rsidRDefault="0003493F" w:rsidP="002D6C99">
    <w:pPr>
      <w:pStyle w:val="Footer"/>
    </w:pPr>
  </w:p>
  <w:p w14:paraId="3ABC5CD9" w14:textId="36A8E3F9" w:rsidR="0003493F" w:rsidRPr="002B4E71" w:rsidRDefault="0003493F" w:rsidP="002D6C99">
    <w:pPr>
      <w:pStyle w:val="Footer"/>
    </w:pPr>
    <w:r>
      <w:t>Staff Report</w:t>
    </w:r>
    <w:r w:rsidRPr="002B4E71">
      <w:t xml:space="preserve"> page | </w:t>
    </w:r>
    <w:r>
      <w:fldChar w:fldCharType="begin"/>
    </w:r>
    <w:r>
      <w:instrText xml:space="preserve"> PAGE   \* MERGEFORMAT </w:instrText>
    </w:r>
    <w:r>
      <w:fldChar w:fldCharType="separate"/>
    </w:r>
    <w:r w:rsidR="00621D99">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03493F" w:rsidRDefault="0003493F" w:rsidP="002D6C99">
      <w:r>
        <w:separator/>
      </w:r>
    </w:p>
  </w:footnote>
  <w:footnote w:type="continuationSeparator" w:id="0">
    <w:p w14:paraId="3ABC5CD5" w14:textId="77777777" w:rsidR="0003493F" w:rsidRDefault="0003493F"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2"/>
  </w:num>
  <w:num w:numId="4">
    <w:abstractNumId w:val="23"/>
  </w:num>
  <w:num w:numId="5">
    <w:abstractNumId w:val="22"/>
  </w:num>
  <w:num w:numId="6">
    <w:abstractNumId w:val="28"/>
  </w:num>
  <w:num w:numId="7">
    <w:abstractNumId w:val="31"/>
  </w:num>
  <w:num w:numId="8">
    <w:abstractNumId w:val="13"/>
  </w:num>
  <w:num w:numId="9">
    <w:abstractNumId w:val="17"/>
  </w:num>
  <w:num w:numId="10">
    <w:abstractNumId w:val="11"/>
  </w:num>
  <w:num w:numId="11">
    <w:abstractNumId w:val="12"/>
  </w:num>
  <w:num w:numId="12">
    <w:abstractNumId w:val="29"/>
  </w:num>
  <w:num w:numId="13">
    <w:abstractNumId w:val="24"/>
  </w:num>
  <w:num w:numId="14">
    <w:abstractNumId w:val="10"/>
  </w:num>
  <w:num w:numId="15">
    <w:abstractNumId w:val="3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0"/>
  </w:num>
  <w:num w:numId="28">
    <w:abstractNumId w:val="14"/>
  </w:num>
  <w:num w:numId="29">
    <w:abstractNumId w:val="27"/>
  </w:num>
  <w:num w:numId="30">
    <w:abstractNumId w:val="33"/>
  </w:num>
  <w:num w:numId="31">
    <w:abstractNumId w:val="21"/>
  </w:num>
  <w:num w:numId="32">
    <w:abstractNumId w:val="15"/>
  </w:num>
  <w:num w:numId="33">
    <w:abstractNumId w:val="26"/>
  </w:num>
  <w:num w:numId="34">
    <w:abstractNumId w:val="16"/>
  </w:num>
  <w:num w:numId="35">
    <w:abstractNumId w:val="20"/>
  </w:num>
  <w:num w:numId="36">
    <w:abstractNumId w:val="19"/>
  </w:num>
  <w:num w:numId="3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1D99"/>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4B3FD1-E7DC-43B4-83C6-414A0827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6803</Words>
  <Characters>38780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LAWSON Inez</cp:lastModifiedBy>
  <cp:revision>2</cp:revision>
  <cp:lastPrinted>2013-02-28T21:12:00Z</cp:lastPrinted>
  <dcterms:created xsi:type="dcterms:W3CDTF">2019-11-06T00:51:00Z</dcterms:created>
  <dcterms:modified xsi:type="dcterms:W3CDTF">2019-11-06T00:51:00Z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