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A10F35C"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AC41B1">
          <w:rPr>
            <w:noProof/>
            <w:webHidden/>
          </w:rPr>
          <w:t>4</w:t>
        </w:r>
        <w:r w:rsidR="0064316E">
          <w:rPr>
            <w:noProof/>
            <w:webHidden/>
          </w:rPr>
          <w:fldChar w:fldCharType="end"/>
        </w:r>
      </w:hyperlink>
    </w:p>
    <w:p w14:paraId="3ABC5B31" w14:textId="36D69E00"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AC41B1">
          <w:rPr>
            <w:noProof/>
            <w:webHidden/>
          </w:rPr>
          <w:t>5</w:t>
        </w:r>
        <w:r w:rsidR="0064316E">
          <w:rPr>
            <w:noProof/>
            <w:webHidden/>
          </w:rPr>
          <w:fldChar w:fldCharType="end"/>
        </w:r>
      </w:hyperlink>
    </w:p>
    <w:p w14:paraId="3ABC5B32" w14:textId="38C03D97"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AC41B1">
          <w:rPr>
            <w:noProof/>
            <w:webHidden/>
          </w:rPr>
          <w:t>8</w:t>
        </w:r>
        <w:r w:rsidR="0064316E">
          <w:rPr>
            <w:noProof/>
            <w:webHidden/>
          </w:rPr>
          <w:fldChar w:fldCharType="end"/>
        </w:r>
      </w:hyperlink>
    </w:p>
    <w:p w14:paraId="3ABC5B33" w14:textId="39DAB871"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AC41B1">
          <w:rPr>
            <w:noProof/>
            <w:webHidden/>
          </w:rPr>
          <w:t>9</w:t>
        </w:r>
        <w:r w:rsidR="0064316E">
          <w:rPr>
            <w:noProof/>
            <w:webHidden/>
          </w:rPr>
          <w:fldChar w:fldCharType="end"/>
        </w:r>
      </w:hyperlink>
    </w:p>
    <w:p w14:paraId="3ABC5B34" w14:textId="0CC4F937"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AC41B1">
          <w:rPr>
            <w:noProof/>
            <w:webHidden/>
          </w:rPr>
          <w:t>11</w:t>
        </w:r>
        <w:r w:rsidR="0064316E">
          <w:rPr>
            <w:noProof/>
            <w:webHidden/>
          </w:rPr>
          <w:fldChar w:fldCharType="end"/>
        </w:r>
      </w:hyperlink>
    </w:p>
    <w:p w14:paraId="3ABC5B35" w14:textId="460AF30A"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AC41B1">
          <w:rPr>
            <w:noProof/>
            <w:webHidden/>
          </w:rPr>
          <w:t>15</w:t>
        </w:r>
        <w:r w:rsidR="0064316E">
          <w:rPr>
            <w:noProof/>
            <w:webHidden/>
          </w:rPr>
          <w:fldChar w:fldCharType="end"/>
        </w:r>
      </w:hyperlink>
    </w:p>
    <w:p w14:paraId="3ABC5B36" w14:textId="71A21297"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AC41B1">
          <w:rPr>
            <w:noProof/>
            <w:webHidden/>
          </w:rPr>
          <w:t>16</w:t>
        </w:r>
        <w:r w:rsidR="0064316E">
          <w:rPr>
            <w:noProof/>
            <w:webHidden/>
          </w:rPr>
          <w:fldChar w:fldCharType="end"/>
        </w:r>
      </w:hyperlink>
    </w:p>
    <w:p w14:paraId="3ABC5B37" w14:textId="0F2E67AA"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AC41B1">
          <w:rPr>
            <w:noProof/>
            <w:webHidden/>
          </w:rPr>
          <w:t>21</w:t>
        </w:r>
        <w:r w:rsidR="0064316E">
          <w:rPr>
            <w:noProof/>
            <w:webHidden/>
          </w:rPr>
          <w:fldChar w:fldCharType="end"/>
        </w:r>
      </w:hyperlink>
    </w:p>
    <w:p w14:paraId="3ABC5B38" w14:textId="2994C20A"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AC41B1">
          <w:rPr>
            <w:noProof/>
            <w:webHidden/>
          </w:rPr>
          <w:t>22</w:t>
        </w:r>
        <w:r w:rsidR="0064316E">
          <w:rPr>
            <w:noProof/>
            <w:webHidden/>
          </w:rPr>
          <w:fldChar w:fldCharType="end"/>
        </w:r>
      </w:hyperlink>
    </w:p>
    <w:p w14:paraId="3ABC5B39" w14:textId="448F544B"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AC41B1">
          <w:rPr>
            <w:noProof/>
            <w:webHidden/>
          </w:rPr>
          <w:t>24</w:t>
        </w:r>
        <w:r w:rsidR="0064316E">
          <w:rPr>
            <w:noProof/>
            <w:webHidden/>
          </w:rPr>
          <w:fldChar w:fldCharType="end"/>
        </w:r>
      </w:hyperlink>
    </w:p>
    <w:p w14:paraId="3ABC5B3A" w14:textId="5523EB0E"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AC41B1">
          <w:rPr>
            <w:noProof/>
            <w:webHidden/>
          </w:rPr>
          <w:t>26</w:t>
        </w:r>
        <w:r w:rsidR="0064316E">
          <w:rPr>
            <w:noProof/>
            <w:webHidden/>
          </w:rPr>
          <w:fldChar w:fldCharType="end"/>
        </w:r>
      </w:hyperlink>
    </w:p>
    <w:p w14:paraId="3ABC5B3B" w14:textId="5B92D361"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AC41B1">
          <w:rPr>
            <w:noProof/>
            <w:webHidden/>
          </w:rPr>
          <w:t>27</w:t>
        </w:r>
        <w:r w:rsidR="0064316E">
          <w:rPr>
            <w:noProof/>
            <w:webHidden/>
          </w:rPr>
          <w:fldChar w:fldCharType="end"/>
        </w:r>
      </w:hyperlink>
    </w:p>
    <w:p w14:paraId="3ABC5B3C" w14:textId="3EF1455C"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AC41B1">
          <w:rPr>
            <w:noProof/>
            <w:webHidden/>
          </w:rPr>
          <w:t>61</w:t>
        </w:r>
        <w:r w:rsidR="0064316E">
          <w:rPr>
            <w:noProof/>
            <w:webHidden/>
          </w:rPr>
          <w:fldChar w:fldCharType="end"/>
        </w:r>
      </w:hyperlink>
    </w:p>
    <w:p w14:paraId="3ABC5B3D" w14:textId="6CA9F347"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AC41B1">
          <w:rPr>
            <w:noProof/>
            <w:webHidden/>
          </w:rPr>
          <w:t>62</w:t>
        </w:r>
        <w:r w:rsidR="0064316E">
          <w:rPr>
            <w:noProof/>
            <w:webHidden/>
          </w:rPr>
          <w:fldChar w:fldCharType="end"/>
        </w:r>
      </w:hyperlink>
    </w:p>
    <w:p w14:paraId="3ABC5B3E" w14:textId="0BC96AB3"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AC41B1">
          <w:rPr>
            <w:noProof/>
            <w:webHidden/>
          </w:rPr>
          <w:t>63</w:t>
        </w:r>
        <w:r w:rsidR="0064316E">
          <w:rPr>
            <w:noProof/>
            <w:webHidden/>
          </w:rPr>
          <w:fldChar w:fldCharType="end"/>
        </w:r>
      </w:hyperlink>
    </w:p>
    <w:p w14:paraId="3ABC5B3F" w14:textId="628F19F8"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AC41B1">
          <w:rPr>
            <w:noProof/>
            <w:webHidden/>
          </w:rPr>
          <w:t>64</w:t>
        </w:r>
        <w:r w:rsidR="0064316E">
          <w:rPr>
            <w:noProof/>
            <w:webHidden/>
          </w:rPr>
          <w:fldChar w:fldCharType="end"/>
        </w:r>
      </w:hyperlink>
    </w:p>
    <w:p w14:paraId="3ABC5B40" w14:textId="1CD5FE5D"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AC41B1">
          <w:rPr>
            <w:noProof/>
            <w:webHidden/>
          </w:rPr>
          <w:t>65</w:t>
        </w:r>
        <w:r w:rsidR="0064316E">
          <w:rPr>
            <w:noProof/>
            <w:webHidden/>
          </w:rPr>
          <w:fldChar w:fldCharType="end"/>
        </w:r>
      </w:hyperlink>
    </w:p>
    <w:p w14:paraId="3ABC5B41" w14:textId="0AB71E8F" w:rsidR="0064316E" w:rsidRDefault="00AF194B">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AC41B1">
          <w:rPr>
            <w:noProof/>
            <w:webHidden/>
          </w:rPr>
          <w:t>66</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lastRenderedPageBreak/>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AF194B" w:rsidRPr="001A4DE1" w:rsidRDefault="00AF194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AF194B" w:rsidRDefault="00AF194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AF194B" w:rsidRPr="001A4DE1" w:rsidRDefault="00AF194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AF194B" w:rsidRDefault="00AF194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AF194B" w:rsidRPr="001A4DE1" w:rsidRDefault="00AF194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AF194B" w:rsidRDefault="00AF194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AF194B" w:rsidRPr="001A4DE1" w:rsidRDefault="00AF194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AF194B" w:rsidRDefault="00AF194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t>
      </w:r>
      <w:r>
        <w:lastRenderedPageBreak/>
        <w:t>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AF194B" w:rsidRPr="001A4DE1" w:rsidRDefault="00AF194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AF194B" w:rsidRDefault="00AF194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AF194B" w:rsidRPr="001A4DE1" w:rsidRDefault="00AF194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AF194B" w:rsidRDefault="00AF194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AF194B"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AF194B"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w:t>
            </w:r>
            <w:r>
              <w:rPr>
                <w:noProof/>
              </w:rPr>
              <w:lastRenderedPageBreak/>
              <w:t>(Oregon) – Technical Support Document (Public Review Draft). Prepared for Oregon Department of Environmental Quality and U.S. EPA Region 10. 162 pp.</w:t>
            </w:r>
          </w:p>
        </w:tc>
        <w:tc>
          <w:tcPr>
            <w:tcW w:w="4500" w:type="dxa"/>
          </w:tcPr>
          <w:p w14:paraId="00888D11" w14:textId="77777777" w:rsidR="00450A46" w:rsidRPr="00364BC1" w:rsidRDefault="00AF194B"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AF194B"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AF194B"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AF194B"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Protection </w:t>
            </w:r>
            <w:r>
              <w:lastRenderedPageBreak/>
              <w:t>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AF194B"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AF194B"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w:t>
            </w:r>
            <w:r w:rsidRPr="00D63523">
              <w:rPr>
                <w:noProof/>
              </w:rPr>
              <w:lastRenderedPageBreak/>
              <w:t xml:space="preserve">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AF194B"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AF194B"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w:t>
            </w:r>
            <w:r w:rsidRPr="001302BD">
              <w:rPr>
                <w:rFonts w:ascii="Times New Roman" w:hAnsi="Times New Roman" w:cs="Times New Roman"/>
                <w:sz w:val="24"/>
                <w:szCs w:val="24"/>
              </w:rPr>
              <w:lastRenderedPageBreak/>
              <w:t xml:space="preserve">Impacts of the Proposed Ohio EPA Water Rules on the Economy. </w:t>
            </w:r>
          </w:p>
        </w:tc>
        <w:tc>
          <w:tcPr>
            <w:tcW w:w="4500" w:type="dxa"/>
          </w:tcPr>
          <w:p w14:paraId="44E6BBCC" w14:textId="77777777" w:rsidR="00450A46" w:rsidRPr="001302BD" w:rsidRDefault="00AF194B"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AF194B"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AF194B"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AF194B"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AF194B"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AF194B"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lastRenderedPageBreak/>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w:t>
            </w:r>
            <w:r w:rsidRPr="00D63523">
              <w:rPr>
                <w:noProof/>
              </w:rPr>
              <w:lastRenderedPageBreak/>
              <w:t xml:space="preserve">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AF194B" w:rsidRPr="001A4DE1" w:rsidRDefault="00AF194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AF194B" w:rsidRDefault="00AF194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AF194B" w:rsidRPr="001A4DE1" w:rsidRDefault="00AF194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AF194B" w:rsidRDefault="00AF194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AF194B" w:rsidRPr="001A4DE1" w:rsidRDefault="00AF194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AF194B" w:rsidRDefault="00AF194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AF194B" w:rsidRPr="001A4DE1" w:rsidRDefault="00AF194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AF194B" w:rsidRDefault="00AF194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lastRenderedPageBreak/>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lastRenderedPageBreak/>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lastRenderedPageBreak/>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AF194B" w:rsidRPr="001A4DE1" w:rsidRDefault="00AF194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AF194B" w:rsidRDefault="00AF194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AF194B" w:rsidRPr="001A4DE1" w:rsidRDefault="00AF194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AF194B" w:rsidRDefault="00AF194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AF194B" w:rsidRPr="001A4DE1" w:rsidRDefault="00AF194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AF194B" w:rsidRDefault="00AF194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AF194B" w:rsidRPr="001A4DE1" w:rsidRDefault="00AF194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AF194B" w:rsidRDefault="00AF194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lastRenderedPageBreak/>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 xml:space="preserve">water permits – issued under the federal Clean Water Act for compliance with </w:t>
            </w:r>
            <w:r w:rsidRPr="009A1C32">
              <w:rPr>
                <w:rFonts w:eastAsiaTheme="minorHAnsi"/>
                <w:sz w:val="22"/>
                <w:szCs w:val="22"/>
              </w:rPr>
              <w:lastRenderedPageBreak/>
              <w:t>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lastRenderedPageBreak/>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 xml:space="preserve">NWPPA believes the TMDL Mercury load reduction efforts should be common sense minimization efforts similar to other TMDLs across the nation </w:t>
            </w:r>
            <w:r w:rsidRPr="009A1C32">
              <w:rPr>
                <w:rFonts w:eastAsiaTheme="minorHAnsi"/>
                <w:sz w:val="22"/>
                <w:szCs w:val="22"/>
              </w:rPr>
              <w:lastRenderedPageBreak/>
              <w:t>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lastRenderedPageBreak/>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 xml:space="preserve">It is factually incorrect that removal of this language as well as removal of language pertaining to unreasonable risks to human health is justified because </w:t>
            </w:r>
            <w:r w:rsidRPr="009A1C32">
              <w:rPr>
                <w:color w:val="000000"/>
                <w:sz w:val="22"/>
                <w:szCs w:val="22"/>
              </w:rPr>
              <w:lastRenderedPageBreak/>
              <w:t>“any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lastRenderedPageBreak/>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lastRenderedPageBreak/>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lastRenderedPageBreak/>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lastRenderedPageBreak/>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 xml:space="preserve">s non-point source </w:t>
            </w:r>
            <w:r w:rsidRPr="00C53B25">
              <w:rPr>
                <w:color w:val="000000"/>
                <w:sz w:val="22"/>
                <w:szCs w:val="22"/>
              </w:rPr>
              <w:lastRenderedPageBreak/>
              <w:t>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lastRenderedPageBreak/>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lastRenderedPageBreak/>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 xml:space="preserve">The analysis leading to this conclusion is not particularly rigorous and is unnecessary. Since it has already been made clear in section 3.1.2 that source reduction is preferred over advanced treatment for other reasons, comparing </w:t>
            </w:r>
            <w:r w:rsidRPr="00E611F1">
              <w:rPr>
                <w:sz w:val="22"/>
                <w:szCs w:val="22"/>
              </w:rPr>
              <w:lastRenderedPageBreak/>
              <w:t>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lastRenderedPageBreak/>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lastRenderedPageBreak/>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4594B1B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multiple discharger variance of the human health criterion for methylmercury is a discharger-specific variance,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 justify the variance and the 20-year term of the variance.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38735B7C"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57957F4" w14:textId="77777777" w:rsidR="004D6736" w:rsidRPr="00DD02CB" w:rsidRDefault="004D6736" w:rsidP="004D6736">
      <w:pPr>
        <w:ind w:left="0" w:right="630"/>
        <w:rPr>
          <w:bCs/>
          <w:color w:val="000000" w:themeColor="text1"/>
          <w:sz w:val="22"/>
          <w:szCs w:val="22"/>
        </w:rPr>
      </w:pPr>
    </w:p>
    <w:p w14:paraId="6CD4AADD" w14:textId="7A8F9A14"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 or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395164FB"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 xml:space="preserve">DEQ is </w:t>
      </w:r>
      <w:r w:rsidR="00253A14">
        <w:rPr>
          <w:color w:val="000000"/>
          <w:sz w:val="22"/>
          <w:szCs w:val="22"/>
        </w:rPr>
        <w:t>propos</w:t>
      </w:r>
      <w:r w:rsidR="00A44F76" w:rsidRPr="00DD02CB">
        <w:rPr>
          <w:color w:val="000000"/>
          <w:sz w:val="22"/>
          <w:szCs w:val="22"/>
        </w:rPr>
        <w:t xml:space="preserve">ing a multiple discharger variance, not a waterbody variance. The purpose of having </w:t>
      </w:r>
      <w:r w:rsidR="00253A14">
        <w:rPr>
          <w:color w:val="000000"/>
          <w:sz w:val="22"/>
          <w:szCs w:val="22"/>
        </w:rPr>
        <w:t>this MDV</w:t>
      </w:r>
      <w:r w:rsidR="00A44F76" w:rsidRPr="00DD02CB">
        <w:rPr>
          <w:color w:val="000000"/>
          <w:sz w:val="22"/>
          <w:szCs w:val="22"/>
        </w:rPr>
        <w:t xml:space="preserve"> is to ensure that DEQ has a means to issue NPDES permits for dischargers that cannot feasibly meet effluent limits for mercury based on the human health criterion for methyl-mercury, while ensuring that mercury levels from these dischargers decrease. </w:t>
      </w:r>
      <w:r w:rsidR="001E741B">
        <w:rPr>
          <w:color w:val="000000"/>
          <w:sz w:val="22"/>
          <w:szCs w:val="22"/>
        </w:rPr>
        <w:t xml:space="preserve">Any Water Quality Management Plan under an approved mercury TMDL for the Willamette Basin will </w:t>
      </w:r>
      <w:r w:rsidR="00253A14">
        <w:rPr>
          <w:color w:val="000000"/>
          <w:sz w:val="22"/>
          <w:szCs w:val="22"/>
        </w:rPr>
        <w:t>describe</w:t>
      </w:r>
      <w:r w:rsidR="00A44F76" w:rsidRPr="00DD02CB">
        <w:rPr>
          <w:color w:val="000000"/>
          <w:sz w:val="22"/>
          <w:szCs w:val="22"/>
        </w:rPr>
        <w:t xml:space="preserve"> how the state is </w:t>
      </w:r>
      <w:r w:rsidR="00253A14">
        <w:rPr>
          <w:color w:val="000000"/>
          <w:sz w:val="22"/>
          <w:szCs w:val="22"/>
        </w:rPr>
        <w:t>addressing</w:t>
      </w:r>
      <w:r w:rsidR="00A44F76" w:rsidRPr="00DD02CB">
        <w:rPr>
          <w:color w:val="000000"/>
          <w:sz w:val="22"/>
          <w:szCs w:val="22"/>
        </w:rPr>
        <w:t xml:space="preserve"> nonpoint source</w:t>
      </w:r>
      <w:r w:rsidR="00253A14">
        <w:rPr>
          <w:color w:val="000000"/>
          <w:sz w:val="22"/>
          <w:szCs w:val="22"/>
        </w:rPr>
        <w:t xml:space="preserve">s of mercury in order to </w:t>
      </w:r>
      <w:r w:rsidR="00A44F76" w:rsidRPr="00DD02CB">
        <w:rPr>
          <w:color w:val="000000"/>
          <w:sz w:val="22"/>
          <w:szCs w:val="22"/>
        </w:rPr>
        <w:t xml:space="preserve">make progress toward attaining the underlying </w:t>
      </w:r>
      <w:r w:rsidR="003B413F">
        <w:rPr>
          <w:color w:val="000000"/>
          <w:sz w:val="22"/>
          <w:szCs w:val="22"/>
        </w:rPr>
        <w:t>standard</w:t>
      </w:r>
      <w:r w:rsidR="00A44F76" w:rsidRPr="00DD02CB">
        <w:rPr>
          <w:color w:val="000000"/>
          <w:sz w:val="22"/>
          <w:szCs w:val="22"/>
        </w:rPr>
        <w:t>.</w:t>
      </w:r>
    </w:p>
    <w:p w14:paraId="497106E1" w14:textId="1A3F2318" w:rsidR="004D6736" w:rsidRDefault="004D6736" w:rsidP="004D6736">
      <w:pPr>
        <w:ind w:left="0" w:right="630"/>
        <w:rPr>
          <w:bCs/>
          <w:color w:val="000000" w:themeColor="text1"/>
          <w:sz w:val="22"/>
          <w:szCs w:val="22"/>
        </w:rPr>
      </w:pPr>
    </w:p>
    <w:p w14:paraId="0331FF9A" w14:textId="5ADDD129" w:rsidR="00F008EF"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0EBFA8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A variance is a temporary change to the water quality standard for purpose of developing permit conditions. A variance does not change the underlying water quality standard for purposes of assessment and development of TMDLs. Once DEQ develops</w:t>
      </w:r>
      <w:r w:rsidR="003B413F">
        <w:rPr>
          <w:bCs/>
          <w:color w:val="000000" w:themeColor="text1"/>
          <w:sz w:val="22"/>
          <w:szCs w:val="22"/>
        </w:rPr>
        <w:t xml:space="preserve"> and EPA approves</w:t>
      </w:r>
      <w:r w:rsidR="00F008EF">
        <w:rPr>
          <w:bCs/>
          <w:color w:val="000000" w:themeColor="text1"/>
          <w:sz w:val="22"/>
          <w:szCs w:val="22"/>
        </w:rPr>
        <w:t xml:space="preserve"> a TMDL, </w:t>
      </w:r>
      <w:r w:rsidR="00842188">
        <w:rPr>
          <w:bCs/>
          <w:color w:val="000000" w:themeColor="text1"/>
          <w:sz w:val="22"/>
          <w:szCs w:val="22"/>
        </w:rPr>
        <w:t xml:space="preserve">or EPA develops its own TMDL, </w:t>
      </w:r>
      <w:r w:rsidR="00F008EF">
        <w:rPr>
          <w:bCs/>
          <w:color w:val="000000" w:themeColor="text1"/>
          <w:sz w:val="22"/>
          <w:szCs w:val="22"/>
        </w:rPr>
        <w:t>NPDES permit conditions</w:t>
      </w:r>
      <w:r w:rsidR="003B413F">
        <w:rPr>
          <w:bCs/>
          <w:color w:val="000000" w:themeColor="text1"/>
          <w:sz w:val="22"/>
          <w:szCs w:val="22"/>
        </w:rPr>
        <w:t xml:space="preserve"> are based on the TMDL</w:t>
      </w:r>
      <w:r w:rsidR="00F008EF">
        <w:rPr>
          <w:bCs/>
          <w:color w:val="000000" w:themeColor="text1"/>
          <w:sz w:val="22"/>
          <w:szCs w:val="22"/>
        </w:rPr>
        <w:t xml:space="preserve">. </w:t>
      </w:r>
      <w:r w:rsidR="00E11787">
        <w:rPr>
          <w:bCs/>
          <w:color w:val="000000" w:themeColor="text1"/>
          <w:sz w:val="22"/>
          <w:szCs w:val="22"/>
        </w:rPr>
        <w:t xml:space="preserve">DEQ is moving forward with the variance in the case that </w:t>
      </w:r>
      <w:r w:rsidR="00987750">
        <w:rPr>
          <w:bCs/>
          <w:color w:val="000000" w:themeColor="text1"/>
          <w:sz w:val="22"/>
          <w:szCs w:val="22"/>
        </w:rPr>
        <w:t>implementation of the TMDL is delayed, so that DEQ can issue permits.</w:t>
      </w:r>
    </w:p>
    <w:p w14:paraId="710E1DDD" w14:textId="042A0B44" w:rsidR="004D6736" w:rsidRDefault="004D6736" w:rsidP="004D6736">
      <w:pPr>
        <w:ind w:left="0" w:right="630"/>
        <w:rPr>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2F9685CE"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This rulemaking grants a multiple discharger variance to individual wastewater dischargers covered under the NPDES program. Variances are only necessary for such dischargers, which would otherwise have 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2FA6296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668EE925"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18BD868D"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F94D52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Pr>
          <w:bCs/>
          <w:color w:val="000000" w:themeColor="text1"/>
          <w:sz w:val="22"/>
          <w:szCs w:val="22"/>
        </w:rPr>
        <w:t>This comment is not relevant to the proposed rule or supporting document</w:t>
      </w:r>
      <w:r w:rsidR="009012F7">
        <w:rPr>
          <w:bCs/>
          <w:color w:val="000000" w:themeColor="text1"/>
          <w:sz w:val="22"/>
          <w:szCs w:val="22"/>
        </w:rPr>
        <w:t>ation. DEQ provided more than 45 days notice for the public to submit written comments. Were a request for an extension comment period submitted, DEQ would have considered such a request.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45E149DA"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 already has included language in the variance authorization rule in OAR 340-041-0059(1)(a) which states that the underlying designated use and criterion remain in effect when a variance is adopted. DEQ did not make any changes in response to this comment.</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1AC31BC9"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A93CA9" w:rsidRPr="00DD02CB">
        <w:rPr>
          <w:bCs/>
          <w:color w:val="000000" w:themeColor="text1"/>
          <w:sz w:val="22"/>
          <w:szCs w:val="22"/>
        </w:rPr>
        <w:t>Commenter does not specify what specifically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26A8E5D9" w14:textId="2DE182BC" w:rsidR="00717F64"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r w:rsidR="009012F7">
        <w:rPr>
          <w:color w:val="000000"/>
          <w:sz w:val="22"/>
          <w:szCs w:val="22"/>
        </w:rPr>
        <w:t>state</w:t>
      </w:r>
      <w:r w:rsidR="00717F64" w:rsidRPr="00DD02CB">
        <w:rPr>
          <w:color w:val="000000"/>
          <w:sz w:val="22"/>
          <w:szCs w:val="22"/>
        </w:rPr>
        <w:t xml:space="preserve">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In response to this request, DEQ listed all dischargers that, based on current knowledge, should be covered by the variance. DEQ is also retaining eligibility requirements in case additional facilities, such as </w:t>
      </w:r>
      <w:r w:rsidR="002D5DD3">
        <w:rPr>
          <w:color w:val="000000"/>
          <w:sz w:val="22"/>
          <w:szCs w:val="22"/>
        </w:rPr>
        <w:t xml:space="preserve">those municipalities that graduate from minor to major facilities during the term of the variance, also require a variance. </w:t>
      </w:r>
      <w:r w:rsidR="00717F64" w:rsidRPr="00DD02CB">
        <w:rPr>
          <w:color w:val="000000"/>
          <w:sz w:val="22"/>
          <w:szCs w:val="22"/>
        </w:rPr>
        <w:t>The federal rule does not require identification of nonpoint source controls for discharger</w:t>
      </w:r>
      <w:r w:rsidR="009012F7">
        <w:rPr>
          <w:color w:val="000000"/>
          <w:sz w:val="22"/>
          <w:szCs w:val="22"/>
        </w:rPr>
        <w:t>(s)</w:t>
      </w:r>
      <w:r w:rsidR="00717F64" w:rsidRPr="00DD02CB">
        <w:rPr>
          <w:color w:val="000000"/>
          <w:sz w:val="22"/>
          <w:szCs w:val="22"/>
        </w:rPr>
        <w:t>-specific variances.</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7E6EF586"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04393E">
        <w:rPr>
          <w:bCs/>
          <w:color w:val="000000" w:themeColor="text1"/>
          <w:sz w:val="22"/>
          <w:szCs w:val="22"/>
        </w:rPr>
        <w:t>Individual variances are adopted by order and therefore would not be memorialized in Oregon Administrative Rules. DEQ wishes to maintain flexibility for where multiple discharger and waterbody variances are memorialized. However, DEQ’s rule does state that the agency will publish a list of all variances. DEQ is proposing to amend th</w:t>
      </w:r>
      <w:r w:rsidR="002D5DD3">
        <w:rPr>
          <w:bCs/>
          <w:color w:val="000000" w:themeColor="text1"/>
          <w:sz w:val="22"/>
          <w:szCs w:val="22"/>
        </w:rPr>
        <w:t>e</w:t>
      </w:r>
      <w:r w:rsidR="0004393E">
        <w:rPr>
          <w:bCs/>
          <w:color w:val="000000" w:themeColor="text1"/>
          <w:sz w:val="22"/>
          <w:szCs w:val="22"/>
        </w:rPr>
        <w:t xml:space="preserve"> rule to state that this list will be </w:t>
      </w:r>
      <w:r w:rsidR="002D5DD3">
        <w:rPr>
          <w:bCs/>
          <w:color w:val="000000" w:themeColor="text1"/>
          <w:sz w:val="22"/>
          <w:szCs w:val="22"/>
        </w:rPr>
        <w:t>main</w:t>
      </w:r>
      <w:r w:rsidR="0004393E">
        <w:rPr>
          <w:bCs/>
          <w:color w:val="000000" w:themeColor="text1"/>
          <w:sz w:val="22"/>
          <w:szCs w:val="22"/>
        </w:rPr>
        <w:t>tained 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commentRangeStart w:id="14"/>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14"/>
      <w:r w:rsidR="0004393E">
        <w:rPr>
          <w:rStyle w:val="CommentReference"/>
        </w:rPr>
        <w:commentReference w:id="14"/>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2B87F9E1"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617788" w:rsidRPr="00DD02CB">
        <w:rPr>
          <w:b/>
          <w:bCs/>
          <w:color w:val="000000" w:themeColor="text1"/>
          <w:sz w:val="22"/>
          <w:szCs w:val="22"/>
        </w:rPr>
        <w:t xml:space="preserve"> </w:t>
      </w:r>
      <w:r w:rsidR="00EA587B" w:rsidRPr="00DD02CB">
        <w:rPr>
          <w:bCs/>
          <w:color w:val="000000" w:themeColor="text1"/>
          <w:sz w:val="22"/>
          <w:szCs w:val="22"/>
        </w:rPr>
        <w:t xml:space="preserve">DEQ agrees that adopting a water quality standard that will jeopardize ESA-listed species is poor policy.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5018C00F" w:rsidR="004D6736" w:rsidRPr="00DD02CB" w:rsidRDefault="00EA587B" w:rsidP="004D6736">
      <w:pPr>
        <w:ind w:left="0" w:right="630"/>
        <w:rPr>
          <w:bCs/>
          <w:color w:val="000000" w:themeColor="text1"/>
          <w:sz w:val="22"/>
          <w:szCs w:val="22"/>
        </w:rPr>
      </w:pPr>
      <w:r w:rsidRPr="00DD02CB">
        <w:rPr>
          <w:bCs/>
          <w:color w:val="000000" w:themeColor="text1"/>
          <w:sz w:val="22"/>
          <w:szCs w:val="22"/>
        </w:rPr>
        <w:lastRenderedPageBreak/>
        <w:t xml:space="preserve">DEQ disagrees that a variance removes an existing use on a temporary basis, </w:t>
      </w:r>
      <w:r w:rsidR="002D5DD3">
        <w:rPr>
          <w:bCs/>
          <w:color w:val="000000" w:themeColor="text1"/>
          <w:sz w:val="22"/>
          <w:szCs w:val="22"/>
        </w:rPr>
        <w:t xml:space="preserve">as a variance does not result in a lowering of water quality;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3735509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limits based on the underlying water quality standard are unattainable. At a minimum, any discharger must meet technology-based effluent limits. Moreover, any variance </w:t>
      </w:r>
      <w:r w:rsidR="00AF194B">
        <w:rPr>
          <w:bCs/>
          <w:color w:val="000000" w:themeColor="text1"/>
          <w:sz w:val="22"/>
          <w:szCs w:val="22"/>
        </w:rPr>
        <w:t>cannot</w:t>
      </w:r>
      <w:r w:rsidR="006F02E5">
        <w:rPr>
          <w:bCs/>
          <w:color w:val="000000" w:themeColor="text1"/>
          <w:sz w:val="22"/>
          <w:szCs w:val="22"/>
        </w:rPr>
        <w:t xml:space="preserve"> result in a lowering of the currently attained water quality (except for restoration purposes). Finally, conditions in the variance must result in the highest attainable condition by the end of the variance. It therefore </w:t>
      </w:r>
      <w:r w:rsidR="00AF194B">
        <w:rPr>
          <w:bCs/>
          <w:color w:val="000000" w:themeColor="text1"/>
          <w:sz w:val="22"/>
          <w:szCs w:val="22"/>
        </w:rPr>
        <w:t>does not</w:t>
      </w:r>
      <w:r w:rsidR="006F02E5">
        <w:rPr>
          <w:bCs/>
          <w:color w:val="000000" w:themeColor="text1"/>
          <w:sz w:val="22"/>
          <w:szCs w:val="22"/>
        </w:rPr>
        <w:t xml:space="preserve"> make sense for DEQ to make a subjective declaration about an unreasonable risk to human health, when any variance of a human health criterion will result in decreased human health risks.</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1DD33E7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 the underlying </w:t>
      </w:r>
      <w:r w:rsidR="00D37753">
        <w:rPr>
          <w:sz w:val="22"/>
          <w:szCs w:val="22"/>
        </w:rPr>
        <w:t xml:space="preserve">designated </w:t>
      </w:r>
      <w:r w:rsidR="00041954" w:rsidRPr="00DD02CB">
        <w:rPr>
          <w:sz w:val="22"/>
          <w:szCs w:val="22"/>
        </w:rPr>
        <w:t>use and criterion for a waterbody. This comment does not pertain to the variance rule</w:t>
      </w:r>
      <w:r w:rsidR="00D37753">
        <w:rPr>
          <w:sz w:val="22"/>
          <w:szCs w:val="22"/>
        </w:rPr>
        <w:t>, as any variance does not remove the underlying designated use.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6DC98F20"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547DED2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This provision is consistent with federal language. If a permit has conditions related to the variance, those conditions will remain until the permit expires, even if the variance temporarily is no longer the water quality standard because DEQ did not submit the variance to EPA in a timely manner. If the variance is no longer the applicable water quality standard and the permit expires, the discharger has the option to apply for a new variance, if one 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36E14D2D"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 xml:space="preserve">. Such data will be utilized to </w:t>
      </w:r>
      <w:r w:rsidR="00D03F45" w:rsidRPr="00DD02CB">
        <w:rPr>
          <w:sz w:val="22"/>
          <w:szCs w:val="22"/>
        </w:rPr>
        <w:lastRenderedPageBreak/>
        <w:t xml:space="preserve">reevaluate the highest attainable condition at least every five years. For waterbody variances, DEQ will use discharger-specific data, as well as 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963F0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4A1ADF">
        <w:rPr>
          <w:bCs/>
          <w:color w:val="000000" w:themeColor="text1"/>
          <w:sz w:val="22"/>
          <w:szCs w:val="22"/>
        </w:rPr>
        <w:t>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18733EB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If a compliance schedule is necessary at the date the variance expires, DEQ will adopt one 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70A0BFD0"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We support the clarity of DEQ’s having permits 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37D10B36"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 xml:space="preserve">DEQ cannot specify the effective date of the variance within the variance document, because the effective date is conditional on EPA approval.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lastRenderedPageBreak/>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2D46732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The required content of a pollutant minimization plan will differ depending on the pollutant, circumstances of the discharger and other factors. In some cases, pre-treatment programs may relate to a variance and DEQ may incorporate pre-treatment measures into PMP requirements. In other cases, a pre-treatment program may have less relevance.</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1A4FDE56" w14:textId="6C042402" w:rsidR="004D6736" w:rsidRPr="00DD02CB" w:rsidRDefault="004D6736" w:rsidP="004D6736">
      <w:pPr>
        <w:ind w:left="0" w:right="630"/>
        <w:rPr>
          <w:bCs/>
          <w:color w:val="000000" w:themeColor="text1"/>
          <w:sz w:val="22"/>
          <w:szCs w:val="22"/>
        </w:rPr>
      </w:pPr>
    </w:p>
    <w:p w14:paraId="0116D33C" w14:textId="008078F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(4)(b) is inconsistent with federal regulations. </w:t>
      </w:r>
    </w:p>
    <w:p w14:paraId="63B261A3" w14:textId="77777777" w:rsidR="004D6736" w:rsidRPr="00DD02CB" w:rsidRDefault="004D6736" w:rsidP="004D6736">
      <w:pPr>
        <w:tabs>
          <w:tab w:val="left" w:pos="1080"/>
        </w:tabs>
        <w:ind w:left="0" w:right="634"/>
        <w:rPr>
          <w:b/>
          <w:bCs/>
          <w:sz w:val="22"/>
          <w:szCs w:val="22"/>
        </w:rPr>
      </w:pPr>
    </w:p>
    <w:p w14:paraId="4D5896F0" w14:textId="342EB8F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As a result, DEQ cannot make any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1FEBF55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r>
        <w:rPr>
          <w:color w:val="000000"/>
          <w:sz w:val="22"/>
          <w:szCs w:val="22"/>
        </w:rPr>
        <w:t xml:space="preserve">(b) and </w:t>
      </w:r>
      <w:r w:rsidRPr="00DD02CB">
        <w:rPr>
          <w:color w:val="000000"/>
          <w:sz w:val="22"/>
          <w:szCs w:val="22"/>
        </w:rPr>
        <w:t>(c)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56906D4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#45</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DEQ is prop</w:t>
      </w:r>
      <w:r w:rsidR="00844A26">
        <w:rPr>
          <w:bCs/>
          <w:color w:val="000000" w:themeColor="text1"/>
          <w:sz w:val="22"/>
          <w:szCs w:val="22"/>
        </w:rPr>
        <w:t xml:space="preserve">osing to clarify this language. </w:t>
      </w:r>
      <w:r w:rsidR="00C33213">
        <w:rPr>
          <w:bCs/>
          <w:color w:val="000000" w:themeColor="text1"/>
          <w:sz w:val="22"/>
          <w:szCs w:val="22"/>
        </w:rPr>
        <w:t xml:space="preserve">There may be instances under a variance in which DEQ will require a discharger to submit information </w:t>
      </w:r>
      <w:r w:rsidR="00C33213">
        <w:rPr>
          <w:bCs/>
          <w:color w:val="000000" w:themeColor="text1"/>
          <w:sz w:val="22"/>
          <w:szCs w:val="22"/>
        </w:rPr>
        <w:lastRenderedPageBreak/>
        <w:t xml:space="preserve">on best management practices within the dischargers control. Any such requirements will be included in </w:t>
      </w:r>
      <w:r w:rsidR="00844A26">
        <w:rPr>
          <w:bCs/>
          <w:color w:val="000000" w:themeColor="text1"/>
          <w:sz w:val="22"/>
          <w:szCs w:val="22"/>
        </w:rPr>
        <w:t xml:space="preserve">conditions based on </w:t>
      </w:r>
      <w:r w:rsidR="00C33213">
        <w:rPr>
          <w:bCs/>
          <w:color w:val="000000" w:themeColor="text1"/>
          <w:sz w:val="22"/>
          <w:szCs w:val="22"/>
        </w:rPr>
        <w:t>the variance.</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26E92F8B"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The proposed language 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D52031D"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Federal variance requirements at 40 CFR 131.14(b)(1)(A)(3) and (b)(1)(B)(2) require that a variance include, if no additional feasible pollutant control technology can be identified, adoption and implementation of a Pollutant Minimization Plan.</w:t>
      </w:r>
      <w:r w:rsidR="00237FE1">
        <w:rPr>
          <w:bCs/>
          <w:color w:val="000000" w:themeColor="text1"/>
          <w:sz w:val="22"/>
          <w:szCs w:val="22"/>
        </w:rPr>
        <w:t xml:space="preserve"> EPA has clarified that this PMP is to be adopted by the State in the variance. DEQ </w:t>
      </w:r>
      <w:r w:rsidR="00844A26">
        <w:rPr>
          <w:bCs/>
          <w:color w:val="000000" w:themeColor="text1"/>
          <w:sz w:val="22"/>
          <w:szCs w:val="22"/>
        </w:rPr>
        <w:t xml:space="preserve">is clarifying 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2DCE601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68CC6595" w:rsidR="008C3E27" w:rsidRPr="00DD02CB" w:rsidRDefault="004D6736" w:rsidP="008C3E27">
      <w:pPr>
        <w:ind w:left="0"/>
        <w:rPr>
          <w:sz w:val="22"/>
          <w:szCs w:val="22"/>
        </w:rPr>
      </w:pPr>
      <w:r w:rsidRPr="00DD02CB">
        <w:rPr>
          <w:b/>
          <w:bCs/>
          <w:color w:val="000000" w:themeColor="text1"/>
          <w:sz w:val="22"/>
          <w:szCs w:val="22"/>
        </w:rPr>
        <w:lastRenderedPageBreak/>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non-point source BMPs 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05A0FF5E"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41B4769A"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DEQ ag</w:t>
      </w:r>
      <w:r w:rsidR="00844A26">
        <w:rPr>
          <w:sz w:val="22"/>
          <w:szCs w:val="22"/>
        </w:rPr>
        <w:t>rees with this comment and 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187E1AA0"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All monitoring done under the proposed rule must be included in the annual report as required in (6)(d). These reports are available to the public. Therefore, there is no need to add “public reporting” under this rule.</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1ED2DCBC"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2227D1B5"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 There is no need to include a redundant requirement in this rule.</w:t>
      </w:r>
      <w:r w:rsidR="002F12D5">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lastRenderedPageBreak/>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77385E2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2F12D5">
        <w:rPr>
          <w:bCs/>
          <w:color w:val="000000" w:themeColor="text1"/>
          <w:sz w:val="22"/>
          <w:szCs w:val="22"/>
        </w:rPr>
        <w:t xml:space="preserve"> DEQ also has deleted proposed language in section 8 in response to this comment, so that the agency does not need to do a rulemaking to update the list any time DEQ grants a variance.</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05419159"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 xml:space="preserve">is proposing to delete proposed language at OAR 340-041-0059(8) </w:t>
      </w:r>
      <w:r w:rsidR="002F12D5">
        <w:rPr>
          <w:bCs/>
          <w:color w:val="000000" w:themeColor="text1"/>
          <w:sz w:val="22"/>
          <w:szCs w:val="22"/>
        </w:rPr>
        <w:t>(see response to Comment #6</w:t>
      </w:r>
      <w:r w:rsidR="007C7DC0">
        <w:rPr>
          <w:bCs/>
          <w:color w:val="000000" w:themeColor="text1"/>
          <w:sz w:val="22"/>
          <w:szCs w:val="22"/>
        </w:rPr>
        <w:t>3</w:t>
      </w:r>
      <w:r w:rsidR="002F12D5">
        <w:rPr>
          <w:bCs/>
          <w:color w:val="000000" w:themeColor="text1"/>
          <w:sz w:val="22"/>
          <w:szCs w:val="22"/>
        </w:rPr>
        <w:t xml:space="preserve">) </w:t>
      </w:r>
      <w:r w:rsidR="00A8413C">
        <w:rPr>
          <w:bCs/>
          <w:color w:val="000000" w:themeColor="text1"/>
          <w:sz w:val="22"/>
          <w:szCs w:val="22"/>
        </w:rPr>
        <w:t>and instead is proposing to list all variances on the department’s website.</w:t>
      </w:r>
      <w:r w:rsidR="002F12D5">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1459DF1C"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with this comment and has </w:t>
      </w:r>
      <w:r w:rsidR="00DD02CB">
        <w:rPr>
          <w:sz w:val="22"/>
          <w:szCs w:val="22"/>
        </w:rPr>
        <w:t>made changes to proposed rule language at OAR 340-041-0059(5)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57C9512A" w:rsidR="001969C2"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is proposing to delete </w:t>
      </w:r>
      <w:r w:rsidR="002F12D5">
        <w:rPr>
          <w:bCs/>
          <w:color w:val="000000" w:themeColor="text1"/>
          <w:sz w:val="22"/>
          <w:szCs w:val="22"/>
        </w:rPr>
        <w:t xml:space="preserve">language in </w:t>
      </w:r>
      <w:r w:rsidR="001969C2">
        <w:rPr>
          <w:bCs/>
          <w:color w:val="000000" w:themeColor="text1"/>
          <w:sz w:val="22"/>
          <w:szCs w:val="22"/>
        </w:rPr>
        <w:t>the lead paragraph in OAR 340-041-0345(6) 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16A464B1"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DEQ’s finding that “the fishing use and associated human health criterion for mercury cannot be obtained in the waters of the women basin in the next 20 years” is flawed. Without nonpoint source controls, the underline uses and criteria will never be met.</w:t>
      </w:r>
    </w:p>
    <w:p w14:paraId="3034856C" w14:textId="77777777" w:rsidR="004D6736" w:rsidRPr="00DD02CB" w:rsidRDefault="004D6736" w:rsidP="004D6736">
      <w:pPr>
        <w:tabs>
          <w:tab w:val="left" w:pos="1080"/>
        </w:tabs>
        <w:ind w:left="0" w:right="634"/>
        <w:rPr>
          <w:b/>
          <w:bCs/>
          <w:sz w:val="22"/>
          <w:szCs w:val="22"/>
        </w:rPr>
      </w:pPr>
    </w:p>
    <w:p w14:paraId="4DF3ECB6" w14:textId="391437FD"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will not be remedied in the next 20 years based on findings in the </w:t>
      </w:r>
      <w:r w:rsidR="002F12D5">
        <w:rPr>
          <w:bCs/>
          <w:color w:val="000000" w:themeColor="text1"/>
          <w:sz w:val="22"/>
          <w:szCs w:val="22"/>
        </w:rPr>
        <w:t>updated</w:t>
      </w:r>
      <w:r w:rsidR="001969C2">
        <w:rPr>
          <w:bCs/>
          <w:color w:val="000000" w:themeColor="text1"/>
          <w:sz w:val="22"/>
          <w:szCs w:val="22"/>
        </w:rPr>
        <w:t xml:space="preserve"> TMDL that it will take decades to implement activities (including nonpoint source controls) needed to meet load allocations under the TMDL.</w:t>
      </w:r>
      <w:r w:rsidR="002F12D5">
        <w:rPr>
          <w:bCs/>
          <w:color w:val="000000" w:themeColor="text1"/>
          <w:sz w:val="22"/>
          <w:szCs w:val="22"/>
        </w:rPr>
        <w:t xml:space="preserve">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02104A8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will not be remedied in the next 20 years based on findings in the </w:t>
      </w:r>
      <w:r w:rsidR="002F12D5">
        <w:rPr>
          <w:bCs/>
          <w:color w:val="000000" w:themeColor="text1"/>
          <w:sz w:val="22"/>
          <w:szCs w:val="22"/>
        </w:rPr>
        <w:t>updat</w:t>
      </w:r>
      <w:r w:rsidR="001969C2">
        <w:rPr>
          <w:bCs/>
          <w:color w:val="000000" w:themeColor="text1"/>
          <w:sz w:val="22"/>
          <w:szCs w:val="22"/>
        </w:rPr>
        <w:t>ed TMDL that it will take decades to implement activities (including nonpoint source controls) needed to meet load allocations under the TMDL.</w:t>
      </w:r>
      <w:r w:rsidR="002F12D5">
        <w:rPr>
          <w:bCs/>
          <w:color w:val="000000" w:themeColor="text1"/>
          <w:sz w:val="22"/>
          <w:szCs w:val="22"/>
        </w:rPr>
        <w:t xml:space="preserve"> </w:t>
      </w:r>
      <w:r w:rsidR="001969C2">
        <w:rPr>
          <w:bCs/>
          <w:color w:val="000000" w:themeColor="text1"/>
          <w:sz w:val="22"/>
          <w:szCs w:val="22"/>
        </w:rPr>
        <w:t>DEQ has not made changes in response to this comment.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73A22AAF" w:rsidR="004D5CAC" w:rsidRPr="004D5CAC" w:rsidRDefault="004D5CAC" w:rsidP="007F7F8C">
      <w:pPr>
        <w:ind w:left="0" w:right="0"/>
        <w:rPr>
          <w:sz w:val="22"/>
          <w:szCs w:val="22"/>
        </w:rPr>
      </w:pPr>
      <w:r>
        <w:rPr>
          <w:b/>
          <w:sz w:val="22"/>
          <w:szCs w:val="22"/>
        </w:rPr>
        <w:t xml:space="preserve">Response. </w:t>
      </w:r>
      <w:r>
        <w:rPr>
          <w:sz w:val="22"/>
          <w:szCs w:val="22"/>
        </w:rPr>
        <w:t xml:space="preserve">DEQ agrees with this comment and has </w:t>
      </w:r>
      <w:r w:rsidR="008E3F74">
        <w:rPr>
          <w:sz w:val="22"/>
          <w:szCs w:val="22"/>
        </w:rPr>
        <w:t>added a new provision</w:t>
      </w:r>
      <w:r>
        <w:rPr>
          <w:sz w:val="22"/>
          <w:szCs w:val="22"/>
        </w:rPr>
        <w:t xml:space="preserve"> to OAR 340-041-0345(6)(a)(C) 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62D08AA1"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agrees and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lastRenderedPageBreak/>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2E1E49C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DEQ has not made changes in response to this comment.</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453DC0C7"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guidance 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w:t>
      </w:r>
      <w:r w:rsidR="00B25A31">
        <w:rPr>
          <w:bCs/>
          <w:color w:val="000000" w:themeColor="text1"/>
          <w:sz w:val="22"/>
          <w:szCs w:val="22"/>
        </w:rPr>
        <w:t xml:space="preserve"> As a result, there is no need to analyze the use of nutrient removal technology.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60FF58C4"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w:t>
      </w:r>
      <w:r w:rsidR="00BE6B9A" w:rsidRPr="00DD02CB">
        <w:rPr>
          <w:color w:val="000000"/>
          <w:sz w:val="22"/>
          <w:szCs w:val="22"/>
        </w:rPr>
        <w:lastRenderedPageBreak/>
        <w:t xml:space="preserve">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is retaining proposed eligibility criteria</w:t>
      </w:r>
      <w:r w:rsidR="00DC593D">
        <w:rPr>
          <w:color w:val="000000"/>
          <w:sz w:val="22"/>
          <w:szCs w:val="22"/>
        </w:rPr>
        <w:t>, consistent with EPA preamble language and guidance</w:t>
      </w:r>
      <w:r w:rsidR="00471ECD">
        <w:rPr>
          <w:color w:val="000000"/>
          <w:sz w:val="22"/>
          <w:szCs w:val="22"/>
        </w:rPr>
        <w:t>.</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70FD091"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3.2.1 of the supporting document. DEQ has not created a reference to the supporting document regarding how the LCA will be implemented in permits, as </w:t>
      </w:r>
      <w:r w:rsidR="00C45073">
        <w:rPr>
          <w:bCs/>
          <w:color w:val="000000" w:themeColor="text1"/>
          <w:sz w:val="22"/>
          <w:szCs w:val="22"/>
        </w:rPr>
        <w:t>the variance is</w:t>
      </w:r>
      <w:r w:rsidR="002E7541">
        <w:rPr>
          <w:bCs/>
          <w:color w:val="000000" w:themeColor="text1"/>
          <w:sz w:val="22"/>
          <w:szCs w:val="22"/>
        </w:rPr>
        <w:t xml:space="preserve"> a water quality standards rule</w:t>
      </w:r>
      <w:r w:rsidR="00DC593D">
        <w:rPr>
          <w:bCs/>
          <w:color w:val="000000" w:themeColor="text1"/>
          <w:sz w:val="22"/>
          <w:szCs w:val="22"/>
        </w:rPr>
        <w:t>, not a permitting rule</w:t>
      </w:r>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2B4C6D26"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 for added clarity.</w:t>
      </w:r>
      <w:r w:rsidR="008E3F74">
        <w:rPr>
          <w:bCs/>
          <w:color w:val="000000" w:themeColor="text1"/>
          <w:sz w:val="22"/>
          <w:szCs w:val="22"/>
        </w:rPr>
        <w:t xml:space="preserve"> </w:t>
      </w:r>
      <w:r w:rsidR="002E7541">
        <w:rPr>
          <w:bCs/>
          <w:color w:val="000000" w:themeColor="text1"/>
          <w:sz w:val="22"/>
          <w:szCs w:val="22"/>
        </w:rPr>
        <w:t xml:space="preserve">DEQ has made changes </w:t>
      </w:r>
      <w:r w:rsidR="00B7486E">
        <w:rPr>
          <w:bCs/>
          <w:color w:val="000000" w:themeColor="text1"/>
          <w:sz w:val="22"/>
          <w:szCs w:val="22"/>
        </w:rPr>
        <w:t>to OAR 340-041-0345(6)(e)-(h) in response to this comment.</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738EC72D"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Required activities in the state minimization plan is consistent with EPA and state guidance regarding implementation of the methyl-mercury criterion. Dischargers required to have pretreatment programs and those developing such programs must ensure that appropriate pretreatment controls are in place.</w:t>
      </w:r>
      <w:r w:rsidR="008E3F74">
        <w:rPr>
          <w:bCs/>
          <w:color w:val="000000" w:themeColor="text1"/>
          <w:sz w:val="22"/>
          <w:szCs w:val="22"/>
        </w:rPr>
        <w:t xml:space="preserve"> DEQ has not made changes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DEF11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241C9A0E"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TMDL and to focus municipal efforts for 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43011E17"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4E344C">
        <w:rPr>
          <w:bCs/>
          <w:color w:val="000000" w:themeColor="text1"/>
          <w:sz w:val="22"/>
          <w:szCs w:val="22"/>
        </w:rPr>
        <w:t>DEQ has opted to avoid trading</w:t>
      </w:r>
      <w:r w:rsidR="007F5F78">
        <w:rPr>
          <w:bCs/>
          <w:color w:val="000000" w:themeColor="text1"/>
          <w:sz w:val="22"/>
          <w:szCs w:val="22"/>
        </w:rPr>
        <w:t xml:space="preserve"> in this variance, because of the need to adopt this variance </w:t>
      </w:r>
      <w:r w:rsidR="006341EE">
        <w:rPr>
          <w:bCs/>
          <w:color w:val="000000" w:themeColor="text1"/>
          <w:sz w:val="22"/>
          <w:szCs w:val="22"/>
        </w:rPr>
        <w:t xml:space="preserve">promptly </w:t>
      </w:r>
      <w:r w:rsidR="007F5F78">
        <w:rPr>
          <w:bCs/>
          <w:color w:val="000000" w:themeColor="text1"/>
          <w:sz w:val="22"/>
          <w:szCs w:val="22"/>
        </w:rPr>
        <w:t xml:space="preserve">so that DEQ can issue permits. Creating a trading regime would </w:t>
      </w:r>
      <w:r w:rsidR="006341EE">
        <w:rPr>
          <w:bCs/>
          <w:color w:val="000000" w:themeColor="text1"/>
          <w:sz w:val="22"/>
          <w:szCs w:val="22"/>
        </w:rPr>
        <w:t xml:space="preserve">add complications to this variance and </w:t>
      </w:r>
      <w:r w:rsidR="007F5F78">
        <w:rPr>
          <w:bCs/>
          <w:color w:val="000000" w:themeColor="text1"/>
          <w:sz w:val="22"/>
          <w:szCs w:val="22"/>
        </w:rPr>
        <w:t>delay this rulemaking process further.</w:t>
      </w:r>
      <w:r w:rsidR="006341EE">
        <w:rPr>
          <w:bCs/>
          <w:color w:val="000000" w:themeColor="text1"/>
          <w:sz w:val="22"/>
          <w:szCs w:val="22"/>
        </w:rPr>
        <w:t xml:space="preserve"> 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057D7F32"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 however, DEQ will not revise rule language accordingly, as all records related to this variance are already public records.</w:t>
      </w:r>
      <w:r w:rsidR="006341EE" w:rsidRPr="006341EE">
        <w:rPr>
          <w:bCs/>
          <w:color w:val="000000" w:themeColor="text1"/>
          <w:sz w:val="22"/>
          <w:szCs w:val="22"/>
        </w:rPr>
        <w:t xml:space="preserve"> </w:t>
      </w:r>
      <w:r w:rsidR="006341EE">
        <w:rPr>
          <w:bCs/>
          <w:color w:val="000000" w:themeColor="text1"/>
          <w:sz w:val="22"/>
          <w:szCs w:val="22"/>
        </w:rPr>
        <w:t>DEQ has not make changes in response to this comment.</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61A135C5"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Section 1 .4, page 4.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0C3A388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 as they are not relevant to this variance.</w:t>
      </w:r>
    </w:p>
    <w:p w14:paraId="2173949A" w14:textId="77777777" w:rsidR="004D6736" w:rsidRPr="00DD02CB" w:rsidRDefault="004D6736" w:rsidP="004D6736">
      <w:pPr>
        <w:ind w:left="0" w:right="630"/>
        <w:rPr>
          <w:bCs/>
          <w:color w:val="000000" w:themeColor="text1"/>
          <w:sz w:val="22"/>
          <w:szCs w:val="22"/>
        </w:rPr>
      </w:pPr>
    </w:p>
    <w:p w14:paraId="6A189995" w14:textId="3A7B389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for other </w:t>
      </w:r>
      <w:r w:rsidR="00DE38FD" w:rsidRPr="00DD02CB">
        <w:rPr>
          <w:sz w:val="22"/>
          <w:szCs w:val="22"/>
        </w:rPr>
        <w:lastRenderedPageBreak/>
        <w:t>reasons, comparing the two further is not needed to support that approach. The studies cited in comment 18 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5509B13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DEQ agrees and has revised this section and other related sections of the supporting documentation accordingly.</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07DD84E9"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DEQ has made clarifying edits to 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07A9C34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revised its justification for the term of the variance and its discussion of the State’s programs for controlling mercury sources other than those coming from point sources. This description is consistent with DEQ’s updates to the Willamette Basin Mercury TMDL, which is DEQ’s plan for addressing mercury in the basin.</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commentRangeStart w:id="15"/>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w:t>
      </w:r>
      <w:bookmarkStart w:id="16" w:name="_GoBack"/>
      <w:bookmarkEnd w:id="16"/>
      <w:r w:rsidR="00DE38FD" w:rsidRPr="00DD02CB">
        <w:rPr>
          <w:rFonts w:eastAsiaTheme="minorHAnsi"/>
          <w:sz w:val="22"/>
          <w:szCs w:val="22"/>
        </w:rPr>
        <w:t>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commentRangeEnd w:id="15"/>
      <w:r w:rsidR="00341CFE">
        <w:rPr>
          <w:rStyle w:val="CommentReference"/>
        </w:rPr>
        <w:commentReference w:id="15"/>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1DFA3E6B"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90EA75D" w:rsidR="004D6736" w:rsidRPr="003A11B1"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341CFE">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5A1AED8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any 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08520F5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6510D0">
        <w:rPr>
          <w:color w:val="000000"/>
          <w:sz w:val="22"/>
          <w:szCs w:val="22"/>
        </w:rPr>
        <w:t xml:space="preserve"> As such, supporting documentation in the variance is not 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587B6C1A"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6510D0" w:rsidRPr="00DD02CB">
        <w:rPr>
          <w:color w:val="000000"/>
          <w:sz w:val="22"/>
          <w:szCs w:val="22"/>
        </w:rPr>
        <w:t>DEQ is adopting a multiple discharger variance that applies to point sources.</w:t>
      </w:r>
      <w:r w:rsidR="006510D0">
        <w:rPr>
          <w:color w:val="000000"/>
          <w:sz w:val="22"/>
          <w:szCs w:val="22"/>
        </w:rPr>
        <w:t xml:space="preserve"> As such the variance is not required to identify and document </w:t>
      </w:r>
      <w:r w:rsidR="006510D0" w:rsidRPr="00DD02CB">
        <w:rPr>
          <w:color w:val="000000"/>
          <w:sz w:val="22"/>
          <w:szCs w:val="22"/>
        </w:rPr>
        <w:t>cost-effective and reasonable best management practic</w:t>
      </w:r>
      <w:r w:rsidR="006510D0">
        <w:rPr>
          <w:color w:val="000000"/>
          <w:sz w:val="22"/>
          <w:szCs w:val="22"/>
        </w:rPr>
        <w:t xml:space="preserve">es for nonpoint source controls </w:t>
      </w:r>
      <w:r w:rsidR="00A44F76" w:rsidRPr="00DD02CB">
        <w:rPr>
          <w:color w:val="000000"/>
          <w:sz w:val="22"/>
          <w:szCs w:val="22"/>
        </w:rPr>
        <w:t>and there is no impact on land use.</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7" w:name="_Toc490121554"/>
            <w:r w:rsidRPr="00276752">
              <w:lastRenderedPageBreak/>
              <w:t>Commenters</w:t>
            </w:r>
            <w:bookmarkEnd w:id="17"/>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8" w:name="_Toc490121555"/>
            <w:r w:rsidRPr="00377FA3">
              <w:t>Implementation</w:t>
            </w:r>
            <w:bookmarkEnd w:id="18"/>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lastRenderedPageBreak/>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9" w:name="_Toc490121556"/>
            <w:r w:rsidRPr="001D0308">
              <w:lastRenderedPageBreak/>
              <w:t>Five-year review</w:t>
            </w:r>
            <w:bookmarkEnd w:id="19"/>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20" w:name="_Toc490121557"/>
            <w:r>
              <w:lastRenderedPageBreak/>
              <w:t>Draft Rules – With Edits Highlighted</w:t>
            </w:r>
            <w:bookmarkEnd w:id="20"/>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21" w:name="_Toc490121558"/>
            <w:r>
              <w:lastRenderedPageBreak/>
              <w:t>Draft Rules – With Edits Included</w:t>
            </w:r>
            <w:bookmarkEnd w:id="21"/>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2" w:name="_Toc490121559"/>
            <w:r>
              <w:lastRenderedPageBreak/>
              <w:t>Supporting Documents</w:t>
            </w:r>
            <w:bookmarkEnd w:id="22"/>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BOROK Aron" w:date="2019-11-14T16:23:00Z" w:initials="BA">
    <w:p w14:paraId="53CC3F4E" w14:textId="2A611765" w:rsidR="00AF194B" w:rsidRDefault="00AF194B">
      <w:pPr>
        <w:pStyle w:val="CommentText"/>
      </w:pPr>
      <w:r>
        <w:rPr>
          <w:rStyle w:val="CommentReference"/>
        </w:rPr>
        <w:annotationRef/>
      </w:r>
      <w:r>
        <w:t>Discuss following meeting with EPA</w:t>
      </w:r>
    </w:p>
  </w:comment>
  <w:comment w:id="15" w:author="BOROK Aron" w:date="2019-11-19T13:26:00Z" w:initials="BA">
    <w:p w14:paraId="7A13BB47" w14:textId="1819C739" w:rsidR="00AF194B" w:rsidRDefault="00AF194B">
      <w:pPr>
        <w:pStyle w:val="CommentText"/>
      </w:pPr>
      <w:r>
        <w:rPr>
          <w:rStyle w:val="CommentReference"/>
        </w:rPr>
        <w:annotationRef/>
      </w:r>
      <w:r>
        <w:t>Sent comment to Erich for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CC3F4E" w15:done="0"/>
  <w15:commentEx w15:paraId="7A13BB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AF194B" w:rsidRDefault="00AF194B" w:rsidP="002D6C99">
      <w:r>
        <w:separator/>
      </w:r>
    </w:p>
  </w:endnote>
  <w:endnote w:type="continuationSeparator" w:id="0">
    <w:p w14:paraId="3ABC5CD7" w14:textId="77777777" w:rsidR="00AF194B" w:rsidRDefault="00AF194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AF194B" w:rsidRDefault="00AF194B" w:rsidP="002D6C99">
    <w:pPr>
      <w:pStyle w:val="Footer"/>
    </w:pPr>
  </w:p>
  <w:p w14:paraId="3ABC5CD9" w14:textId="5DBAE92D" w:rsidR="00AF194B" w:rsidRPr="002B4E71" w:rsidRDefault="00AF194B" w:rsidP="002D6C99">
    <w:pPr>
      <w:pStyle w:val="Footer"/>
    </w:pPr>
    <w:r>
      <w:t>Staff Report</w:t>
    </w:r>
    <w:r w:rsidRPr="002B4E71">
      <w:t xml:space="preserve"> page | </w:t>
    </w:r>
    <w:r>
      <w:fldChar w:fldCharType="begin"/>
    </w:r>
    <w:r>
      <w:instrText xml:space="preserve"> PAGE   \* MERGEFORMAT </w:instrText>
    </w:r>
    <w:r>
      <w:fldChar w:fldCharType="separate"/>
    </w:r>
    <w:r w:rsidR="003D4392">
      <w:rPr>
        <w:noProof/>
      </w:rPr>
      <w:t>69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AF194B" w:rsidRDefault="00AF194B" w:rsidP="002D6C99">
      <w:r>
        <w:separator/>
      </w:r>
    </w:p>
  </w:footnote>
  <w:footnote w:type="continuationSeparator" w:id="0">
    <w:p w14:paraId="3ABC5CD5" w14:textId="77777777" w:rsidR="00AF194B" w:rsidRDefault="00AF194B"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53DB"/>
    <w:rsid w:val="0010650B"/>
    <w:rsid w:val="00106B3F"/>
    <w:rsid w:val="00107189"/>
    <w:rsid w:val="00107B12"/>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1B1"/>
    <w:rsid w:val="003A1573"/>
    <w:rsid w:val="003A2B26"/>
    <w:rsid w:val="003A2F55"/>
    <w:rsid w:val="003A36DF"/>
    <w:rsid w:val="003A53CF"/>
    <w:rsid w:val="003B28BE"/>
    <w:rsid w:val="003B413F"/>
    <w:rsid w:val="003B467D"/>
    <w:rsid w:val="003B4CCB"/>
    <w:rsid w:val="003B628A"/>
    <w:rsid w:val="003B7078"/>
    <w:rsid w:val="003C12DB"/>
    <w:rsid w:val="003C325E"/>
    <w:rsid w:val="003C432C"/>
    <w:rsid w:val="003C60B9"/>
    <w:rsid w:val="003C6C7E"/>
    <w:rsid w:val="003D03AB"/>
    <w:rsid w:val="003D3B3C"/>
    <w:rsid w:val="003D4392"/>
    <w:rsid w:val="003D6D98"/>
    <w:rsid w:val="003E0361"/>
    <w:rsid w:val="003E23CE"/>
    <w:rsid w:val="003F0606"/>
    <w:rsid w:val="003F0C47"/>
    <w:rsid w:val="003F2D2D"/>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0B5"/>
    <w:rsid w:val="004706D5"/>
    <w:rsid w:val="00470AD8"/>
    <w:rsid w:val="00471D68"/>
    <w:rsid w:val="00471ECD"/>
    <w:rsid w:val="0047393E"/>
    <w:rsid w:val="0047545F"/>
    <w:rsid w:val="00476D38"/>
    <w:rsid w:val="0048174F"/>
    <w:rsid w:val="004905F1"/>
    <w:rsid w:val="00492236"/>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52F1"/>
    <w:rsid w:val="005B0C97"/>
    <w:rsid w:val="005B12C3"/>
    <w:rsid w:val="005B4944"/>
    <w:rsid w:val="005C10E3"/>
    <w:rsid w:val="005C1798"/>
    <w:rsid w:val="005C1EB1"/>
    <w:rsid w:val="005C304F"/>
    <w:rsid w:val="005C30D8"/>
    <w:rsid w:val="005C3793"/>
    <w:rsid w:val="005D0385"/>
    <w:rsid w:val="005D428C"/>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10286"/>
    <w:rsid w:val="0061029F"/>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5"/>
    <w:rsid w:val="006F02EB"/>
    <w:rsid w:val="006F0D97"/>
    <w:rsid w:val="006F1FBD"/>
    <w:rsid w:val="006F2E9F"/>
    <w:rsid w:val="006F3A8D"/>
    <w:rsid w:val="006F6D85"/>
    <w:rsid w:val="006F7471"/>
    <w:rsid w:val="00700417"/>
    <w:rsid w:val="0070371A"/>
    <w:rsid w:val="00705C22"/>
    <w:rsid w:val="00707371"/>
    <w:rsid w:val="00711098"/>
    <w:rsid w:val="007145F7"/>
    <w:rsid w:val="00716292"/>
    <w:rsid w:val="00717F64"/>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9043C"/>
    <w:rsid w:val="00797FC9"/>
    <w:rsid w:val="007A24BE"/>
    <w:rsid w:val="007A6681"/>
    <w:rsid w:val="007B080C"/>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5F78"/>
    <w:rsid w:val="007F6FB0"/>
    <w:rsid w:val="007F7F8C"/>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2188"/>
    <w:rsid w:val="00844845"/>
    <w:rsid w:val="00844A2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3E27"/>
    <w:rsid w:val="008C744F"/>
    <w:rsid w:val="008C7798"/>
    <w:rsid w:val="008D4AFC"/>
    <w:rsid w:val="008D52B1"/>
    <w:rsid w:val="008D5EDD"/>
    <w:rsid w:val="008E1462"/>
    <w:rsid w:val="008E3F74"/>
    <w:rsid w:val="008F19E2"/>
    <w:rsid w:val="008F2AA3"/>
    <w:rsid w:val="008F5048"/>
    <w:rsid w:val="008F5CB1"/>
    <w:rsid w:val="00900A95"/>
    <w:rsid w:val="009012F7"/>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8014C"/>
    <w:rsid w:val="00A80639"/>
    <w:rsid w:val="00A812D7"/>
    <w:rsid w:val="00A8413C"/>
    <w:rsid w:val="00A872BA"/>
    <w:rsid w:val="00A9276C"/>
    <w:rsid w:val="00A93CA9"/>
    <w:rsid w:val="00A94100"/>
    <w:rsid w:val="00A94E6E"/>
    <w:rsid w:val="00A95932"/>
    <w:rsid w:val="00AA26D5"/>
    <w:rsid w:val="00AA42DD"/>
    <w:rsid w:val="00AA4C43"/>
    <w:rsid w:val="00AA62F7"/>
    <w:rsid w:val="00AA76CE"/>
    <w:rsid w:val="00AB1B3E"/>
    <w:rsid w:val="00AB34D8"/>
    <w:rsid w:val="00AB46AA"/>
    <w:rsid w:val="00AB65D0"/>
    <w:rsid w:val="00AC1660"/>
    <w:rsid w:val="00AC41B1"/>
    <w:rsid w:val="00AC7AF2"/>
    <w:rsid w:val="00AD0243"/>
    <w:rsid w:val="00AD1BBA"/>
    <w:rsid w:val="00AD33B5"/>
    <w:rsid w:val="00AD357E"/>
    <w:rsid w:val="00AD7DB9"/>
    <w:rsid w:val="00AE1EB7"/>
    <w:rsid w:val="00AE3390"/>
    <w:rsid w:val="00AE67D5"/>
    <w:rsid w:val="00AF03DD"/>
    <w:rsid w:val="00AF15AD"/>
    <w:rsid w:val="00AF194B"/>
    <w:rsid w:val="00AF509A"/>
    <w:rsid w:val="00B004B7"/>
    <w:rsid w:val="00B0210D"/>
    <w:rsid w:val="00B041EC"/>
    <w:rsid w:val="00B1210C"/>
    <w:rsid w:val="00B12D5B"/>
    <w:rsid w:val="00B13B71"/>
    <w:rsid w:val="00B15DF7"/>
    <w:rsid w:val="00B2226B"/>
    <w:rsid w:val="00B22430"/>
    <w:rsid w:val="00B24EF8"/>
    <w:rsid w:val="00B25A31"/>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A1D"/>
    <w:rsid w:val="00BE6B9A"/>
    <w:rsid w:val="00BE7983"/>
    <w:rsid w:val="00BF0572"/>
    <w:rsid w:val="00BF0F29"/>
    <w:rsid w:val="00BF28C8"/>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3632"/>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5C5"/>
    <w:rsid w:val="00D01EC9"/>
    <w:rsid w:val="00D03472"/>
    <w:rsid w:val="00D03AC4"/>
    <w:rsid w:val="00D03F45"/>
    <w:rsid w:val="00D07AAD"/>
    <w:rsid w:val="00D109F3"/>
    <w:rsid w:val="00D11E49"/>
    <w:rsid w:val="00D128BB"/>
    <w:rsid w:val="00D1364A"/>
    <w:rsid w:val="00D13E96"/>
    <w:rsid w:val="00D15B8D"/>
    <w:rsid w:val="00D164B2"/>
    <w:rsid w:val="00D17CDB"/>
    <w:rsid w:val="00D20509"/>
    <w:rsid w:val="00D210BC"/>
    <w:rsid w:val="00D27525"/>
    <w:rsid w:val="00D3083F"/>
    <w:rsid w:val="00D30BCF"/>
    <w:rsid w:val="00D34D18"/>
    <w:rsid w:val="00D35EC1"/>
    <w:rsid w:val="00D37753"/>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593D"/>
    <w:rsid w:val="00DC74C6"/>
    <w:rsid w:val="00DD02CB"/>
    <w:rsid w:val="00DD11D4"/>
    <w:rsid w:val="00DD419A"/>
    <w:rsid w:val="00DD4819"/>
    <w:rsid w:val="00DD5959"/>
    <w:rsid w:val="00DE2FFA"/>
    <w:rsid w:val="00DE3326"/>
    <w:rsid w:val="00DE38FD"/>
    <w:rsid w:val="00DE3DF4"/>
    <w:rsid w:val="00DE4D04"/>
    <w:rsid w:val="00DE6FD3"/>
    <w:rsid w:val="00DF543F"/>
    <w:rsid w:val="00E02299"/>
    <w:rsid w:val="00E046C6"/>
    <w:rsid w:val="00E07FE1"/>
    <w:rsid w:val="00E11474"/>
    <w:rsid w:val="00E11787"/>
    <w:rsid w:val="00E131C7"/>
    <w:rsid w:val="00E13C70"/>
    <w:rsid w:val="00E1798C"/>
    <w:rsid w:val="00E17DC5"/>
    <w:rsid w:val="00E220F4"/>
    <w:rsid w:val="00E221D5"/>
    <w:rsid w:val="00E23CBC"/>
    <w:rsid w:val="00E278B9"/>
    <w:rsid w:val="00E33649"/>
    <w:rsid w:val="00E33B5C"/>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30A8"/>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587B"/>
    <w:rsid w:val="00EA7ABC"/>
    <w:rsid w:val="00EA7F6B"/>
    <w:rsid w:val="00EB0EE9"/>
    <w:rsid w:val="00EB2CFC"/>
    <w:rsid w:val="00EB34DD"/>
    <w:rsid w:val="00EB69C7"/>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3A2"/>
    <w:rsid w:val="00F05B03"/>
    <w:rsid w:val="00F05E86"/>
    <w:rsid w:val="00F06EEF"/>
    <w:rsid w:val="00F07710"/>
    <w:rsid w:val="00F1103E"/>
    <w:rsid w:val="00F11240"/>
    <w:rsid w:val="00F129EB"/>
    <w:rsid w:val="00F135FF"/>
    <w:rsid w:val="00F138BD"/>
    <w:rsid w:val="00F146F0"/>
    <w:rsid w:val="00F16229"/>
    <w:rsid w:val="00F200A0"/>
    <w:rsid w:val="00F268E2"/>
    <w:rsid w:val="00F305DD"/>
    <w:rsid w:val="00F31F43"/>
    <w:rsid w:val="00F32478"/>
    <w:rsid w:val="00F3457A"/>
    <w:rsid w:val="00F35879"/>
    <w:rsid w:val="00F42573"/>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54D2AD36-6A0A-4EF8-98D0-E2E1225E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69</Pages>
  <Words>20992</Words>
  <Characters>119655</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20</cp:revision>
  <cp:lastPrinted>2019-11-20T16:35:00Z</cp:lastPrinted>
  <dcterms:created xsi:type="dcterms:W3CDTF">2019-11-12T23:24:00Z</dcterms:created>
  <dcterms:modified xsi:type="dcterms:W3CDTF">2019-11-20T23:53:00Z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