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lastRenderedPageBreak/>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7338CD">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w:t>
      </w:r>
      <w:r>
        <w:lastRenderedPageBreak/>
        <w:t xml:space="preserve">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lastRenderedPageBreak/>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r>
        <w:lastRenderedPageBreak/>
        <w:t xml:space="preserve">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lastRenderedPageBreak/>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w:t>
      </w:r>
      <w:r w:rsidR="00C3467B">
        <w:lastRenderedPageBreak/>
        <w:t xml:space="preserve">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lastRenderedPageBreak/>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lastRenderedPageBreak/>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lastRenderedPageBreak/>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338CD"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338CD"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7338CD"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338CD"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 xml:space="preserve">U.S. Environmental Protection Agency. 2010. Guidance for Implementing </w:t>
            </w:r>
            <w:r>
              <w:lastRenderedPageBreak/>
              <w:t>the January 2001 Methylmercury Water Quality Criterion. Office of Science and Technology. Washington, DC. EPA 823-R-10-001. 221 pp.</w:t>
            </w:r>
          </w:p>
        </w:tc>
        <w:tc>
          <w:tcPr>
            <w:tcW w:w="4500" w:type="dxa"/>
          </w:tcPr>
          <w:p w14:paraId="6219F8BA" w14:textId="77777777" w:rsidR="00450A46" w:rsidRPr="001302BD" w:rsidRDefault="007338CD"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338CD"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Agency. 2008. Municipal Nutrient Removal Technologies Reference Document. Office of Wastewater Management, Municipal Support Division, </w:t>
            </w:r>
            <w:r>
              <w:lastRenderedPageBreak/>
              <w:t>Municipal Technology Branch. EPA 832-R-08-006. 449 pp.</w:t>
            </w:r>
          </w:p>
        </w:tc>
        <w:tc>
          <w:tcPr>
            <w:tcW w:w="4500" w:type="dxa"/>
          </w:tcPr>
          <w:p w14:paraId="28DBE896" w14:textId="77777777" w:rsidR="00450A46" w:rsidRPr="00364BC1" w:rsidRDefault="007338CD"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338CD"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w:t>
            </w:r>
            <w:r w:rsidRPr="00D63523">
              <w:rPr>
                <w:noProof/>
              </w:rPr>
              <w:lastRenderedPageBreak/>
              <w:t xml:space="preserve">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338CD"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338CD"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 xml:space="preserve">Mercury effluent data from pre-treatment </w:t>
            </w:r>
            <w:r w:rsidRPr="001302BD">
              <w:lastRenderedPageBreak/>
              <w:t>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338CD"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338CD"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338CD"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xml:space="preserve">. 2013. Achieving the Great Lakes Initiative Mercury Limits in Oil Refinery Effluent. Water </w:t>
            </w:r>
            <w:r w:rsidRPr="001302BD">
              <w:rPr>
                <w:rFonts w:ascii="Times New Roman" w:hAnsi="Times New Roman" w:cs="Times New Roman"/>
                <w:sz w:val="24"/>
                <w:szCs w:val="24"/>
              </w:rPr>
              <w:lastRenderedPageBreak/>
              <w:t>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338CD"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AECOM. 2015. Chloride Compliance </w:t>
            </w:r>
            <w:r w:rsidRPr="001302BD">
              <w:rPr>
                <w:rFonts w:ascii="Times New Roman" w:hAnsi="Times New Roman" w:cs="Times New Roman"/>
                <w:sz w:val="24"/>
                <w:szCs w:val="24"/>
              </w:rPr>
              <w:lastRenderedPageBreak/>
              <w:t>Study Nine Springs Wastewater Treatment Plant Final Report</w:t>
            </w:r>
          </w:p>
        </w:tc>
        <w:tc>
          <w:tcPr>
            <w:tcW w:w="4500" w:type="dxa"/>
          </w:tcPr>
          <w:p w14:paraId="2E3421EE" w14:textId="77777777" w:rsidR="00450A46" w:rsidRPr="001302BD" w:rsidRDefault="007338CD"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338CD"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 xml:space="preserve">Stevens Point Public Utilities. 2018. Mercury </w:t>
            </w:r>
            <w:r>
              <w:rPr>
                <w:noProof/>
              </w:rPr>
              <w:lastRenderedPageBreak/>
              <w:t>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lastRenderedPageBreak/>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either </w:t>
      </w:r>
      <w:r>
        <w:rPr>
          <w:bCs/>
          <w:color w:val="000000"/>
        </w:rPr>
        <w:lastRenderedPageBreak/>
        <w:t>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w:t>
      </w:r>
      <w:r>
        <w:rPr>
          <w:bCs/>
          <w:iCs/>
        </w:rPr>
        <w:lastRenderedPageBreak/>
        <w:t xml:space="preserve">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w:t>
      </w:r>
      <w:r>
        <w:lastRenderedPageBreak/>
        <w:t xml:space="preserve">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lastRenderedPageBreak/>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lastRenderedPageBreak/>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w:t>
            </w:r>
            <w:r w:rsidRPr="009A1C32">
              <w:rPr>
                <w:rFonts w:eastAsiaTheme="minorHAnsi"/>
                <w:sz w:val="22"/>
                <w:szCs w:val="22"/>
              </w:rPr>
              <w:lastRenderedPageBreak/>
              <w:t xml:space="preserve">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lastRenderedPageBreak/>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lastRenderedPageBreak/>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lastRenderedPageBreak/>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lastRenderedPageBreak/>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lastRenderedPageBreak/>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lastRenderedPageBreak/>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lastRenderedPageBreak/>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should only be requested if necessary. The District suggests that this provision read, "DEQ will review updates to the facility's site-specific </w:t>
            </w:r>
            <w:r w:rsidRPr="00E611F1">
              <w:rPr>
                <w:sz w:val="22"/>
                <w:szCs w:val="22"/>
              </w:rPr>
              <w:lastRenderedPageBreak/>
              <w:t>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lastRenderedPageBreak/>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w:t>
            </w:r>
            <w:r w:rsidRPr="00E611F1">
              <w:rPr>
                <w:rFonts w:eastAsiaTheme="minorHAnsi"/>
                <w:sz w:val="22"/>
                <w:szCs w:val="22"/>
              </w:rPr>
              <w:lastRenderedPageBreak/>
              <w:t>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lastRenderedPageBreak/>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lastRenderedPageBreak/>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xml:space="preserve">. A variance does not change the underlying water quality standard for purposes of assessment and development of </w:t>
      </w:r>
      <w:r w:rsidR="00F008EF">
        <w:rPr>
          <w:bCs/>
          <w:color w:val="000000" w:themeColor="text1"/>
          <w:sz w:val="22"/>
          <w:szCs w:val="22"/>
        </w:rPr>
        <w:lastRenderedPageBreak/>
        <w:t>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w:t>
      </w:r>
      <w:r w:rsidR="00D015C5" w:rsidRPr="00DD02CB">
        <w:rPr>
          <w:rFonts w:eastAsiaTheme="minorHAnsi"/>
          <w:sz w:val="22"/>
          <w:szCs w:val="22"/>
        </w:rPr>
        <w:lastRenderedPageBreak/>
        <w:t>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 xml:space="preserve">NWPPA would prefer attainable water quality standards that remove the uncertainty of not being able to comply with ultra-low water quality standards and the risk of the unintended consequence of threatening current facility operations and </w:t>
      </w:r>
      <w:r w:rsidR="00D015C5" w:rsidRPr="00DD02CB">
        <w:rPr>
          <w:rFonts w:eastAsiaTheme="minorHAnsi"/>
          <w:sz w:val="22"/>
          <w:szCs w:val="22"/>
        </w:rPr>
        <w:lastRenderedPageBreak/>
        <w:t>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lastRenderedPageBreak/>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0"/>
      <w:r w:rsidR="009012F7">
        <w:rPr>
          <w:color w:val="000000"/>
          <w:sz w:val="22"/>
          <w:szCs w:val="22"/>
        </w:rPr>
        <w:t>state</w:t>
      </w:r>
      <w:del w:id="31"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0"/>
      <w:r w:rsidR="00CF5F25">
        <w:rPr>
          <w:rStyle w:val="CommentReference"/>
        </w:rPr>
        <w:commentReference w:id="30"/>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w:t>
      </w:r>
      <w:r w:rsidR="009012F7">
        <w:rPr>
          <w:color w:val="000000"/>
          <w:sz w:val="22"/>
          <w:szCs w:val="22"/>
        </w:rPr>
        <w:lastRenderedPageBreak/>
        <w:t xml:space="preserve">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6966E5">
        <w:rPr>
          <w:color w:val="000000"/>
          <w:sz w:val="22"/>
          <w:szCs w:val="22"/>
          <w:highlight w:val="yellow"/>
          <w:rPrChange w:id="32"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33" w:author="DOU Connie" w:date="2019-11-23T18:34:00Z">
            <w:rPr>
              <w:color w:val="000000"/>
              <w:sz w:val="22"/>
              <w:szCs w:val="22"/>
            </w:rPr>
          </w:rPrChange>
        </w:rPr>
        <w:t>(s)</w:t>
      </w:r>
      <w:r w:rsidR="00717F64" w:rsidRPr="006966E5">
        <w:rPr>
          <w:color w:val="000000"/>
          <w:sz w:val="22"/>
          <w:szCs w:val="22"/>
          <w:highlight w:val="yellow"/>
          <w:rPrChange w:id="34" w:author="DOU Connie" w:date="2019-11-23T18:34:00Z">
            <w:rPr>
              <w:color w:val="000000"/>
              <w:sz w:val="22"/>
              <w:szCs w:val="22"/>
            </w:rPr>
          </w:rPrChange>
        </w:rPr>
        <w:t xml:space="preserve">-specific </w:t>
      </w:r>
      <w:commentRangeStart w:id="35"/>
      <w:r w:rsidR="00717F64" w:rsidRPr="006966E5">
        <w:rPr>
          <w:color w:val="000000"/>
          <w:sz w:val="22"/>
          <w:szCs w:val="22"/>
          <w:highlight w:val="yellow"/>
          <w:rPrChange w:id="36" w:author="DOU Connie" w:date="2019-11-23T18:34:00Z">
            <w:rPr>
              <w:color w:val="000000"/>
              <w:sz w:val="22"/>
              <w:szCs w:val="22"/>
            </w:rPr>
          </w:rPrChange>
        </w:rPr>
        <w:t>variances</w:t>
      </w:r>
      <w:commentRangeEnd w:id="35"/>
      <w:r w:rsidR="006966E5">
        <w:rPr>
          <w:rStyle w:val="CommentReference"/>
        </w:rPr>
        <w:commentReference w:id="35"/>
      </w:r>
      <w:r w:rsidR="00717F64"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37"/>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commentRangeEnd w:id="37"/>
      <w:r w:rsidR="0004393E">
        <w:rPr>
          <w:rStyle w:val="CommentReference"/>
        </w:rPr>
        <w:commentReference w:id="37"/>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5D8D30F"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38"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56BF196"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39"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w:t>
      </w:r>
      <w:r w:rsidR="006F02E5" w:rsidRPr="00B40E01">
        <w:rPr>
          <w:bCs/>
          <w:color w:val="000000" w:themeColor="text1"/>
          <w:sz w:val="22"/>
          <w:szCs w:val="22"/>
          <w:highlight w:val="yellow"/>
          <w:rPrChange w:id="40"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41"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42" w:author="DOU Connie" w:date="2019-11-23T19:00:00Z">
            <w:rPr>
              <w:bCs/>
              <w:color w:val="000000" w:themeColor="text1"/>
              <w:sz w:val="22"/>
              <w:szCs w:val="22"/>
            </w:rPr>
          </w:rPrChange>
        </w:rPr>
        <w:t xml:space="preserve"> result in a lowering of the currently attained water quality (except for restoration </w:t>
      </w:r>
      <w:commentRangeStart w:id="43"/>
      <w:r w:rsidR="006F02E5" w:rsidRPr="00B40E01">
        <w:rPr>
          <w:bCs/>
          <w:color w:val="000000" w:themeColor="text1"/>
          <w:sz w:val="22"/>
          <w:szCs w:val="22"/>
          <w:highlight w:val="yellow"/>
          <w:rPrChange w:id="44" w:author="DOU Connie" w:date="2019-11-23T19:00:00Z">
            <w:rPr>
              <w:bCs/>
              <w:color w:val="000000" w:themeColor="text1"/>
              <w:sz w:val="22"/>
              <w:szCs w:val="22"/>
            </w:rPr>
          </w:rPrChange>
        </w:rPr>
        <w:t>purposes</w:t>
      </w:r>
      <w:commentRangeEnd w:id="43"/>
      <w:r w:rsidR="00B40E01">
        <w:rPr>
          <w:rStyle w:val="CommentReference"/>
        </w:rPr>
        <w:commentReference w:id="43"/>
      </w:r>
      <w:r w:rsidR="006F02E5" w:rsidRPr="00B40E01">
        <w:rPr>
          <w:bCs/>
          <w:color w:val="000000" w:themeColor="text1"/>
          <w:sz w:val="22"/>
          <w:szCs w:val="22"/>
          <w:highlight w:val="yellow"/>
          <w:rPrChange w:id="45"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6E22FB12"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xml:space="preserve">, as any variance does not </w:t>
      </w:r>
      <w:ins w:id="46" w:author="DOU Connie" w:date="2019-11-23T19:12:00Z">
        <w:r w:rsidR="00CF0DFF">
          <w:rPr>
            <w:sz w:val="22"/>
            <w:szCs w:val="22"/>
          </w:rPr>
          <w:t xml:space="preserve">change or </w:t>
        </w:r>
      </w:ins>
      <w:r w:rsidR="00D37753">
        <w:rPr>
          <w:sz w:val="22"/>
          <w:szCs w:val="22"/>
        </w:rPr>
        <w:t>remove the underlying designated use.</w:t>
      </w:r>
      <w:ins w:id="47" w:author="DOU Connie" w:date="2019-11-23T19:12:00Z">
        <w:r w:rsidR="00CF0DFF">
          <w:rPr>
            <w:sz w:val="22"/>
            <w:szCs w:val="22"/>
          </w:rPr>
          <w:t xml:space="preserve"> </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lastRenderedPageBreak/>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w:t>
      </w:r>
      <w:r w:rsidR="005A4234">
        <w:rPr>
          <w:sz w:val="22"/>
          <w:szCs w:val="22"/>
        </w:rPr>
        <w:lastRenderedPageBreak/>
        <w:t>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w:t>
      </w:r>
      <w:r w:rsidRPr="00DD02CB">
        <w:rPr>
          <w:sz w:val="22"/>
          <w:szCs w:val="22"/>
        </w:rPr>
        <w:lastRenderedPageBreak/>
        <w:t>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48" w:author="DOU Connie" w:date="2019-11-23T19:23:00Z">
        <w:r w:rsidR="003F6BA1">
          <w:rPr>
            <w:sz w:val="22"/>
            <w:szCs w:val="22"/>
          </w:rPr>
          <w:t xml:space="preserve">DEQ intends to complete the re-evaluation and submit it to </w:t>
        </w:r>
      </w:ins>
      <w:ins w:id="49" w:author="DOU Connie" w:date="2019-11-23T19:24:00Z">
        <w:r w:rsidR="003F6BA1">
          <w:rPr>
            <w:sz w:val="22"/>
            <w:szCs w:val="22"/>
          </w:rPr>
          <w:t xml:space="preserve">EPA on time. </w:t>
        </w:r>
      </w:ins>
      <w:ins w:id="50" w:author="DOU Connie" w:date="2019-11-23T19:26:00Z">
        <w:r w:rsidR="003F6BA1">
          <w:rPr>
            <w:sz w:val="22"/>
            <w:szCs w:val="22"/>
          </w:rPr>
          <w:t xml:space="preserve">In case this does not happen and </w:t>
        </w:r>
      </w:ins>
      <w:del w:id="51"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52" w:author="DOU Connie" w:date="2019-11-23T19:32:00Z">
        <w:r w:rsidR="00CE1BEC">
          <w:rPr>
            <w:sz w:val="22"/>
            <w:szCs w:val="22"/>
          </w:rPr>
          <w:t xml:space="preserve"> or DEQ completes the re-evaluation and submit it to </w:t>
        </w:r>
      </w:ins>
      <w:ins w:id="53" w:author="DOU Connie" w:date="2019-11-23T19:33:00Z">
        <w:r w:rsidR="00CE1BEC">
          <w:rPr>
            <w:sz w:val="22"/>
            <w:szCs w:val="22"/>
          </w:rPr>
          <w:t>EPA</w:t>
        </w:r>
      </w:ins>
      <w:del w:id="54"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55" w:author="DOU Connie" w:date="2019-11-23T19:20:00Z">
        <w:r w:rsidR="00AC41B1" w:rsidDel="003F6BA1">
          <w:rPr>
            <w:sz w:val="22"/>
            <w:szCs w:val="22"/>
          </w:rPr>
          <w:delText xml:space="preserve">one </w:delText>
        </w:r>
      </w:del>
      <w:ins w:id="56"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57" w:author="DOU Connie" w:date="2019-11-23T19:31:00Z">
        <w:r w:rsidR="00CE1BEC">
          <w:rPr>
            <w:sz w:val="22"/>
            <w:szCs w:val="22"/>
          </w:rPr>
          <w:t xml:space="preserve">all available data including the data collected by the discharger, </w:t>
        </w:r>
      </w:ins>
      <w:del w:id="58" w:author="DOU Connie" w:date="2019-11-23T19:31:00Z">
        <w:r w:rsidR="00D03F45" w:rsidRPr="00DD02CB" w:rsidDel="00CE1BEC">
          <w:rPr>
            <w:sz w:val="22"/>
            <w:szCs w:val="22"/>
          </w:rPr>
          <w:delText>discharger-specific data</w:delText>
        </w:r>
      </w:del>
      <w:r w:rsidR="00D03F45" w:rsidRPr="00DD02CB">
        <w:rPr>
          <w:sz w:val="22"/>
          <w:szCs w:val="22"/>
        </w:rPr>
        <w:t xml:space="preserve">, </w:t>
      </w:r>
      <w:del w:id="59"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w:t>
      </w:r>
      <w:r w:rsidR="00D37753" w:rsidRPr="00D37753">
        <w:rPr>
          <w:bCs/>
          <w:sz w:val="22"/>
          <w:szCs w:val="22"/>
        </w:rPr>
        <w:lastRenderedPageBreak/>
        <w:t xml:space="preserve">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60"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61"/>
      <w:r w:rsidR="004A1ADF" w:rsidRPr="00865DD3">
        <w:rPr>
          <w:bCs/>
          <w:color w:val="000000" w:themeColor="text1"/>
          <w:sz w:val="22"/>
          <w:szCs w:val="22"/>
          <w:highlight w:val="yellow"/>
          <w:rPrChange w:id="62" w:author="DOU Connie" w:date="2019-11-23T19:47:00Z">
            <w:rPr>
              <w:bCs/>
              <w:color w:val="000000" w:themeColor="text1"/>
              <w:sz w:val="22"/>
              <w:szCs w:val="22"/>
            </w:rPr>
          </w:rPrChange>
        </w:rPr>
        <w:t>tool</w:t>
      </w:r>
      <w:commentRangeEnd w:id="61"/>
      <w:r w:rsidR="00865DD3">
        <w:rPr>
          <w:rStyle w:val="CommentReference"/>
        </w:rPr>
        <w:commentReference w:id="61"/>
      </w:r>
      <w:r w:rsidR="004A1ADF" w:rsidRPr="00865DD3">
        <w:rPr>
          <w:bCs/>
          <w:color w:val="000000" w:themeColor="text1"/>
          <w:sz w:val="22"/>
          <w:szCs w:val="22"/>
          <w:highlight w:val="yellow"/>
          <w:rPrChange w:id="63"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64"/>
      <w:r w:rsidR="005928C4" w:rsidRPr="00DD02CB">
        <w:rPr>
          <w:sz w:val="22"/>
          <w:szCs w:val="22"/>
        </w:rPr>
        <w:t>limitation</w:t>
      </w:r>
      <w:commentRangeEnd w:id="64"/>
      <w:r w:rsidR="001749D0">
        <w:rPr>
          <w:rStyle w:val="CommentReference"/>
        </w:rPr>
        <w:commentReference w:id="64"/>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65" w:author="DOU Connie" w:date="2019-11-23T20:03:00Z">
        <w:r w:rsidR="001749D0">
          <w:rPr>
            <w:bCs/>
            <w:color w:val="000000" w:themeColor="text1"/>
            <w:sz w:val="22"/>
            <w:szCs w:val="22"/>
          </w:rPr>
          <w:t>The variance rule language does not preclude the use of compliance schedule</w:t>
        </w:r>
      </w:ins>
      <w:ins w:id="66" w:author="DOU Connie" w:date="2019-11-23T20:05:00Z">
        <w:r w:rsidR="001749D0">
          <w:rPr>
            <w:bCs/>
            <w:color w:val="000000" w:themeColor="text1"/>
            <w:sz w:val="22"/>
            <w:szCs w:val="22"/>
          </w:rPr>
          <w:t xml:space="preserve"> at the end of the variance</w:t>
        </w:r>
      </w:ins>
      <w:ins w:id="67"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68" w:author="DOU Connie" w:date="2019-11-23T20:03:00Z">
        <w:r w:rsidR="000D6596" w:rsidDel="001749D0">
          <w:rPr>
            <w:bCs/>
            <w:color w:val="000000" w:themeColor="text1"/>
            <w:sz w:val="22"/>
            <w:szCs w:val="22"/>
          </w:rPr>
          <w:delText xml:space="preserve">adopt </w:delText>
        </w:r>
      </w:del>
      <w:ins w:id="69" w:author="DOU Connie" w:date="2019-11-23T20:03:00Z">
        <w:r w:rsidR="001749D0">
          <w:rPr>
            <w:bCs/>
            <w:color w:val="000000" w:themeColor="text1"/>
            <w:sz w:val="22"/>
            <w:szCs w:val="22"/>
          </w:rPr>
          <w:t xml:space="preserve">impose a compliance schedule that is </w:t>
        </w:r>
      </w:ins>
      <w:del w:id="70"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71" w:author="DOU Connie" w:date="2019-11-23T20:08:00Z">
        <w:r w:rsidR="00E7779F">
          <w:rPr>
            <w:sz w:val="22"/>
            <w:szCs w:val="22"/>
          </w:rPr>
          <w:t>’s</w:t>
        </w:r>
      </w:ins>
      <w:r w:rsidR="004700B5" w:rsidRPr="00DD02CB">
        <w:rPr>
          <w:sz w:val="22"/>
          <w:szCs w:val="22"/>
        </w:rPr>
        <w:t xml:space="preserve"> approval</w:t>
      </w:r>
      <w:ins w:id="72"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73" w:author="DOU Connie" w:date="2019-11-23T20:21:00Z">
        <w:r w:rsidR="00B42EA7" w:rsidRPr="00B42EA7">
          <w:rPr>
            <w:color w:val="000000"/>
            <w:sz w:val="22"/>
            <w:szCs w:val="22"/>
            <w:rPrChange w:id="74" w:author="DOU Connie" w:date="2019-11-23T20:21:00Z">
              <w:rPr>
                <w:b/>
                <w:bCs/>
                <w:color w:val="000000" w:themeColor="text1"/>
                <w:sz w:val="22"/>
                <w:szCs w:val="22"/>
              </w:rPr>
            </w:rPrChange>
          </w:rPr>
          <w:t xml:space="preserve">The </w:t>
        </w:r>
      </w:ins>
      <w:ins w:id="75" w:author="DOU Connie" w:date="2019-11-23T20:22:00Z">
        <w:r w:rsidR="00B42EA7">
          <w:rPr>
            <w:color w:val="000000"/>
            <w:sz w:val="22"/>
            <w:szCs w:val="22"/>
          </w:rPr>
          <w:t>proposed variance rule includes MMP requirements. In addition,</w:t>
        </w:r>
      </w:ins>
      <w:ins w:id="76" w:author="DOU Connie" w:date="2019-11-23T20:23:00Z">
        <w:r w:rsidR="00B42EA7">
          <w:rPr>
            <w:color w:val="000000"/>
            <w:sz w:val="22"/>
            <w:szCs w:val="22"/>
          </w:rPr>
          <w:t xml:space="preserve"> site-specific MMPs will be included in each facility’s permit based on DEQ’s MMP Guidance (</w:t>
        </w:r>
      </w:ins>
      <w:ins w:id="77" w:author="DOU Connie" w:date="2019-11-23T20:24:00Z">
        <w:r w:rsidR="00B42EA7">
          <w:rPr>
            <w:color w:val="000000"/>
            <w:sz w:val="22"/>
            <w:szCs w:val="22"/>
          </w:rPr>
          <w:t>?)</w:t>
        </w:r>
      </w:ins>
      <w:ins w:id="78" w:author="DOU Connie" w:date="2019-11-23T20:22:00Z">
        <w:r w:rsidR="00B42EA7">
          <w:rPr>
            <w:color w:val="000000"/>
            <w:sz w:val="22"/>
            <w:szCs w:val="22"/>
          </w:rPr>
          <w:t xml:space="preserve"> </w:t>
        </w:r>
      </w:ins>
      <w:ins w:id="79"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80" w:author="DOU Connie" w:date="2019-11-23T20:13:00Z">
        <w:r w:rsidR="004700B5" w:rsidRPr="00DD02CB" w:rsidDel="00E7779F">
          <w:rPr>
            <w:color w:val="000000"/>
            <w:sz w:val="22"/>
            <w:szCs w:val="22"/>
          </w:rPr>
          <w:delText xml:space="preserve">may </w:delText>
        </w:r>
      </w:del>
      <w:ins w:id="81"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82" w:author="DOU Connie" w:date="2019-11-23T20:24:00Z">
        <w:r w:rsidR="00B42EA7">
          <w:rPr>
            <w:color w:val="000000"/>
            <w:sz w:val="22"/>
            <w:szCs w:val="22"/>
          </w:rPr>
          <w:t>DEQ is in the process of updating the mercury MMP document.</w:t>
        </w:r>
      </w:ins>
      <w:del w:id="83"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84"/>
      <w:r w:rsidR="00CA3632" w:rsidRPr="00DD02CB">
        <w:rPr>
          <w:color w:val="000000"/>
          <w:sz w:val="22"/>
          <w:szCs w:val="22"/>
        </w:rPr>
        <w:t>regulations</w:t>
      </w:r>
      <w:commentRangeEnd w:id="84"/>
      <w:r w:rsidR="0049551A">
        <w:rPr>
          <w:rStyle w:val="CommentReference"/>
        </w:rPr>
        <w:commentReference w:id="84"/>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85"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w:t>
      </w:r>
      <w:commentRangeStart w:id="86"/>
      <w:r>
        <w:rPr>
          <w:color w:val="000000"/>
          <w:sz w:val="22"/>
          <w:szCs w:val="22"/>
        </w:rPr>
        <w:t>b</w:t>
      </w:r>
      <w:commentRangeEnd w:id="86"/>
      <w:r w:rsidR="009D7398">
        <w:rPr>
          <w:rStyle w:val="CommentReference"/>
        </w:rPr>
        <w:commentReference w:id="86"/>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87"/>
      <w:r w:rsidR="00AF194B">
        <w:rPr>
          <w:color w:val="000000"/>
          <w:sz w:val="22"/>
          <w:szCs w:val="22"/>
        </w:rPr>
        <w:t>EPA</w:t>
      </w:r>
      <w:commentRangeEnd w:id="87"/>
      <w:r w:rsidR="00E01C52">
        <w:rPr>
          <w:rStyle w:val="CommentReference"/>
        </w:rPr>
        <w:commentReference w:id="87"/>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88" w:author="DOU Connie" w:date="2019-11-23T20:39:00Z">
        <w:r w:rsidR="00F04295">
          <w:rPr>
            <w:bCs/>
            <w:color w:val="000000" w:themeColor="text1"/>
            <w:sz w:val="22"/>
            <w:szCs w:val="22"/>
          </w:rPr>
          <w:t>4</w:t>
        </w:r>
      </w:ins>
      <w:del w:id="89"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lastRenderedPageBreak/>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90"/>
      <w:r w:rsidR="00C33213" w:rsidRPr="00DD02CB">
        <w:rPr>
          <w:sz w:val="22"/>
          <w:szCs w:val="22"/>
        </w:rPr>
        <w:t>language</w:t>
      </w:r>
      <w:commentRangeEnd w:id="90"/>
      <w:r w:rsidR="00F04295">
        <w:rPr>
          <w:rStyle w:val="CommentReference"/>
        </w:rPr>
        <w:commentReference w:id="90"/>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lastRenderedPageBreak/>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91" w:author="DOU Connie" w:date="2019-11-24T09:47:00Z">
        <w:r w:rsidR="00237FE1" w:rsidRPr="00237FE1" w:rsidDel="00A82C25">
          <w:rPr>
            <w:bCs/>
            <w:color w:val="000000" w:themeColor="text1"/>
            <w:sz w:val="22"/>
            <w:szCs w:val="22"/>
          </w:rPr>
          <w:delText xml:space="preserve">requirements </w:delText>
        </w:r>
      </w:del>
      <w:ins w:id="92" w:author="DOU Connie" w:date="2019-11-24T09:47:00Z">
        <w:r w:rsidR="00A82C25">
          <w:rPr>
            <w:bCs/>
            <w:color w:val="000000" w:themeColor="text1"/>
            <w:sz w:val="22"/>
            <w:szCs w:val="22"/>
          </w:rPr>
          <w:t>regul</w:t>
        </w:r>
      </w:ins>
      <w:ins w:id="93" w:author="DOU Connie" w:date="2019-11-24T09:48:00Z">
        <w:r w:rsidR="00A82C25">
          <w:rPr>
            <w:bCs/>
            <w:color w:val="000000" w:themeColor="text1"/>
            <w:sz w:val="22"/>
            <w:szCs w:val="22"/>
          </w:rPr>
          <w:t>a</w:t>
        </w:r>
      </w:ins>
      <w:ins w:id="94"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95" w:author="DOU Connie" w:date="2019-11-24T09:48:00Z">
        <w:r w:rsidR="00237FE1" w:rsidRPr="00237FE1" w:rsidDel="00A82C25">
          <w:rPr>
            <w:bCs/>
            <w:color w:val="000000" w:themeColor="text1"/>
            <w:sz w:val="22"/>
            <w:szCs w:val="22"/>
          </w:rPr>
          <w:delText xml:space="preserve">at </w:delText>
        </w:r>
      </w:del>
      <w:ins w:id="96"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97" w:author="DOU Connie" w:date="2019-11-24T09:48:00Z">
        <w:r w:rsidR="00A82C25">
          <w:rPr>
            <w:bCs/>
            <w:color w:val="000000" w:themeColor="text1"/>
            <w:sz w:val="22"/>
            <w:szCs w:val="22"/>
          </w:rPr>
          <w:t>(ii)</w:t>
        </w:r>
      </w:ins>
      <w:r w:rsidR="00237FE1" w:rsidRPr="00237FE1">
        <w:rPr>
          <w:bCs/>
          <w:color w:val="000000" w:themeColor="text1"/>
          <w:sz w:val="22"/>
          <w:szCs w:val="22"/>
        </w:rPr>
        <w:t>(A)(3) and (b)(1)</w:t>
      </w:r>
      <w:ins w:id="98"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99" w:author="DOU Connie" w:date="2019-11-24T09:50:00Z">
        <w:r w:rsidR="00A82C25">
          <w:rPr>
            <w:bCs/>
            <w:color w:val="000000" w:themeColor="text1"/>
            <w:sz w:val="22"/>
            <w:szCs w:val="22"/>
          </w:rPr>
          <w:t>s</w:t>
        </w:r>
      </w:ins>
      <w:del w:id="100"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101"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102"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103" w:author="DOU Connie" w:date="2019-11-24T09:51:00Z">
        <w:r w:rsidR="00844A26" w:rsidDel="00A82C25">
          <w:rPr>
            <w:bCs/>
            <w:color w:val="000000" w:themeColor="text1"/>
            <w:sz w:val="22"/>
            <w:szCs w:val="22"/>
          </w:rPr>
          <w:delText xml:space="preserve">clarifying </w:delText>
        </w:r>
      </w:del>
      <w:ins w:id="104"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commentRangeStart w:id="105"/>
      <w:r w:rsidR="008C3E27" w:rsidRPr="00DD02CB">
        <w:rPr>
          <w:sz w:val="22"/>
          <w:szCs w:val="22"/>
        </w:rPr>
        <w:t>accordingly</w:t>
      </w:r>
      <w:commentRangeEnd w:id="105"/>
      <w:r w:rsidR="004B6239">
        <w:rPr>
          <w:rStyle w:val="CommentReference"/>
        </w:rPr>
        <w:commentReference w:id="105"/>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106" w:author="DOU Connie" w:date="2019-11-24T10:08:00Z">
        <w:r w:rsidR="003A36DF" w:rsidDel="00DA1A52">
          <w:rPr>
            <w:bCs/>
            <w:color w:val="000000" w:themeColor="text1"/>
            <w:sz w:val="22"/>
            <w:szCs w:val="22"/>
          </w:rPr>
          <w:delText>there is no need</w:delText>
        </w:r>
      </w:del>
      <w:ins w:id="107"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108"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t>
      </w:r>
      <w:r w:rsidR="002F12D5">
        <w:rPr>
          <w:sz w:val="22"/>
          <w:szCs w:val="22"/>
        </w:rPr>
        <w:lastRenderedPageBreak/>
        <w:t xml:space="preserve">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109"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110"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111"/>
      <w:r>
        <w:rPr>
          <w:bCs/>
          <w:color w:val="000000" w:themeColor="text1"/>
          <w:sz w:val="22"/>
          <w:szCs w:val="22"/>
        </w:rPr>
        <w:t>comment</w:t>
      </w:r>
      <w:commentRangeEnd w:id="111"/>
      <w:r w:rsidR="00916A60">
        <w:rPr>
          <w:rStyle w:val="CommentReference"/>
        </w:rPr>
        <w:commentReference w:id="111"/>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112"/>
      <w:r w:rsidR="00A8413C">
        <w:rPr>
          <w:bCs/>
          <w:color w:val="000000" w:themeColor="text1"/>
          <w:sz w:val="22"/>
          <w:szCs w:val="22"/>
        </w:rPr>
        <w:t>c</w:t>
      </w:r>
      <w:commentRangeEnd w:id="112"/>
      <w:r w:rsidR="004B7FE8">
        <w:rPr>
          <w:rStyle w:val="CommentReference"/>
        </w:rPr>
        <w:commentReference w:id="112"/>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113" w:author="DOU Connie" w:date="2019-11-24T10:31:00Z">
        <w:r w:rsidR="003B784C">
          <w:rPr>
            <w:bCs/>
            <w:color w:val="000000" w:themeColor="text1"/>
            <w:sz w:val="22"/>
            <w:szCs w:val="22"/>
          </w:rPr>
          <w:t xml:space="preserve"> to specify where and what </w:t>
        </w:r>
      </w:ins>
      <w:ins w:id="114" w:author="DOU Connie" w:date="2019-11-24T10:32:00Z">
        <w:r w:rsidR="003B784C">
          <w:rPr>
            <w:bCs/>
            <w:color w:val="000000" w:themeColor="text1"/>
            <w:sz w:val="22"/>
            <w:szCs w:val="22"/>
          </w:rPr>
          <w:t>information</w:t>
        </w:r>
      </w:ins>
      <w:ins w:id="115" w:author="DOU Connie" w:date="2019-11-24T10:31:00Z">
        <w:r w:rsidR="003B784C">
          <w:rPr>
            <w:bCs/>
            <w:color w:val="000000" w:themeColor="text1"/>
            <w:sz w:val="22"/>
            <w:szCs w:val="22"/>
          </w:rPr>
          <w:t xml:space="preserve"> </w:t>
        </w:r>
      </w:ins>
      <w:ins w:id="116"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117"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118" w:author="DOU Connie" w:date="2019-11-24T10:45:00Z">
        <w:r w:rsidR="007F7F8C" w:rsidRPr="00DD02CB" w:rsidDel="00F54965">
          <w:rPr>
            <w:color w:val="000000"/>
            <w:sz w:val="22"/>
            <w:szCs w:val="22"/>
          </w:rPr>
          <w:delText xml:space="preserve">women </w:delText>
        </w:r>
      </w:del>
      <w:ins w:id="119"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120" w:author="DOU Connie" w:date="2019-11-24T10:46:00Z">
        <w:r w:rsidR="001969C2" w:rsidDel="00F54965">
          <w:rPr>
            <w:bCs/>
            <w:color w:val="000000" w:themeColor="text1"/>
            <w:sz w:val="22"/>
            <w:szCs w:val="22"/>
          </w:rPr>
          <w:delText>will not</w:delText>
        </w:r>
      </w:del>
      <w:ins w:id="121"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122" w:author="DOU Connie" w:date="2019-11-24T10:46:00Z">
        <w:r w:rsidR="00F54965">
          <w:rPr>
            <w:bCs/>
            <w:color w:val="000000" w:themeColor="text1"/>
            <w:sz w:val="22"/>
            <w:szCs w:val="22"/>
          </w:rPr>
          <w:t>. The Willamette</w:t>
        </w:r>
      </w:ins>
      <w:ins w:id="123" w:author="DOU Connie" w:date="2019-11-24T10:47:00Z">
        <w:r w:rsidR="00F54965">
          <w:rPr>
            <w:bCs/>
            <w:color w:val="000000" w:themeColor="text1"/>
            <w:sz w:val="22"/>
            <w:szCs w:val="22"/>
          </w:rPr>
          <w:t xml:space="preserve"> Basin mercury TMDL indicates </w:t>
        </w:r>
      </w:ins>
      <w:del w:id="124"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125" w:author="DOU Connie" w:date="2019-11-24T10:47:00Z">
        <w:r w:rsidR="00F54965">
          <w:rPr>
            <w:bCs/>
            <w:color w:val="000000" w:themeColor="text1"/>
            <w:sz w:val="22"/>
            <w:szCs w:val="22"/>
          </w:rPr>
          <w:t xml:space="preserve">Nonpoint source controls are addressed in the </w:t>
        </w:r>
      </w:ins>
      <w:ins w:id="126"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cannot be remedied is flawed because DEQ has not evaluated whether it can use the state’s non-point source </w:t>
      </w:r>
      <w:r w:rsidR="007F7F8C" w:rsidRPr="00DD02CB">
        <w:rPr>
          <w:color w:val="000000"/>
          <w:sz w:val="22"/>
          <w:szCs w:val="22"/>
        </w:rPr>
        <w:lastRenderedPageBreak/>
        <w:t>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127"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128" w:author="DOU Connie" w:date="2019-11-24T10:48:00Z">
        <w:r w:rsidR="00FB3186">
          <w:rPr>
            <w:bCs/>
            <w:color w:val="000000" w:themeColor="text1"/>
            <w:sz w:val="22"/>
            <w:szCs w:val="22"/>
          </w:rPr>
          <w:t xml:space="preserve">Please see response to comment </w:t>
        </w:r>
      </w:ins>
      <w:ins w:id="129"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130"/>
      <w:r w:rsidR="008E3F74">
        <w:rPr>
          <w:bCs/>
          <w:color w:val="000000" w:themeColor="text1"/>
          <w:sz w:val="22"/>
          <w:szCs w:val="22"/>
        </w:rPr>
        <w:t>accordingly</w:t>
      </w:r>
      <w:commentRangeEnd w:id="130"/>
      <w:r w:rsidR="0085438B">
        <w:rPr>
          <w:rStyle w:val="CommentReference"/>
        </w:rPr>
        <w:commentReference w:id="130"/>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131"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132"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133" w:author="DOU Connie" w:date="2019-11-24T11:10:00Z">
        <w:r w:rsidR="00C201CA">
          <w:rPr>
            <w:bCs/>
            <w:color w:val="000000" w:themeColor="text1"/>
            <w:sz w:val="22"/>
            <w:szCs w:val="22"/>
          </w:rPr>
          <w:t xml:space="preserve">conducted a thorough </w:t>
        </w:r>
        <w:commentRangeStart w:id="134"/>
        <w:r w:rsidR="00C201CA">
          <w:rPr>
            <w:bCs/>
            <w:color w:val="000000" w:themeColor="text1"/>
            <w:sz w:val="22"/>
            <w:szCs w:val="22"/>
          </w:rPr>
          <w:t>analysis</w:t>
        </w:r>
        <w:commentRangeEnd w:id="134"/>
        <w:r w:rsidR="00C201CA">
          <w:rPr>
            <w:rStyle w:val="CommentReference"/>
          </w:rPr>
          <w:commentReference w:id="134"/>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135"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lastRenderedPageBreak/>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w:t>
      </w:r>
      <w:r w:rsidR="00BE6B9A" w:rsidRPr="00DD02CB">
        <w:rPr>
          <w:color w:val="000000"/>
          <w:sz w:val="22"/>
          <w:szCs w:val="22"/>
        </w:rPr>
        <w:lastRenderedPageBreak/>
        <w:t xml:space="preserve">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136" w:author="DOU Connie" w:date="2019-11-24T11:21:00Z">
        <w:r w:rsidR="006806DC">
          <w:rPr>
            <w:bCs/>
            <w:color w:val="000000" w:themeColor="text1"/>
            <w:sz w:val="22"/>
            <w:szCs w:val="22"/>
          </w:rPr>
          <w:t>4</w:t>
        </w:r>
      </w:ins>
      <w:del w:id="137"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138"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139"/>
      <w:r w:rsidR="00B7486E">
        <w:rPr>
          <w:bCs/>
          <w:color w:val="000000" w:themeColor="text1"/>
          <w:sz w:val="22"/>
          <w:szCs w:val="22"/>
        </w:rPr>
        <w:t>comment</w:t>
      </w:r>
      <w:commentRangeEnd w:id="139"/>
      <w:r w:rsidR="00AB26A9">
        <w:rPr>
          <w:rStyle w:val="CommentReference"/>
        </w:rPr>
        <w:commentReference w:id="139"/>
      </w:r>
      <w:r w:rsidR="00B7486E">
        <w:rPr>
          <w:bCs/>
          <w:color w:val="000000" w:themeColor="text1"/>
          <w:sz w:val="22"/>
          <w:szCs w:val="22"/>
        </w:rPr>
        <w: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Required activities in the state minimization plan is consistent with EPA and state guidance regarding implementation of the methyl-mercury </w:t>
      </w:r>
      <w:commentRangeStart w:id="140"/>
      <w:r w:rsidR="00B7486E">
        <w:rPr>
          <w:bCs/>
          <w:color w:val="000000" w:themeColor="text1"/>
          <w:sz w:val="22"/>
          <w:szCs w:val="22"/>
        </w:rPr>
        <w:t>criterion</w:t>
      </w:r>
      <w:commentRangeEnd w:id="140"/>
      <w:r w:rsidR="00D208EC">
        <w:rPr>
          <w:rStyle w:val="CommentReference"/>
        </w:rPr>
        <w:commentReference w:id="140"/>
      </w:r>
      <w:r w:rsidR="00B7486E">
        <w:rPr>
          <w:bCs/>
          <w:color w:val="000000" w:themeColor="text1"/>
          <w:sz w:val="22"/>
          <w:szCs w:val="22"/>
        </w:rPr>
        <w:t xml:space="preserve">. Dischargers required to have pretreatment programs and those developing such programs must ensure that appropriate pretreatment controls are in </w:t>
      </w:r>
      <w:commentRangeStart w:id="141"/>
      <w:r w:rsidR="00B7486E">
        <w:rPr>
          <w:bCs/>
          <w:color w:val="000000" w:themeColor="text1"/>
          <w:sz w:val="22"/>
          <w:szCs w:val="22"/>
        </w:rPr>
        <w:t>place</w:t>
      </w:r>
      <w:commentRangeEnd w:id="141"/>
      <w:r w:rsidR="00D208EC">
        <w:rPr>
          <w:rStyle w:val="CommentReference"/>
        </w:rPr>
        <w:commentReference w:id="141"/>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lastRenderedPageBreak/>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142"/>
      <w:r w:rsidR="00550F9E">
        <w:rPr>
          <w:bCs/>
          <w:color w:val="000000" w:themeColor="text1"/>
          <w:sz w:val="22"/>
          <w:szCs w:val="22"/>
        </w:rPr>
        <w:t>municipal</w:t>
      </w:r>
      <w:commentRangeEnd w:id="142"/>
      <w:r w:rsidR="009C6AA6">
        <w:rPr>
          <w:rStyle w:val="CommentReference"/>
        </w:rPr>
        <w:commentReference w:id="142"/>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143"/>
      <w:r w:rsidR="00550F9E">
        <w:rPr>
          <w:bCs/>
          <w:color w:val="000000" w:themeColor="text1"/>
          <w:sz w:val="22"/>
          <w:szCs w:val="22"/>
        </w:rPr>
        <w:t>comment</w:t>
      </w:r>
      <w:commentRangeEnd w:id="143"/>
      <w:r w:rsidR="009C6AA6">
        <w:rPr>
          <w:rStyle w:val="CommentReference"/>
        </w:rPr>
        <w:commentReference w:id="143"/>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w:t>
      </w:r>
      <w:r w:rsidR="00716292">
        <w:rPr>
          <w:bCs/>
          <w:color w:val="000000" w:themeColor="text1"/>
          <w:sz w:val="22"/>
          <w:szCs w:val="22"/>
        </w:rPr>
        <w:lastRenderedPageBreak/>
        <w:t xml:space="preserve">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144" w:author="DOU Connie" w:date="2019-11-24T16:24:00Z">
        <w:r w:rsidR="00D8318E" w:rsidRPr="00D8318E">
          <w:rPr>
            <w:bCs/>
            <w:color w:val="000000" w:themeColor="text1"/>
            <w:sz w:val="22"/>
            <w:szCs w:val="22"/>
            <w:rPrChange w:id="145" w:author="DOU Connie" w:date="2019-11-24T16:27:00Z">
              <w:rPr>
                <w:b/>
                <w:bCs/>
                <w:color w:val="000000" w:themeColor="text1"/>
                <w:sz w:val="22"/>
                <w:szCs w:val="22"/>
              </w:rPr>
            </w:rPrChange>
          </w:rPr>
          <w:t xml:space="preserve">Multiple Discharger Variance rulemaking is a complex one. </w:t>
        </w:r>
      </w:ins>
      <w:ins w:id="146" w:author="DOU Connie" w:date="2019-11-24T16:25:00Z">
        <w:r w:rsidR="00D8318E" w:rsidRPr="00D8318E">
          <w:rPr>
            <w:bCs/>
            <w:color w:val="000000" w:themeColor="text1"/>
            <w:sz w:val="22"/>
            <w:szCs w:val="22"/>
            <w:rPrChange w:id="147"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148" w:author="DOU Connie" w:date="2019-11-24T16:12:00Z">
        <w:r w:rsidR="004E344C" w:rsidDel="007338CD">
          <w:rPr>
            <w:bCs/>
            <w:color w:val="000000" w:themeColor="text1"/>
            <w:sz w:val="22"/>
            <w:szCs w:val="22"/>
          </w:rPr>
          <w:delText xml:space="preserve">avoid </w:delText>
        </w:r>
      </w:del>
      <w:ins w:id="149"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150" w:author="DOU Connie" w:date="2019-11-24T16:26:00Z">
        <w:r w:rsidR="00D8318E">
          <w:rPr>
            <w:bCs/>
            <w:color w:val="000000" w:themeColor="text1"/>
            <w:sz w:val="22"/>
            <w:szCs w:val="22"/>
          </w:rPr>
          <w:t xml:space="preserve"> rulemaking. However, trading may be a topic to be explored in the future. </w:t>
        </w:r>
      </w:ins>
      <w:del w:id="151"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152" w:author="DOU Connie" w:date="2019-11-24T16:39:00Z">
        <w:r w:rsidR="003B4220">
          <w:rPr>
            <w:bCs/>
            <w:color w:val="000000" w:themeColor="text1"/>
            <w:sz w:val="22"/>
            <w:szCs w:val="22"/>
          </w:rPr>
          <w:t>.</w:t>
        </w:r>
      </w:ins>
      <w:del w:id="153"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154"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155"/>
      <w:r w:rsidR="007F7F8C" w:rsidRPr="00DD02CB">
        <w:rPr>
          <w:sz w:val="22"/>
          <w:szCs w:val="22"/>
        </w:rPr>
        <w:t xml:space="preserve">Section 1 .4, </w:t>
      </w:r>
      <w:commentRangeEnd w:id="155"/>
      <w:r w:rsidR="00964F57">
        <w:rPr>
          <w:rStyle w:val="CommentReference"/>
        </w:rPr>
        <w:commentReference w:id="155"/>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w:t>
      </w:r>
      <w:commentRangeStart w:id="156"/>
      <w:r w:rsidR="00DE38FD" w:rsidRPr="00DD02CB">
        <w:rPr>
          <w:sz w:val="22"/>
          <w:szCs w:val="22"/>
        </w:rPr>
        <w:t xml:space="preserve">comment 18 </w:t>
      </w:r>
      <w:commentRangeEnd w:id="156"/>
      <w:r w:rsidR="00FC7A9F">
        <w:rPr>
          <w:rStyle w:val="CommentReference"/>
        </w:rPr>
        <w:commentReference w:id="156"/>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157" w:author="DOU Connie" w:date="2019-11-24T16:50:00Z">
        <w:r w:rsidR="008D5EDD" w:rsidRPr="008D5EDD" w:rsidDel="00FC7A9F">
          <w:rPr>
            <w:bCs/>
            <w:color w:val="000000" w:themeColor="text1"/>
            <w:sz w:val="22"/>
            <w:szCs w:val="22"/>
          </w:rPr>
          <w:delText>clarifying edits</w:delText>
        </w:r>
      </w:del>
      <w:ins w:id="158"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159"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60"/>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160"/>
      <w:r w:rsidR="00341CFE">
        <w:rPr>
          <w:rStyle w:val="CommentReference"/>
        </w:rPr>
        <w:commentReference w:id="160"/>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161" w:author="DOU Connie" w:date="2019-11-24T17:00:00Z">
        <w:r w:rsidR="00D50697">
          <w:rPr>
            <w:bCs/>
            <w:color w:val="000000" w:themeColor="text1"/>
            <w:sz w:val="22"/>
            <w:szCs w:val="22"/>
          </w:rPr>
          <w:t xml:space="preserve"> </w:t>
        </w:r>
      </w:ins>
      <w:ins w:id="162"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163" w:author="DOU Connie" w:date="2019-11-24T17:03:00Z">
        <w:r w:rsidR="003A11B1" w:rsidDel="00841659">
          <w:rPr>
            <w:bCs/>
            <w:color w:val="000000" w:themeColor="text1"/>
            <w:sz w:val="22"/>
            <w:szCs w:val="22"/>
          </w:rPr>
          <w:delText xml:space="preserve">any </w:delText>
        </w:r>
      </w:del>
      <w:ins w:id="164" w:author="DOU Connie" w:date="2019-11-24T17:03:00Z">
        <w:r w:rsidR="00841659">
          <w:rPr>
            <w:bCs/>
            <w:color w:val="000000" w:themeColor="text1"/>
            <w:sz w:val="22"/>
            <w:szCs w:val="22"/>
          </w:rPr>
          <w:t>the mercury</w:t>
        </w:r>
        <w:r w:rsidR="00841659">
          <w:rPr>
            <w:bCs/>
            <w:color w:val="000000" w:themeColor="text1"/>
            <w:sz w:val="22"/>
            <w:szCs w:val="22"/>
          </w:rPr>
          <w:t xml:space="preserve"> </w:t>
        </w:r>
        <w:r w:rsidR="00841659">
          <w:rPr>
            <w:bCs/>
            <w:color w:val="000000" w:themeColor="text1"/>
            <w:sz w:val="22"/>
            <w:szCs w:val="22"/>
          </w:rPr>
          <w:t xml:space="preserve">TMDL is </w:t>
        </w:r>
      </w:ins>
      <w:r w:rsidR="003A11B1">
        <w:rPr>
          <w:bCs/>
          <w:color w:val="000000" w:themeColor="text1"/>
          <w:sz w:val="22"/>
          <w:szCs w:val="22"/>
        </w:rPr>
        <w:t xml:space="preserve">approved </w:t>
      </w:r>
      <w:del w:id="165" w:author="DOU Connie" w:date="2019-11-24T17:03:00Z">
        <w:r w:rsidR="003A11B1" w:rsidDel="00841659">
          <w:rPr>
            <w:bCs/>
            <w:color w:val="000000" w:themeColor="text1"/>
            <w:sz w:val="22"/>
            <w:szCs w:val="22"/>
          </w:rPr>
          <w:delText>TMDL is</w:delText>
        </w:r>
      </w:del>
      <w:ins w:id="166"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167"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168" w:author="DOU Connie" w:date="2019-11-24T17:06:00Z">
        <w:r w:rsidR="006510D0" w:rsidDel="004578E4">
          <w:rPr>
            <w:color w:val="000000"/>
            <w:sz w:val="22"/>
            <w:szCs w:val="22"/>
          </w:rPr>
          <w:delText xml:space="preserve">As such, </w:delText>
        </w:r>
      </w:del>
      <w:ins w:id="169"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170"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171"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172"/>
        <w:r w:rsidR="004578E4">
          <w:rPr>
            <w:color w:val="000000"/>
            <w:sz w:val="22"/>
            <w:szCs w:val="22"/>
          </w:rPr>
          <w:t>document</w:t>
        </w:r>
      </w:ins>
      <w:commentRangeEnd w:id="172"/>
      <w:ins w:id="173" w:author="DOU Connie" w:date="2019-11-24T17:08:00Z">
        <w:r w:rsidR="004578E4">
          <w:rPr>
            <w:rStyle w:val="CommentReference"/>
          </w:rPr>
          <w:commentReference w:id="172"/>
        </w:r>
      </w:ins>
      <w:ins w:id="174"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175" w:author="DOU Connie" w:date="2019-11-24T17:09:00Z">
        <w:r w:rsidR="00D308C3">
          <w:rPr>
            <w:color w:val="000000"/>
            <w:sz w:val="22"/>
            <w:szCs w:val="22"/>
          </w:rPr>
          <w:t xml:space="preserve"> </w:t>
        </w:r>
      </w:ins>
      <w:bookmarkStart w:id="176" w:name="_GoBack"/>
      <w:bookmarkEnd w:id="176"/>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77" w:name="_Toc490121554"/>
            <w:r w:rsidRPr="00276752">
              <w:t>Commenters</w:t>
            </w:r>
            <w:bookmarkEnd w:id="177"/>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78" w:name="_Toc490121555"/>
            <w:r w:rsidRPr="00377FA3">
              <w:t>Implementation</w:t>
            </w:r>
            <w:bookmarkEnd w:id="178"/>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9" w:name="_Toc490121556"/>
            <w:r w:rsidRPr="001D0308">
              <w:t>Five-year review</w:t>
            </w:r>
            <w:bookmarkEnd w:id="179"/>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0" w:name="_Toc490121557"/>
            <w:r>
              <w:t>Draft Rules – With Edits Highlighted</w:t>
            </w:r>
            <w:bookmarkEnd w:id="180"/>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81" w:name="_Toc490121558"/>
            <w:r>
              <w:t>Draft Rules – With Edits Included</w:t>
            </w:r>
            <w:bookmarkEnd w:id="181"/>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82" w:name="_Toc490121559"/>
            <w:r>
              <w:t>Supporting Documents</w:t>
            </w:r>
            <w:bookmarkEnd w:id="182"/>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7338CD" w:rsidRDefault="007338CD"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7338CD" w:rsidRDefault="007338CD">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7338CD" w:rsidRDefault="007338CD">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7338CD" w:rsidRDefault="007338CD">
      <w:pPr>
        <w:pStyle w:val="CommentText"/>
      </w:pPr>
      <w:r>
        <w:rPr>
          <w:rStyle w:val="CommentReference"/>
        </w:rPr>
        <w:annotationRef/>
      </w:r>
      <w:r>
        <w:t>My understanding is the 4pm closing time is a standard time set by DEQ Rule Coordinator for all rulemaking. Should we clarify that first?</w:t>
      </w:r>
    </w:p>
  </w:comment>
  <w:comment w:id="30" w:author="DOU Connie" w:date="2019-11-23T18:29:00Z" w:initials="DC">
    <w:p w14:paraId="04B45D07" w14:textId="3774A723" w:rsidR="007338CD" w:rsidRDefault="007338CD">
      <w:pPr>
        <w:pStyle w:val="CommentText"/>
      </w:pPr>
      <w:r>
        <w:rPr>
          <w:rStyle w:val="CommentReference"/>
        </w:rPr>
        <w:annotationRef/>
      </w:r>
      <w:r>
        <w:t>Please do a spelling check?</w:t>
      </w:r>
    </w:p>
  </w:comment>
  <w:comment w:id="35" w:author="DOU Connie" w:date="2019-11-23T18:34:00Z" w:initials="DC">
    <w:p w14:paraId="05777347" w14:textId="5023BC83" w:rsidR="007338CD" w:rsidRDefault="007338CD">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37" w:author="BOROK Aron" w:date="2019-11-14T16:23:00Z" w:initials="BA">
    <w:p w14:paraId="53CC3F4E" w14:textId="2A611765" w:rsidR="007338CD" w:rsidRDefault="007338CD">
      <w:pPr>
        <w:pStyle w:val="CommentText"/>
      </w:pPr>
      <w:r>
        <w:rPr>
          <w:rStyle w:val="CommentReference"/>
        </w:rPr>
        <w:annotationRef/>
      </w:r>
      <w:r>
        <w:t>Discuss following meeting with EPA</w:t>
      </w:r>
    </w:p>
  </w:comment>
  <w:comment w:id="43" w:author="DOU Connie" w:date="2019-11-23T19:00:00Z" w:initials="DC">
    <w:p w14:paraId="3793CB2B" w14:textId="32FD8F41" w:rsidR="007338CD" w:rsidRDefault="007338CD">
      <w:pPr>
        <w:pStyle w:val="CommentText"/>
      </w:pPr>
      <w:r>
        <w:rPr>
          <w:rStyle w:val="CommentReference"/>
        </w:rPr>
        <w:annotationRef/>
      </w:r>
      <w:r>
        <w:t>This is in 40 CFR 131.14(b)(1)ii, but is this statement in our rule?</w:t>
      </w:r>
    </w:p>
  </w:comment>
  <w:comment w:id="61" w:author="DOU Connie" w:date="2019-11-23T19:47:00Z" w:initials="DC">
    <w:p w14:paraId="2254CE03" w14:textId="37924266" w:rsidR="007338CD" w:rsidRDefault="007338CD">
      <w:pPr>
        <w:pStyle w:val="CommentText"/>
      </w:pPr>
      <w:r>
        <w:rPr>
          <w:rStyle w:val="CommentReference"/>
        </w:rPr>
        <w:annotationRef/>
      </w:r>
      <w:r>
        <w:t xml:space="preserve">This is a little confusing. Does the scenario ever happen? If it happens, it is de facto that the permit has to meet the WQBEL without a variance. Is the rule language necessary? </w:t>
      </w:r>
    </w:p>
  </w:comment>
  <w:comment w:id="64" w:author="DOU Connie" w:date="2019-11-23T20:06:00Z" w:initials="DC">
    <w:p w14:paraId="348FA6C5" w14:textId="5397F6FB" w:rsidR="007338CD" w:rsidRDefault="007338CD">
      <w:pPr>
        <w:pStyle w:val="CommentText"/>
      </w:pPr>
      <w:r>
        <w:rPr>
          <w:rStyle w:val="CommentReference"/>
        </w:rPr>
        <w:annotationRef/>
      </w:r>
      <w:r>
        <w:t>It seems response to comment 334 and #35 can be combined.</w:t>
      </w:r>
    </w:p>
  </w:comment>
  <w:comment w:id="84" w:author="DOU Connie" w:date="2019-11-23T20:30:00Z" w:initials="DC">
    <w:p w14:paraId="2D3CFCA1" w14:textId="4B94E284" w:rsidR="007338CD" w:rsidRDefault="007338CD">
      <w:pPr>
        <w:pStyle w:val="CommentText"/>
      </w:pPr>
      <w:r>
        <w:rPr>
          <w:rStyle w:val="CommentReference"/>
        </w:rPr>
        <w:annotationRef/>
      </w:r>
      <w:r>
        <w:t>I did not understand what the language in 4(b) means?</w:t>
      </w:r>
    </w:p>
    <w:p w14:paraId="29C2CB74" w14:textId="04C853EE" w:rsidR="007338CD" w:rsidRDefault="007338CD">
      <w:pPr>
        <w:pStyle w:val="CommentText"/>
      </w:pPr>
      <w:r>
        <w:t>My guess is that the commenter thinks that the State should gather the information to justify the variance, not the facilities?</w:t>
      </w:r>
    </w:p>
  </w:comment>
  <w:comment w:id="86" w:author="DOU Connie" w:date="2019-11-23T20:37:00Z" w:initials="DC">
    <w:p w14:paraId="3BB29202" w14:textId="0FF2D0A8" w:rsidR="007338CD" w:rsidRDefault="007338CD">
      <w:pPr>
        <w:pStyle w:val="CommentText"/>
      </w:pPr>
      <w:r>
        <w:rPr>
          <w:rStyle w:val="CommentReference"/>
        </w:rPr>
        <w:annotationRef/>
      </w:r>
      <w:r>
        <w:t>(4)(b) is still in the rule.</w:t>
      </w:r>
    </w:p>
  </w:comment>
  <w:comment w:id="87" w:author="DOU Connie" w:date="2019-11-23T20:33:00Z" w:initials="DC">
    <w:p w14:paraId="40BE20FF" w14:textId="4741D3BA" w:rsidR="007338CD" w:rsidRDefault="007338CD">
      <w:pPr>
        <w:pStyle w:val="CommentText"/>
      </w:pPr>
      <w:r>
        <w:rPr>
          <w:rStyle w:val="CommentReference"/>
        </w:rPr>
        <w:annotationRef/>
      </w:r>
      <w:r>
        <w:t>I think you can use the response for both comment #43 and #44</w:t>
      </w:r>
    </w:p>
  </w:comment>
  <w:comment w:id="90" w:author="DOU Connie" w:date="2019-11-23T20:43:00Z" w:initials="DC">
    <w:p w14:paraId="5713E2C2" w14:textId="003FE867" w:rsidR="007338CD" w:rsidRDefault="007338CD">
      <w:pPr>
        <w:pStyle w:val="CommentText"/>
      </w:pPr>
      <w:r>
        <w:rPr>
          <w:rStyle w:val="CommentReference"/>
        </w:rPr>
        <w:annotationRef/>
      </w:r>
      <w:r>
        <w:t>Please include the Section for this.</w:t>
      </w:r>
    </w:p>
  </w:comment>
  <w:comment w:id="105" w:author="DOU Connie" w:date="2019-11-24T10:04:00Z" w:initials="DC">
    <w:p w14:paraId="6E1558BF" w14:textId="22552274" w:rsidR="007338CD" w:rsidRDefault="007338CD">
      <w:pPr>
        <w:pStyle w:val="CommentText"/>
      </w:pPr>
      <w:r>
        <w:rPr>
          <w:rStyle w:val="CommentReference"/>
        </w:rPr>
        <w:annotationRef/>
      </w:r>
      <w:r>
        <w:t>Please check the rule (6)(b): Section (5)(b)(c) does not exist.</w:t>
      </w:r>
    </w:p>
  </w:comment>
  <w:comment w:id="111" w:author="DOU Connie" w:date="2019-11-24T10:19:00Z" w:initials="DC">
    <w:p w14:paraId="17FECEFC" w14:textId="50D01F54" w:rsidR="007338CD" w:rsidRDefault="007338CD">
      <w:pPr>
        <w:pStyle w:val="CommentText"/>
      </w:pPr>
      <w:r>
        <w:rPr>
          <w:rStyle w:val="CommentReference"/>
        </w:rPr>
        <w:annotationRef/>
      </w:r>
      <w:r>
        <w:t>Section (7)(a) of the rule includes the public hearing. Is public hearing requirement in the current rule? Is it required by the federal rule?</w:t>
      </w:r>
    </w:p>
  </w:comment>
  <w:comment w:id="112" w:author="DOU Connie" w:date="2019-11-24T10:25:00Z" w:initials="DC">
    <w:p w14:paraId="32116ECE" w14:textId="2B51586B" w:rsidR="007338CD" w:rsidRDefault="007338CD">
      <w:pPr>
        <w:pStyle w:val="CommentText"/>
      </w:pPr>
      <w:r>
        <w:rPr>
          <w:rStyle w:val="CommentReference"/>
        </w:rPr>
        <w:annotationRef/>
      </w:r>
      <w:r>
        <w:t>Since you included “facility” or “facilities”, is the word “discharger” necessary?</w:t>
      </w:r>
    </w:p>
  </w:comment>
  <w:comment w:id="130" w:author="DOU Connie" w:date="2019-11-24T10:56:00Z" w:initials="DC">
    <w:p w14:paraId="4935CC36" w14:textId="35BD099B" w:rsidR="007338CD" w:rsidRDefault="007338CD">
      <w:pPr>
        <w:pStyle w:val="CommentText"/>
      </w:pPr>
      <w:r>
        <w:rPr>
          <w:rStyle w:val="CommentReference"/>
        </w:rPr>
        <w:annotationRef/>
      </w:r>
      <w:r>
        <w:t>Please delete the extra word “and” in Section (6)(a)(A) on page 21 of the rule</w:t>
      </w:r>
    </w:p>
  </w:comment>
  <w:comment w:id="134" w:author="DOU Connie" w:date="2019-11-24T11:10:00Z" w:initials="DC">
    <w:p w14:paraId="2972AA31" w14:textId="482B2FE1" w:rsidR="007338CD" w:rsidRDefault="007338CD">
      <w:pPr>
        <w:pStyle w:val="CommentText"/>
      </w:pPr>
      <w:r>
        <w:rPr>
          <w:rStyle w:val="CommentReference"/>
        </w:rPr>
        <w:annotationRef/>
      </w:r>
      <w:r>
        <w:t>Please check my language here.</w:t>
      </w:r>
    </w:p>
  </w:comment>
  <w:comment w:id="139" w:author="DOU Connie" w:date="2019-11-24T15:20:00Z" w:initials="DC">
    <w:p w14:paraId="19EA743F" w14:textId="724C533E" w:rsidR="007338CD" w:rsidRDefault="007338CD">
      <w:pPr>
        <w:pStyle w:val="CommentText"/>
      </w:pPr>
      <w:r>
        <w:rPr>
          <w:rStyle w:val="CommentReference"/>
        </w:rPr>
        <w:annotationRef/>
      </w:r>
      <w:r>
        <w:t>Please schedule an internal meeting to discuss (6)(i), including Gene and Jennifer</w:t>
      </w:r>
    </w:p>
  </w:comment>
  <w:comment w:id="140" w:author="DOU Connie" w:date="2019-11-24T15:24:00Z" w:initials="DC">
    <w:p w14:paraId="2460CDDE" w14:textId="7776E3B7" w:rsidR="007338CD" w:rsidRDefault="007338CD">
      <w:pPr>
        <w:pStyle w:val="CommentText"/>
      </w:pPr>
      <w:r>
        <w:rPr>
          <w:rStyle w:val="CommentReference"/>
        </w:rPr>
        <w:annotationRef/>
      </w:r>
      <w:r>
        <w:t>Could we cite the EPA and State guidances?</w:t>
      </w:r>
    </w:p>
  </w:comment>
  <w:comment w:id="141" w:author="DOU Connie" w:date="2019-11-24T15:24:00Z" w:initials="DC">
    <w:p w14:paraId="656A96D6" w14:textId="13E98C9C" w:rsidR="007338CD" w:rsidRDefault="007338CD">
      <w:pPr>
        <w:pStyle w:val="CommentText"/>
      </w:pPr>
      <w:r>
        <w:rPr>
          <w:rStyle w:val="CommentReference"/>
        </w:rPr>
        <w:annotationRef/>
      </w:r>
      <w:r>
        <w:t>Please cite the rule or guidance requires that.</w:t>
      </w:r>
    </w:p>
  </w:comment>
  <w:comment w:id="142" w:author="DOU Connie" w:date="2019-11-24T15:46:00Z" w:initials="DC">
    <w:p w14:paraId="76F47D87" w14:textId="398B852D" w:rsidR="007338CD" w:rsidRDefault="007338CD">
      <w:pPr>
        <w:pStyle w:val="CommentText"/>
      </w:pPr>
      <w:r>
        <w:rPr>
          <w:rStyle w:val="CommentReference"/>
        </w:rPr>
        <w:annotationRef/>
      </w:r>
      <w:r>
        <w:t>What does this word mean here?</w:t>
      </w:r>
    </w:p>
  </w:comment>
  <w:comment w:id="143" w:author="DOU Connie" w:date="2019-11-24T15:47:00Z" w:initials="DC">
    <w:p w14:paraId="151BE663" w14:textId="18B0B2D5" w:rsidR="007338CD" w:rsidRDefault="007338CD">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155" w:author="DOU Connie" w:date="2019-11-24T16:44:00Z" w:initials="DC">
    <w:p w14:paraId="78712D0D" w14:textId="34184A13" w:rsidR="00964F57" w:rsidRDefault="00964F57">
      <w:pPr>
        <w:pStyle w:val="CommentText"/>
      </w:pPr>
      <w:r>
        <w:rPr>
          <w:rStyle w:val="CommentReference"/>
        </w:rPr>
        <w:annotationRef/>
      </w:r>
      <w:r>
        <w:t>Double check here?</w:t>
      </w:r>
    </w:p>
  </w:comment>
  <w:comment w:id="156" w:author="DOU Connie" w:date="2019-11-24T16:49:00Z" w:initials="DC">
    <w:p w14:paraId="1095657F" w14:textId="0E2C0CD3" w:rsidR="00FC7A9F" w:rsidRDefault="00FC7A9F">
      <w:pPr>
        <w:pStyle w:val="CommentText"/>
      </w:pPr>
      <w:r>
        <w:rPr>
          <w:rStyle w:val="CommentReference"/>
        </w:rPr>
        <w:annotationRef/>
      </w:r>
      <w:r>
        <w:t>What is comment 18? I checked comment 18 has nothing to do with this?</w:t>
      </w:r>
    </w:p>
  </w:comment>
  <w:comment w:id="160" w:author="BOROK Aron" w:date="2019-11-19T13:26:00Z" w:initials="BA">
    <w:p w14:paraId="7A13BB47" w14:textId="1819C739" w:rsidR="007338CD" w:rsidRDefault="007338CD">
      <w:pPr>
        <w:pStyle w:val="CommentText"/>
      </w:pPr>
      <w:r>
        <w:rPr>
          <w:rStyle w:val="CommentReference"/>
        </w:rPr>
        <w:annotationRef/>
      </w:r>
      <w:r>
        <w:t>Sent comment to Erich for feedback.</w:t>
      </w:r>
    </w:p>
  </w:comment>
  <w:comment w:id="172" w:author="DOU Connie" w:date="2019-11-24T17:08:00Z" w:initials="DC">
    <w:p w14:paraId="13820636" w14:textId="5A7CE869" w:rsidR="004578E4" w:rsidRDefault="004578E4">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53CC3F4E" w15:done="0"/>
  <w15:commentEx w15:paraId="3793CB2B" w15:done="0"/>
  <w15:commentEx w15:paraId="2254CE03" w15:done="0"/>
  <w15:commentEx w15:paraId="348FA6C5" w15:done="0"/>
  <w15:commentEx w15:paraId="29C2CB74" w15:done="0"/>
  <w15:commentEx w15:paraId="3BB29202" w15:done="0"/>
  <w15:commentEx w15:paraId="40BE20FF" w15:done="0"/>
  <w15:commentEx w15:paraId="5713E2C2" w15:done="0"/>
  <w15:commentEx w15:paraId="6E1558BF" w15:done="0"/>
  <w15:commentEx w15:paraId="17FECEFC" w15:done="0"/>
  <w15:commentEx w15:paraId="32116ECE" w15:done="0"/>
  <w15:commentEx w15:paraId="4935CC36" w15:done="0"/>
  <w15:commentEx w15:paraId="2972AA31" w15:done="0"/>
  <w15:commentEx w15:paraId="19EA743F" w15:done="0"/>
  <w15:commentEx w15:paraId="2460CDDE" w15:done="0"/>
  <w15:commentEx w15:paraId="656A96D6" w15:done="0"/>
  <w15:commentEx w15:paraId="76F47D87" w15:done="0"/>
  <w15:commentEx w15:paraId="151BE663" w15:done="0"/>
  <w15:commentEx w15:paraId="78712D0D"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338CD" w:rsidRDefault="007338CD" w:rsidP="002D6C99">
      <w:r>
        <w:separator/>
      </w:r>
    </w:p>
  </w:endnote>
  <w:endnote w:type="continuationSeparator" w:id="0">
    <w:p w14:paraId="3ABC5CD7" w14:textId="77777777" w:rsidR="007338CD" w:rsidRDefault="007338C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338CD" w:rsidRDefault="007338CD" w:rsidP="002D6C99">
    <w:pPr>
      <w:pStyle w:val="Footer"/>
    </w:pPr>
  </w:p>
  <w:p w14:paraId="3ABC5CD9" w14:textId="0C10D2F3" w:rsidR="007338CD" w:rsidRPr="002B4E71" w:rsidRDefault="007338CD" w:rsidP="002D6C99">
    <w:pPr>
      <w:pStyle w:val="Footer"/>
    </w:pPr>
    <w:r>
      <w:t>Staff Report</w:t>
    </w:r>
    <w:r w:rsidRPr="002B4E71">
      <w:t xml:space="preserve"> page | </w:t>
    </w:r>
    <w:r>
      <w:fldChar w:fldCharType="begin"/>
    </w:r>
    <w:r>
      <w:instrText xml:space="preserve"> PAGE   \* MERGEFORMAT </w:instrText>
    </w:r>
    <w:r>
      <w:fldChar w:fldCharType="separate"/>
    </w:r>
    <w:r w:rsidR="00D308C3">
      <w:rPr>
        <w:noProof/>
      </w:rPr>
      <w:t>68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338CD" w:rsidRDefault="007338CD" w:rsidP="002D6C99">
      <w:r>
        <w:separator/>
      </w:r>
    </w:p>
  </w:footnote>
  <w:footnote w:type="continuationSeparator" w:id="0">
    <w:p w14:paraId="3ABC5CD5" w14:textId="77777777" w:rsidR="007338CD" w:rsidRDefault="007338CD"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C6B99"/>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8CD"/>
    <w:rsid w:val="00733A49"/>
    <w:rsid w:val="007365A2"/>
    <w:rsid w:val="00744E74"/>
    <w:rsid w:val="007450D6"/>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26D5"/>
    <w:rsid w:val="00AA42DD"/>
    <w:rsid w:val="00AA4C43"/>
    <w:rsid w:val="00AA62F7"/>
    <w:rsid w:val="00AA76CE"/>
    <w:rsid w:val="00AB1B3E"/>
    <w:rsid w:val="00AB26A9"/>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6DE81-6B18-4C78-B6A3-421FE2F9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TotalTime>
  <Pages>69</Pages>
  <Words>21357</Words>
  <Characters>121736</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DOU Connie</cp:lastModifiedBy>
  <cp:revision>84</cp:revision>
  <cp:lastPrinted>2019-11-20T16:35:00Z</cp:lastPrinted>
  <dcterms:created xsi:type="dcterms:W3CDTF">2019-11-12T23:24:00Z</dcterms:created>
  <dcterms:modified xsi:type="dcterms:W3CDTF">2019-11-25T01:10:00Z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