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C35BDA3"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82062C">
          <w:rPr>
            <w:noProof/>
            <w:webHidden/>
          </w:rPr>
          <w:t>4</w:t>
        </w:r>
        <w:r w:rsidR="0064316E">
          <w:rPr>
            <w:noProof/>
            <w:webHidden/>
          </w:rPr>
          <w:fldChar w:fldCharType="end"/>
        </w:r>
      </w:hyperlink>
    </w:p>
    <w:p w14:paraId="3ABC5B31" w14:textId="35BC7792"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Pr>
            <w:noProof/>
            <w:webHidden/>
          </w:rPr>
          <w:t>5</w:t>
        </w:r>
        <w:r w:rsidR="0064316E">
          <w:rPr>
            <w:noProof/>
            <w:webHidden/>
          </w:rPr>
          <w:fldChar w:fldCharType="end"/>
        </w:r>
      </w:hyperlink>
    </w:p>
    <w:p w14:paraId="3ABC5B32" w14:textId="7824DF40"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Pr>
            <w:noProof/>
            <w:webHidden/>
          </w:rPr>
          <w:t>10</w:t>
        </w:r>
        <w:r w:rsidR="0064316E">
          <w:rPr>
            <w:noProof/>
            <w:webHidden/>
          </w:rPr>
          <w:fldChar w:fldCharType="end"/>
        </w:r>
      </w:hyperlink>
    </w:p>
    <w:p w14:paraId="3ABC5B33" w14:textId="399580FA"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Pr>
            <w:noProof/>
            <w:webHidden/>
          </w:rPr>
          <w:t>11</w:t>
        </w:r>
        <w:r w:rsidR="0064316E">
          <w:rPr>
            <w:noProof/>
            <w:webHidden/>
          </w:rPr>
          <w:fldChar w:fldCharType="end"/>
        </w:r>
      </w:hyperlink>
    </w:p>
    <w:p w14:paraId="3ABC5B34" w14:textId="3781D1DC"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Pr>
            <w:noProof/>
            <w:webHidden/>
          </w:rPr>
          <w:t>13</w:t>
        </w:r>
        <w:r w:rsidR="0064316E">
          <w:rPr>
            <w:noProof/>
            <w:webHidden/>
          </w:rPr>
          <w:fldChar w:fldCharType="end"/>
        </w:r>
      </w:hyperlink>
    </w:p>
    <w:p w14:paraId="3ABC5B35" w14:textId="0A5CB300"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Pr>
            <w:noProof/>
            <w:webHidden/>
          </w:rPr>
          <w:t>17</w:t>
        </w:r>
        <w:r w:rsidR="0064316E">
          <w:rPr>
            <w:noProof/>
            <w:webHidden/>
          </w:rPr>
          <w:fldChar w:fldCharType="end"/>
        </w:r>
      </w:hyperlink>
    </w:p>
    <w:p w14:paraId="3ABC5B36" w14:textId="214BC4D1"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Pr>
            <w:noProof/>
            <w:webHidden/>
          </w:rPr>
          <w:t>18</w:t>
        </w:r>
        <w:r w:rsidR="0064316E">
          <w:rPr>
            <w:noProof/>
            <w:webHidden/>
          </w:rPr>
          <w:fldChar w:fldCharType="end"/>
        </w:r>
      </w:hyperlink>
    </w:p>
    <w:p w14:paraId="3ABC5B37" w14:textId="72CA5A24"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Pr>
            <w:noProof/>
            <w:webHidden/>
          </w:rPr>
          <w:t>23</w:t>
        </w:r>
        <w:r w:rsidR="0064316E">
          <w:rPr>
            <w:noProof/>
            <w:webHidden/>
          </w:rPr>
          <w:fldChar w:fldCharType="end"/>
        </w:r>
      </w:hyperlink>
    </w:p>
    <w:p w14:paraId="3ABC5B38" w14:textId="57F11D93"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Pr>
            <w:noProof/>
            <w:webHidden/>
          </w:rPr>
          <w:t>24</w:t>
        </w:r>
        <w:r w:rsidR="0064316E">
          <w:rPr>
            <w:noProof/>
            <w:webHidden/>
          </w:rPr>
          <w:fldChar w:fldCharType="end"/>
        </w:r>
      </w:hyperlink>
    </w:p>
    <w:p w14:paraId="3ABC5B39" w14:textId="58086C0A"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Pr>
            <w:noProof/>
            <w:webHidden/>
          </w:rPr>
          <w:t>26</w:t>
        </w:r>
        <w:r w:rsidR="0064316E">
          <w:rPr>
            <w:noProof/>
            <w:webHidden/>
          </w:rPr>
          <w:fldChar w:fldCharType="end"/>
        </w:r>
      </w:hyperlink>
    </w:p>
    <w:p w14:paraId="3ABC5B3A" w14:textId="56259B17"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Pr>
            <w:noProof/>
            <w:webHidden/>
          </w:rPr>
          <w:t>28</w:t>
        </w:r>
        <w:r w:rsidR="0064316E">
          <w:rPr>
            <w:noProof/>
            <w:webHidden/>
          </w:rPr>
          <w:fldChar w:fldCharType="end"/>
        </w:r>
      </w:hyperlink>
    </w:p>
    <w:p w14:paraId="3ABC5B3B" w14:textId="7BBBAAED"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Pr>
            <w:noProof/>
            <w:webHidden/>
          </w:rPr>
          <w:t>29</w:t>
        </w:r>
        <w:r w:rsidR="0064316E">
          <w:rPr>
            <w:noProof/>
            <w:webHidden/>
          </w:rPr>
          <w:fldChar w:fldCharType="end"/>
        </w:r>
      </w:hyperlink>
    </w:p>
    <w:p w14:paraId="3ABC5B3C" w14:textId="699943AD"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Pr>
            <w:noProof/>
            <w:webHidden/>
          </w:rPr>
          <w:t>64</w:t>
        </w:r>
        <w:r w:rsidR="0064316E">
          <w:rPr>
            <w:noProof/>
            <w:webHidden/>
          </w:rPr>
          <w:fldChar w:fldCharType="end"/>
        </w:r>
      </w:hyperlink>
    </w:p>
    <w:p w14:paraId="3ABC5B3D" w14:textId="37C62E2C"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Pr>
            <w:noProof/>
            <w:webHidden/>
          </w:rPr>
          <w:t>65</w:t>
        </w:r>
        <w:r w:rsidR="0064316E">
          <w:rPr>
            <w:noProof/>
            <w:webHidden/>
          </w:rPr>
          <w:fldChar w:fldCharType="end"/>
        </w:r>
      </w:hyperlink>
    </w:p>
    <w:p w14:paraId="3ABC5B3E" w14:textId="48E61E28"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Pr>
            <w:noProof/>
            <w:webHidden/>
          </w:rPr>
          <w:t>66</w:t>
        </w:r>
        <w:r w:rsidR="0064316E">
          <w:rPr>
            <w:noProof/>
            <w:webHidden/>
          </w:rPr>
          <w:fldChar w:fldCharType="end"/>
        </w:r>
      </w:hyperlink>
    </w:p>
    <w:p w14:paraId="3ABC5B3F" w14:textId="3F1FCC02"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Pr>
            <w:noProof/>
            <w:webHidden/>
          </w:rPr>
          <w:t>67</w:t>
        </w:r>
        <w:r w:rsidR="0064316E">
          <w:rPr>
            <w:noProof/>
            <w:webHidden/>
          </w:rPr>
          <w:fldChar w:fldCharType="end"/>
        </w:r>
      </w:hyperlink>
    </w:p>
    <w:p w14:paraId="3ABC5B40" w14:textId="41E23CA5"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Pr>
            <w:noProof/>
            <w:webHidden/>
          </w:rPr>
          <w:t>68</w:t>
        </w:r>
        <w:r w:rsidR="0064316E">
          <w:rPr>
            <w:noProof/>
            <w:webHidden/>
          </w:rPr>
          <w:fldChar w:fldCharType="end"/>
        </w:r>
      </w:hyperlink>
    </w:p>
    <w:p w14:paraId="3ABC5B41" w14:textId="1F3D7091" w:rsidR="0064316E" w:rsidRDefault="0082062C">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lastRenderedPageBreak/>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82062C"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82062C"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82062C"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82062C"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82062C"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82062C"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82062C"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82062C"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82062C"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82062C"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82062C"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82062C"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82062C"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82062C"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82062C"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82062C"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lastRenderedPageBreak/>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82062C" w:rsidRPr="001A4DE1" w:rsidRDefault="0082062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82062C" w:rsidRDefault="0082062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 xml:space="preserve">s non-point source </w:t>
            </w:r>
            <w:r w:rsidRPr="00C53B25">
              <w:rPr>
                <w:color w:val="000000"/>
                <w:sz w:val="22"/>
                <w:szCs w:val="22"/>
              </w:rPr>
              <w:lastRenderedPageBreak/>
              <w:t>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lastRenderedPageBreak/>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has already been made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lastRenderedPageBreak/>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lastRenderedPageBreak/>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56E1B48C"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the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lastRenderedPageBreak/>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lastRenderedPageBreak/>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w:t>
      </w:r>
      <w:r w:rsidR="00D015C5" w:rsidRPr="00DD02CB">
        <w:rPr>
          <w:rFonts w:eastAsiaTheme="minorHAnsi"/>
          <w:sz w:val="22"/>
          <w:szCs w:val="22"/>
        </w:rPr>
        <w:lastRenderedPageBreak/>
        <w:t xml:space="preserve">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 xml:space="preserve">Commenter does not </w:t>
      </w:r>
      <w:r w:rsidR="00A93CA9" w:rsidRPr="00DD02CB">
        <w:rPr>
          <w:bCs/>
          <w:color w:val="000000" w:themeColor="text1"/>
          <w:sz w:val="22"/>
          <w:szCs w:val="22"/>
        </w:rPr>
        <w:lastRenderedPageBreak/>
        <w:t>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49D5929F"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r w:rsidR="001312F0">
        <w:rPr>
          <w:color w:val="000000"/>
          <w:sz w:val="22"/>
          <w:szCs w:val="22"/>
        </w:rPr>
        <w:t>However, i</w:t>
      </w:r>
      <w:r w:rsidR="009012F7">
        <w:rPr>
          <w:color w:val="000000"/>
          <w:sz w:val="22"/>
          <w:szCs w:val="22"/>
        </w:rPr>
        <w:t xml:space="preserve">n response to this request, DEQ listed all </w:t>
      </w:r>
      <w:r w:rsidR="002352F9">
        <w:rPr>
          <w:color w:val="000000"/>
          <w:sz w:val="22"/>
          <w:szCs w:val="22"/>
        </w:rPr>
        <w:t xml:space="preserve">NPDES permitted </w:t>
      </w:r>
      <w:r w:rsidR="009012F7">
        <w:rPr>
          <w:color w:val="000000"/>
          <w:sz w:val="22"/>
          <w:szCs w:val="22"/>
        </w:rPr>
        <w:t xml:space="preserve">dischargers </w:t>
      </w:r>
      <w:r w:rsidR="002352F9">
        <w:rPr>
          <w:color w:val="000000"/>
          <w:sz w:val="22"/>
          <w:szCs w:val="22"/>
        </w:rPr>
        <w:t>to waterbodies within the Willamette Basin as eligible for the variance</w:t>
      </w:r>
      <w:r w:rsidR="000127C5">
        <w:rPr>
          <w:color w:val="000000"/>
          <w:sz w:val="22"/>
          <w:szCs w:val="22"/>
        </w:rPr>
        <w:t xml:space="preserve">. Because all water bodies in the Willamette Basin are impaired for methylmercury, any discharger required to monitor mercury in their effluent </w:t>
      </w:r>
      <w:r w:rsidR="001312F0">
        <w:rPr>
          <w:color w:val="000000"/>
          <w:sz w:val="22"/>
          <w:szCs w:val="22"/>
        </w:rPr>
        <w:t>will be subject to</w:t>
      </w:r>
      <w:r w:rsidR="000127C5">
        <w:rPr>
          <w:color w:val="000000"/>
          <w:sz w:val="22"/>
          <w:szCs w:val="22"/>
        </w:rPr>
        <w:t xml:space="preserve"> a water quality based permit limit for mercury </w:t>
      </w:r>
      <w:r w:rsidR="001312F0">
        <w:rPr>
          <w:color w:val="000000"/>
          <w:sz w:val="22"/>
          <w:szCs w:val="22"/>
        </w:rPr>
        <w:t xml:space="preserve">that </w:t>
      </w:r>
      <w:r w:rsidR="001E7912">
        <w:rPr>
          <w:color w:val="000000"/>
          <w:sz w:val="22"/>
          <w:szCs w:val="22"/>
        </w:rPr>
        <w:t>cannot</w:t>
      </w:r>
      <w:r w:rsidR="001312F0">
        <w:rPr>
          <w:color w:val="000000"/>
          <w:sz w:val="22"/>
          <w:szCs w:val="22"/>
        </w:rPr>
        <w:t xml:space="preserve"> feasibly </w:t>
      </w:r>
      <w:r w:rsidR="001E7912">
        <w:rPr>
          <w:color w:val="000000"/>
          <w:sz w:val="22"/>
          <w:szCs w:val="22"/>
        </w:rPr>
        <w:t xml:space="preserve">be achieved </w:t>
      </w:r>
      <w:r w:rsidR="001312F0">
        <w:rPr>
          <w:color w:val="000000"/>
          <w:sz w:val="22"/>
          <w:szCs w:val="22"/>
        </w:rPr>
        <w:t xml:space="preserve">and </w:t>
      </w:r>
      <w:r w:rsidR="000127C5">
        <w:rPr>
          <w:color w:val="000000"/>
          <w:sz w:val="22"/>
          <w:szCs w:val="22"/>
        </w:rPr>
        <w:t xml:space="preserve">will </w:t>
      </w:r>
      <w:r w:rsidR="001312F0">
        <w:rPr>
          <w:color w:val="000000"/>
          <w:sz w:val="22"/>
          <w:szCs w:val="22"/>
        </w:rPr>
        <w:t xml:space="preserve">therefore </w:t>
      </w:r>
      <w:r w:rsidR="000127C5">
        <w:rPr>
          <w:color w:val="000000"/>
          <w:sz w:val="22"/>
          <w:szCs w:val="22"/>
        </w:rPr>
        <w:t xml:space="preserve">need a variance. However, sources that </w:t>
      </w:r>
      <w:r w:rsidR="002352F9">
        <w:rPr>
          <w:color w:val="000000"/>
          <w:sz w:val="22"/>
          <w:szCs w:val="22"/>
        </w:rPr>
        <w:t xml:space="preserve">are </w:t>
      </w:r>
      <w:r w:rsidR="000127C5">
        <w:rPr>
          <w:color w:val="000000"/>
          <w:sz w:val="22"/>
          <w:szCs w:val="22"/>
        </w:rPr>
        <w:t xml:space="preserve">not </w:t>
      </w:r>
      <w:r w:rsidR="002352F9">
        <w:rPr>
          <w:color w:val="000000"/>
          <w:sz w:val="22"/>
          <w:szCs w:val="22"/>
        </w:rPr>
        <w:t>required to monitor mercury in their effluent</w:t>
      </w:r>
      <w:r w:rsidR="00AD7968">
        <w:rPr>
          <w:color w:val="000000"/>
          <w:sz w:val="22"/>
          <w:szCs w:val="22"/>
        </w:rPr>
        <w:t xml:space="preserve"> </w:t>
      </w:r>
      <w:r w:rsidR="001E7912">
        <w:rPr>
          <w:color w:val="000000"/>
          <w:sz w:val="22"/>
          <w:szCs w:val="22"/>
        </w:rPr>
        <w:t xml:space="preserve">at this time </w:t>
      </w:r>
      <w:r w:rsidR="001312F0">
        <w:rPr>
          <w:color w:val="000000"/>
          <w:sz w:val="22"/>
          <w:szCs w:val="22"/>
        </w:rPr>
        <w:t xml:space="preserve">are not subject to a WQBEL for mercury </w:t>
      </w:r>
      <w:r w:rsidR="001E7912">
        <w:rPr>
          <w:color w:val="000000"/>
          <w:sz w:val="22"/>
          <w:szCs w:val="22"/>
        </w:rPr>
        <w:t xml:space="preserve">and therefore </w:t>
      </w:r>
      <w:r w:rsidR="001312F0">
        <w:rPr>
          <w:color w:val="000000"/>
          <w:sz w:val="22"/>
          <w:szCs w:val="22"/>
        </w:rPr>
        <w:t xml:space="preserve">do </w:t>
      </w:r>
      <w:r w:rsidR="000127C5">
        <w:rPr>
          <w:color w:val="000000"/>
          <w:sz w:val="22"/>
          <w:szCs w:val="22"/>
        </w:rPr>
        <w:t xml:space="preserve">not </w:t>
      </w:r>
      <w:r w:rsidR="001E7912">
        <w:rPr>
          <w:color w:val="000000"/>
          <w:sz w:val="22"/>
          <w:szCs w:val="22"/>
        </w:rPr>
        <w:t xml:space="preserve">yet </w:t>
      </w:r>
      <w:r w:rsidR="000127C5">
        <w:rPr>
          <w:color w:val="000000"/>
          <w:sz w:val="22"/>
          <w:szCs w:val="22"/>
        </w:rPr>
        <w:t>need coverage under the variance.</w:t>
      </w:r>
      <w:r w:rsidR="000127C5" w:rsidDel="000127C5">
        <w:rPr>
          <w:color w:val="000000"/>
          <w:sz w:val="22"/>
          <w:szCs w:val="22"/>
        </w:rPr>
        <w:t xml:space="preserve"> </w:t>
      </w:r>
    </w:p>
    <w:p w14:paraId="31B504BB" w14:textId="77777777" w:rsidR="00AD7968" w:rsidRDefault="00AD7968" w:rsidP="009012F7">
      <w:pPr>
        <w:ind w:left="0"/>
        <w:rPr>
          <w:color w:val="000000"/>
          <w:sz w:val="22"/>
          <w:szCs w:val="22"/>
        </w:rPr>
      </w:pPr>
    </w:p>
    <w:p w14:paraId="26A8E5D9" w14:textId="7604D039" w:rsidR="00717F64" w:rsidRDefault="00717F64" w:rsidP="009012F7">
      <w:pPr>
        <w:ind w:left="0"/>
        <w:rPr>
          <w:color w:val="000000"/>
          <w:sz w:val="22"/>
          <w:szCs w:val="22"/>
        </w:rPr>
      </w:pPr>
      <w:r w:rsidRPr="00D0274B">
        <w:rPr>
          <w:color w:val="000000"/>
          <w:sz w:val="22"/>
          <w:szCs w:val="22"/>
        </w:rPr>
        <w:t>The federal rule does not require identification of nonpoint source controls for discharger</w:t>
      </w:r>
      <w:r w:rsidR="009012F7" w:rsidRPr="00D0274B">
        <w:rPr>
          <w:color w:val="000000"/>
          <w:sz w:val="22"/>
          <w:szCs w:val="22"/>
        </w:rPr>
        <w:t>(s)</w:t>
      </w:r>
      <w:r w:rsidRPr="00D0274B">
        <w:rPr>
          <w:color w:val="000000"/>
          <w:sz w:val="22"/>
          <w:szCs w:val="22"/>
        </w:rPr>
        <w:t>-specific variances</w:t>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F3F22C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is proposing a multiple-discharger variance, rather than </w:t>
      </w:r>
      <w:r w:rsidR="007F6A0E">
        <w:rPr>
          <w:bCs/>
          <w:color w:val="000000" w:themeColor="text1"/>
          <w:sz w:val="22"/>
          <w:szCs w:val="22"/>
        </w:rPr>
        <w:t xml:space="preserve">a waterbody variance. As noted in the response to Comment #22, DEQ has listed all </w:t>
      </w:r>
      <w:r w:rsidR="007F6A0E">
        <w:rPr>
          <w:color w:val="000000"/>
          <w:sz w:val="22"/>
          <w:szCs w:val="22"/>
        </w:rPr>
        <w:t xml:space="preserve">NPDES permitted dischargers to waterbodies within the Willamette Basin as eligible for the variance. </w:t>
      </w:r>
      <w:r w:rsidR="00DD7653">
        <w:rPr>
          <w:color w:val="000000"/>
          <w:sz w:val="22"/>
          <w:szCs w:val="22"/>
        </w:rPr>
        <w:t>Because DEQ included the list of dischargers, there is no need to incorporate eligibility requirements in the variance and deleted the statement described in the comment altogether.</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are permittees protected against having an unforeseen and </w:t>
      </w:r>
      <w:r w:rsidRPr="00DD02CB">
        <w:rPr>
          <w:sz w:val="22"/>
          <w:szCs w:val="22"/>
        </w:rPr>
        <w:lastRenderedPageBreak/>
        <w:t>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lastRenderedPageBreak/>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lastRenderedPageBreak/>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1058B4C7"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32078C">
        <w:rPr>
          <w:bCs/>
          <w:color w:val="000000" w:themeColor="text1"/>
          <w:sz w:val="22"/>
          <w:szCs w:val="22"/>
        </w:rPr>
        <w:t>, but uses wording consistent with DEQ’s intent and the federal regulations</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lastRenderedPageBreak/>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lastRenderedPageBreak/>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7B1673"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 xml:space="preserve">DEQ has revised section (6)(f) </w:t>
      </w:r>
      <w:bookmarkStart w:id="14" w:name="_GoBack"/>
      <w:bookmarkEnd w:id="14"/>
      <w:r w:rsidR="00932004" w:rsidRPr="00932004">
        <w:rPr>
          <w:bCs/>
          <w:color w:val="000000" w:themeColor="text1"/>
          <w:sz w:val="22"/>
          <w:szCs w:val="22"/>
        </w:rPr>
        <w:t>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82062C" w:rsidRDefault="0082062C" w:rsidP="002D6C99">
      <w:r>
        <w:separator/>
      </w:r>
    </w:p>
  </w:endnote>
  <w:endnote w:type="continuationSeparator" w:id="0">
    <w:p w14:paraId="3ABC5CD7" w14:textId="77777777" w:rsidR="0082062C" w:rsidRDefault="008206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82062C" w:rsidRDefault="0082062C" w:rsidP="002D6C99">
    <w:pPr>
      <w:pStyle w:val="Footer"/>
    </w:pPr>
  </w:p>
  <w:p w14:paraId="3ABC5CD9" w14:textId="3053CA8B" w:rsidR="0082062C" w:rsidRPr="002B4E71" w:rsidRDefault="0082062C" w:rsidP="002D6C99">
    <w:pPr>
      <w:pStyle w:val="Footer"/>
    </w:pPr>
    <w:r>
      <w:t>Staff Report</w:t>
    </w:r>
    <w:r w:rsidRPr="002B4E71">
      <w:t xml:space="preserve"> page | </w:t>
    </w:r>
    <w:r>
      <w:fldChar w:fldCharType="begin"/>
    </w:r>
    <w:r>
      <w:instrText xml:space="preserve"> PAGE   \* MERGEFORMAT </w:instrText>
    </w:r>
    <w:r>
      <w:fldChar w:fldCharType="separate"/>
    </w:r>
    <w:r w:rsidR="00682E41">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82062C" w:rsidRDefault="0082062C" w:rsidP="002D6C99">
      <w:r>
        <w:separator/>
      </w:r>
    </w:p>
  </w:footnote>
  <w:footnote w:type="continuationSeparator" w:id="0">
    <w:p w14:paraId="3ABC5CD5" w14:textId="77777777" w:rsidR="0082062C" w:rsidRDefault="0082062C"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509A"/>
    <w:rsid w:val="00AF6875"/>
    <w:rsid w:val="00AF6E2F"/>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purl.org/dc/terms/"/>
    <ds:schemaRef ds:uri="$ListId:doc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BD78C-9BD7-4BEB-BCBB-CCF383BE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TotalTime>
  <Pages>70</Pages>
  <Words>21491</Words>
  <Characters>122500</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96</cp:revision>
  <cp:lastPrinted>2019-11-20T16:35:00Z</cp:lastPrinted>
  <dcterms:created xsi:type="dcterms:W3CDTF">2019-11-12T23:24:00Z</dcterms:created>
  <dcterms:modified xsi:type="dcterms:W3CDTF">2019-12-06T00:43:00Z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