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11B187B1"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0197A">
          <w:rPr>
            <w:noProof/>
            <w:webHidden/>
          </w:rPr>
          <w:t>4</w:t>
        </w:r>
        <w:r w:rsidR="0064316E">
          <w:rPr>
            <w:noProof/>
            <w:webHidden/>
          </w:rPr>
          <w:fldChar w:fldCharType="end"/>
        </w:r>
      </w:hyperlink>
    </w:p>
    <w:p w14:paraId="3ABC5B31" w14:textId="1D99FF11"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70197A">
          <w:rPr>
            <w:noProof/>
            <w:webHidden/>
          </w:rPr>
          <w:t>5</w:t>
        </w:r>
        <w:r w:rsidR="0064316E">
          <w:rPr>
            <w:noProof/>
            <w:webHidden/>
          </w:rPr>
          <w:fldChar w:fldCharType="end"/>
        </w:r>
      </w:hyperlink>
    </w:p>
    <w:p w14:paraId="3ABC5B32" w14:textId="42F9F488"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70197A">
          <w:rPr>
            <w:noProof/>
            <w:webHidden/>
          </w:rPr>
          <w:t>10</w:t>
        </w:r>
        <w:r w:rsidR="0064316E">
          <w:rPr>
            <w:noProof/>
            <w:webHidden/>
          </w:rPr>
          <w:fldChar w:fldCharType="end"/>
        </w:r>
      </w:hyperlink>
    </w:p>
    <w:p w14:paraId="3ABC5B33" w14:textId="037E38F3"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70197A">
          <w:rPr>
            <w:noProof/>
            <w:webHidden/>
          </w:rPr>
          <w:t>11</w:t>
        </w:r>
        <w:r w:rsidR="0064316E">
          <w:rPr>
            <w:noProof/>
            <w:webHidden/>
          </w:rPr>
          <w:fldChar w:fldCharType="end"/>
        </w:r>
      </w:hyperlink>
    </w:p>
    <w:p w14:paraId="3ABC5B34" w14:textId="1C5D8C68"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70197A">
          <w:rPr>
            <w:noProof/>
            <w:webHidden/>
          </w:rPr>
          <w:t>13</w:t>
        </w:r>
        <w:r w:rsidR="0064316E">
          <w:rPr>
            <w:noProof/>
            <w:webHidden/>
          </w:rPr>
          <w:fldChar w:fldCharType="end"/>
        </w:r>
      </w:hyperlink>
    </w:p>
    <w:p w14:paraId="3ABC5B35" w14:textId="0DD4AA8D"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70197A">
          <w:rPr>
            <w:noProof/>
            <w:webHidden/>
          </w:rPr>
          <w:t>17</w:t>
        </w:r>
        <w:r w:rsidR="0064316E">
          <w:rPr>
            <w:noProof/>
            <w:webHidden/>
          </w:rPr>
          <w:fldChar w:fldCharType="end"/>
        </w:r>
      </w:hyperlink>
    </w:p>
    <w:p w14:paraId="3ABC5B36" w14:textId="463D717A"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70197A">
          <w:rPr>
            <w:noProof/>
            <w:webHidden/>
          </w:rPr>
          <w:t>18</w:t>
        </w:r>
        <w:r w:rsidR="0064316E">
          <w:rPr>
            <w:noProof/>
            <w:webHidden/>
          </w:rPr>
          <w:fldChar w:fldCharType="end"/>
        </w:r>
      </w:hyperlink>
    </w:p>
    <w:p w14:paraId="3ABC5B37" w14:textId="63409B56"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70197A">
          <w:rPr>
            <w:noProof/>
            <w:webHidden/>
          </w:rPr>
          <w:t>23</w:t>
        </w:r>
        <w:r w:rsidR="0064316E">
          <w:rPr>
            <w:noProof/>
            <w:webHidden/>
          </w:rPr>
          <w:fldChar w:fldCharType="end"/>
        </w:r>
      </w:hyperlink>
    </w:p>
    <w:p w14:paraId="3ABC5B38" w14:textId="52A170A9"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70197A">
          <w:rPr>
            <w:noProof/>
            <w:webHidden/>
          </w:rPr>
          <w:t>24</w:t>
        </w:r>
        <w:r w:rsidR="0064316E">
          <w:rPr>
            <w:noProof/>
            <w:webHidden/>
          </w:rPr>
          <w:fldChar w:fldCharType="end"/>
        </w:r>
      </w:hyperlink>
    </w:p>
    <w:p w14:paraId="3ABC5B39" w14:textId="2189CF57"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70197A">
          <w:rPr>
            <w:noProof/>
            <w:webHidden/>
          </w:rPr>
          <w:t>26</w:t>
        </w:r>
        <w:r w:rsidR="0064316E">
          <w:rPr>
            <w:noProof/>
            <w:webHidden/>
          </w:rPr>
          <w:fldChar w:fldCharType="end"/>
        </w:r>
      </w:hyperlink>
    </w:p>
    <w:p w14:paraId="3ABC5B3A" w14:textId="7B544D1F"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70197A">
          <w:rPr>
            <w:noProof/>
            <w:webHidden/>
          </w:rPr>
          <w:t>28</w:t>
        </w:r>
        <w:r w:rsidR="0064316E">
          <w:rPr>
            <w:noProof/>
            <w:webHidden/>
          </w:rPr>
          <w:fldChar w:fldCharType="end"/>
        </w:r>
      </w:hyperlink>
    </w:p>
    <w:p w14:paraId="3ABC5B3B" w14:textId="77661813"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70197A">
          <w:rPr>
            <w:noProof/>
            <w:webHidden/>
          </w:rPr>
          <w:t>29</w:t>
        </w:r>
        <w:r w:rsidR="0064316E">
          <w:rPr>
            <w:noProof/>
            <w:webHidden/>
          </w:rPr>
          <w:fldChar w:fldCharType="end"/>
        </w:r>
      </w:hyperlink>
    </w:p>
    <w:p w14:paraId="3ABC5B3C" w14:textId="38F8FF9B"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70197A">
          <w:rPr>
            <w:noProof/>
            <w:webHidden/>
          </w:rPr>
          <w:t>65</w:t>
        </w:r>
        <w:r w:rsidR="0064316E">
          <w:rPr>
            <w:noProof/>
            <w:webHidden/>
          </w:rPr>
          <w:fldChar w:fldCharType="end"/>
        </w:r>
      </w:hyperlink>
    </w:p>
    <w:p w14:paraId="3ABC5B3D" w14:textId="43729D86"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70197A">
          <w:rPr>
            <w:noProof/>
            <w:webHidden/>
          </w:rPr>
          <w:t>66</w:t>
        </w:r>
        <w:r w:rsidR="0064316E">
          <w:rPr>
            <w:noProof/>
            <w:webHidden/>
          </w:rPr>
          <w:fldChar w:fldCharType="end"/>
        </w:r>
      </w:hyperlink>
    </w:p>
    <w:p w14:paraId="3ABC5B3E" w14:textId="1F11EAB5"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70197A">
          <w:rPr>
            <w:noProof/>
            <w:webHidden/>
          </w:rPr>
          <w:t>67</w:t>
        </w:r>
        <w:r w:rsidR="0064316E">
          <w:rPr>
            <w:noProof/>
            <w:webHidden/>
          </w:rPr>
          <w:fldChar w:fldCharType="end"/>
        </w:r>
      </w:hyperlink>
    </w:p>
    <w:p w14:paraId="3ABC5B3F" w14:textId="0D65F11B"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70197A">
          <w:rPr>
            <w:noProof/>
            <w:webHidden/>
          </w:rPr>
          <w:t>68</w:t>
        </w:r>
        <w:r w:rsidR="0064316E">
          <w:rPr>
            <w:noProof/>
            <w:webHidden/>
          </w:rPr>
          <w:fldChar w:fldCharType="end"/>
        </w:r>
      </w:hyperlink>
    </w:p>
    <w:p w14:paraId="3ABC5B40" w14:textId="1ADF5A00"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70197A">
          <w:rPr>
            <w:noProof/>
            <w:webHidden/>
          </w:rPr>
          <w:t>69</w:t>
        </w:r>
        <w:r w:rsidR="0064316E">
          <w:rPr>
            <w:noProof/>
            <w:webHidden/>
          </w:rPr>
          <w:fldChar w:fldCharType="end"/>
        </w:r>
      </w:hyperlink>
    </w:p>
    <w:p w14:paraId="3ABC5B41" w14:textId="058C6687" w:rsidR="0064316E" w:rsidRDefault="005F2C0A">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70197A">
          <w:rPr>
            <w:noProof/>
            <w:webHidden/>
          </w:rPr>
          <w:t>70</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ins w:id="1" w:author="debra sturdevant" w:date="2019-12-10T10:18:00Z">
        <w:r w:rsidR="005F2C0A">
          <w:rPr>
            <w:color w:val="000000" w:themeColor="text1"/>
          </w:rPr>
          <w:t xml:space="preserve">the variance </w:t>
        </w:r>
      </w:ins>
      <w:r w:rsidR="00FB70A2">
        <w:rPr>
          <w:color w:val="000000" w:themeColor="text1"/>
        </w:rPr>
        <w:t>rule</w:t>
      </w:r>
      <w:ins w:id="2" w:author="debra sturdevant" w:date="2019-12-10T10:18:00Z">
        <w:r w:rsidR="005F2C0A">
          <w:rPr>
            <w:color w:val="000000" w:themeColor="text1"/>
          </w:rPr>
          <w:t xml:space="preserve"> at</w:t>
        </w:r>
      </w:ins>
      <w:r w:rsidR="00FB70A2">
        <w:rPr>
          <w:color w:val="000000" w:themeColor="text1"/>
        </w:rPr>
        <w:t xml:space="preserve"> 340-041-0059, </w:t>
      </w:r>
      <w:ins w:id="3" w:author="debra sturdevant" w:date="2019-12-10T10:18:00Z">
        <w:r w:rsidR="005F2C0A">
          <w:rPr>
            <w:color w:val="000000" w:themeColor="text1"/>
          </w:rPr>
          <w:t xml:space="preserve">and </w:t>
        </w:r>
      </w:ins>
      <w:r w:rsidR="00FB70A2">
        <w:rPr>
          <w:color w:val="000000" w:themeColor="text1"/>
        </w:rPr>
        <w:t>then adopt the proposed amendments in Attachment A to rule 340-041-0340</w:t>
      </w:r>
      <w:ins w:id="4" w:author="debra sturdevant" w:date="2019-12-10T10:19:00Z">
        <w:r w:rsidR="005F2C0A">
          <w:rPr>
            <w:color w:val="000000" w:themeColor="text1"/>
          </w:rPr>
          <w:t xml:space="preserve"> to </w:t>
        </w:r>
      </w:ins>
      <w:ins w:id="5" w:author="debra sturdevant" w:date="2019-12-10T10:21:00Z">
        <w:r w:rsidR="005F2C0A">
          <w:rPr>
            <w:color w:val="000000" w:themeColor="text1"/>
          </w:rPr>
          <w:t>adopt</w:t>
        </w:r>
      </w:ins>
      <w:ins w:id="6" w:author="debra sturdevant" w:date="2019-12-10T10:19:00Z">
        <w:r w:rsidR="005F2C0A">
          <w:rPr>
            <w:color w:val="000000" w:themeColor="text1"/>
          </w:rPr>
          <w:t xml:space="preserve"> a M</w:t>
        </w:r>
      </w:ins>
      <w:ins w:id="7" w:author="debra sturdevant" w:date="2019-12-10T10:20:00Z">
        <w:r w:rsidR="005F2C0A">
          <w:rPr>
            <w:color w:val="000000" w:themeColor="text1"/>
          </w:rPr>
          <w:t xml:space="preserve">ultiple Discharger Variance for methylmercury for NPDES permitted dischargers </w:t>
        </w:r>
      </w:ins>
      <w:ins w:id="8" w:author="debra sturdevant" w:date="2019-12-10T10:21:00Z">
        <w:r w:rsidR="005F2C0A">
          <w:rPr>
            <w:color w:val="000000" w:themeColor="text1"/>
          </w:rPr>
          <w:t>in the</w:t>
        </w:r>
      </w:ins>
      <w:ins w:id="9" w:author="debra sturdevant" w:date="2019-12-10T10:20:00Z">
        <w:r w:rsidR="005F2C0A">
          <w:rPr>
            <w:color w:val="000000" w:themeColor="text1"/>
          </w:rPr>
          <w:t xml:space="preserve"> Willamette Basin</w:t>
        </w:r>
      </w:ins>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0" w:name="_Toc490121543"/>
            <w:r w:rsidRPr="00377FA3">
              <w:lastRenderedPageBreak/>
              <w:t>Overview</w:t>
            </w:r>
            <w:bookmarkEnd w:id="10"/>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ins w:id="11" w:author="debra sturdevant" w:date="2019-12-10T10:22:00Z">
        <w:r w:rsidR="005F2C0A">
          <w:t xml:space="preserve"> and add clarity</w:t>
        </w:r>
      </w:ins>
      <w:r>
        <w:t>; and</w:t>
      </w:r>
    </w:p>
    <w:p w14:paraId="7953527E" w14:textId="33883C5D" w:rsidR="009F34A6" w:rsidRDefault="009F34A6" w:rsidP="009F34A6">
      <w:pPr>
        <w:pStyle w:val="ListParagraph"/>
        <w:numPr>
          <w:ilvl w:val="0"/>
          <w:numId w:val="33"/>
        </w:numPr>
      </w:pPr>
      <w:r>
        <w:t>Establish a multiple discharger variance</w:t>
      </w:r>
      <w:ins w:id="12" w:author="debra sturdevant" w:date="2019-12-10T10:56:00Z">
        <w:r w:rsidR="009534C2">
          <w:t xml:space="preserve"> (MDV)</w:t>
        </w:r>
      </w:ins>
      <w:r>
        <w:t xml:space="preserv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ins w:id="13" w:author="debra sturdevant" w:date="2019-12-10T10:24:00Z">
        <w:r w:rsidR="005F2C0A">
          <w:t>es</w:t>
        </w:r>
      </w:ins>
      <w:del w:id="14" w:author="debra sturdevant" w:date="2019-12-10T10:24:00Z">
        <w:r w:rsidDel="005F2C0A">
          <w:delText>ing</w:delText>
        </w:r>
      </w:del>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2B523297"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del w:id="15" w:author="debra sturdevant" w:date="2019-12-10T10:26:00Z">
        <w:r w:rsidDel="005F2C0A">
          <w:rPr>
            <w:rStyle w:val="Hyperlink"/>
            <w:rFonts w:ascii="Times New Roman" w:hAnsi="Times New Roman" w:cs="Times New Roman"/>
            <w:color w:val="auto"/>
            <w:u w:val="none"/>
          </w:rPr>
          <w:delText xml:space="preserve">responsibility </w:delText>
        </w:r>
      </w:del>
      <w:ins w:id="16" w:author="debra sturdevant" w:date="2019-12-10T10:25:00Z">
        <w:r w:rsidR="005F2C0A">
          <w:rPr>
            <w:rStyle w:val="Hyperlink"/>
            <w:rFonts w:ascii="Times New Roman" w:hAnsi="Times New Roman" w:cs="Times New Roman"/>
            <w:color w:val="auto"/>
            <w:u w:val="none"/>
          </w:rPr>
          <w:t xml:space="preserve">requirements </w:t>
        </w:r>
      </w:ins>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3F2172D3"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 xml:space="preserve">document describes DEQ’s justification for the MDV and proposed procedures </w:t>
      </w:r>
      <w:commentRangeStart w:id="17"/>
      <w:r w:rsidRPr="00345B54">
        <w:rPr>
          <w:rFonts w:ascii="Times New Roman" w:hAnsi="Times New Roman" w:cs="Times New Roman"/>
          <w:b w:val="0"/>
          <w:sz w:val="24"/>
          <w:szCs w:val="24"/>
        </w:rPr>
        <w:t xml:space="preserve">for </w:t>
      </w:r>
      <w:del w:id="18" w:author="debra sturdevant" w:date="2019-12-10T10:44:00Z">
        <w:r w:rsidRPr="00345B54" w:rsidDel="00EE0D40">
          <w:rPr>
            <w:rFonts w:ascii="Times New Roman" w:hAnsi="Times New Roman" w:cs="Times New Roman"/>
            <w:b w:val="0"/>
            <w:sz w:val="24"/>
            <w:szCs w:val="24"/>
          </w:rPr>
          <w:delText xml:space="preserve">issuing permits </w:delText>
        </w:r>
        <w:commentRangeEnd w:id="17"/>
        <w:r w:rsidR="00EE0D40" w:rsidDel="00EE0D40">
          <w:rPr>
            <w:rStyle w:val="CommentReference"/>
            <w:rFonts w:ascii="Times New Roman" w:hAnsi="Times New Roman" w:cs="Times New Roman"/>
            <w:b w:val="0"/>
            <w:bCs w:val="0"/>
            <w:color w:val="auto"/>
          </w:rPr>
          <w:commentReference w:id="17"/>
        </w:r>
        <w:r w:rsidRPr="00345B54" w:rsidDel="00EE0D40">
          <w:rPr>
            <w:rFonts w:ascii="Times New Roman" w:hAnsi="Times New Roman" w:cs="Times New Roman"/>
            <w:b w:val="0"/>
            <w:sz w:val="24"/>
            <w:szCs w:val="24"/>
          </w:rPr>
          <w:delText xml:space="preserve">and </w:delText>
        </w:r>
      </w:del>
      <w:r w:rsidRPr="00345B54">
        <w:rPr>
          <w:rFonts w:ascii="Times New Roman" w:hAnsi="Times New Roman" w:cs="Times New Roman"/>
          <w:b w:val="0"/>
          <w:sz w:val="24"/>
          <w:szCs w:val="24"/>
        </w:rPr>
        <w:t>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388F6E2B"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w:t>
      </w:r>
      <w:del w:id="19" w:author="debra sturdevant" w:date="2019-12-10T10:48:00Z">
        <w:r w:rsidDel="00EE0D40">
          <w:delText xml:space="preserve">would </w:delText>
        </w:r>
      </w:del>
      <w:r>
        <w:t xml:space="preserve">give </w:t>
      </w:r>
      <w:ins w:id="20" w:author="debra sturdevant" w:date="2019-12-10T10:47:00Z">
        <w:r w:rsidR="00EE0D40">
          <w:t>DEQ</w:t>
        </w:r>
      </w:ins>
      <w:ins w:id="21" w:author="debra sturdevant" w:date="2019-12-10T10:48:00Z">
        <w:r w:rsidR="00EE0D40">
          <w:t>’s</w:t>
        </w:r>
      </w:ins>
      <w:ins w:id="22" w:author="debra sturdevant" w:date="2019-12-10T10:47:00Z">
        <w:r w:rsidR="00EE0D40">
          <w:t xml:space="preserve"> Director the authority to grant individual discharger variances and retain </w:t>
        </w:r>
      </w:ins>
      <w:r>
        <w:t>the EQC</w:t>
      </w:r>
      <w:ins w:id="23" w:author="debra sturdevant" w:date="2019-12-10T10:48:00Z">
        <w:r w:rsidR="00EE0D40">
          <w:t>’s</w:t>
        </w:r>
      </w:ins>
      <w:r>
        <w:t xml:space="preserve"> </w:t>
      </w:r>
      <w:del w:id="24" w:author="debra sturdevant" w:date="2019-12-10T10:48:00Z">
        <w:r w:rsidDel="00EE0D40">
          <w:delText xml:space="preserve">the </w:delText>
        </w:r>
      </w:del>
      <w:r>
        <w:t xml:space="preserve">authority to grant multiple discharger </w:t>
      </w:r>
      <w:ins w:id="25" w:author="debra sturdevant" w:date="2019-12-10T10:48:00Z">
        <w:r w:rsidR="00EE0D40">
          <w:t xml:space="preserve">variances </w:t>
        </w:r>
      </w:ins>
      <w:r>
        <w:t>and waterbody variances</w:t>
      </w:r>
      <w:ins w:id="26" w:author="debra sturdevant" w:date="2019-12-10T10:48:00Z">
        <w:r w:rsidR="00EE0D40">
          <w:t xml:space="preserve"> through rulemaking</w:t>
        </w:r>
      </w:ins>
      <w:r>
        <w:t>.</w:t>
      </w:r>
      <w:ins w:id="27" w:author="debra sturdevant" w:date="2019-12-10T10:52:00Z">
        <w:r w:rsidR="00EE0D40">
          <w:t xml:space="preserve"> Finally, some amendments clarify or streamline the rule language.</w:t>
        </w:r>
      </w:ins>
    </w:p>
    <w:p w14:paraId="4240A9A7" w14:textId="2FBC91D4" w:rsidR="009F34A6" w:rsidRDefault="009F34A6" w:rsidP="009F34A6">
      <w:pPr>
        <w:ind w:left="0"/>
        <w:rPr>
          <w:b/>
          <w:color w:val="806000" w:themeColor="accent4" w:themeShade="80"/>
        </w:rPr>
      </w:pPr>
    </w:p>
    <w:p w14:paraId="7033506C" w14:textId="79BE2384" w:rsidR="009F34A6" w:rsidRPr="009F34A6" w:rsidRDefault="009F34A6" w:rsidP="009F34A6">
      <w:pPr>
        <w:ind w:left="0"/>
      </w:pPr>
      <w:r>
        <w:t xml:space="preserve">The </w:t>
      </w:r>
      <w:ins w:id="28" w:author="debra sturdevant" w:date="2019-12-10T10:54:00Z">
        <w:r w:rsidR="009534C2">
          <w:t xml:space="preserve">Willamette Mercury </w:t>
        </w:r>
      </w:ins>
      <w:r>
        <w:t xml:space="preserve">MDV rule addresses the need to reduce loads of mercury from wastewater dischargers in the Willamette Basin while also facilitating DEQ’s ability to issue </w:t>
      </w:r>
      <w:r>
        <w:lastRenderedPageBreak/>
        <w:t xml:space="preserve">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w:t>
      </w:r>
      <w:del w:id="29" w:author="debra sturdevant" w:date="2019-12-10T10:59:00Z">
        <w:r w:rsidDel="009534C2">
          <w:delText xml:space="preserve">plan </w:delText>
        </w:r>
      </w:del>
      <w:ins w:id="30" w:author="debra sturdevant" w:date="2019-12-10T10:59:00Z">
        <w:r w:rsidR="009534C2">
          <w:t>program</w:t>
        </w:r>
        <w:r w:rsidR="009534C2">
          <w:t xml:space="preserve"> </w:t>
        </w:r>
      </w:ins>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ins w:id="31" w:author="debra sturdevant" w:date="2019-12-10T10:59:00Z">
        <w:r w:rsidR="009534C2">
          <w:t xml:space="preserve"> effluent</w:t>
        </w:r>
      </w:ins>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33A9FEFF" w:rsidR="001337AC" w:rsidRDefault="001337AC" w:rsidP="001337AC">
      <w:pPr>
        <w:ind w:left="0"/>
        <w:rPr>
          <w:sz w:val="22"/>
          <w:szCs w:val="22"/>
        </w:rPr>
      </w:pPr>
      <w:r>
        <w:rPr>
          <w:sz w:val="22"/>
          <w:szCs w:val="22"/>
        </w:rPr>
        <w:t>The key policy issue with the variance rule was</w:t>
      </w:r>
      <w:del w:id="32" w:author="debra sturdevant" w:date="2019-12-10T11:00:00Z">
        <w:r w:rsidDel="009534C2">
          <w:rPr>
            <w:sz w:val="22"/>
            <w:szCs w:val="22"/>
          </w:rPr>
          <w:delText xml:space="preserve"> trying to </w:delText>
        </w:r>
      </w:del>
      <w:ins w:id="33" w:author="debra sturdevant" w:date="2019-12-10T11:00:00Z">
        <w:r w:rsidR="009534C2">
          <w:rPr>
            <w:sz w:val="22"/>
            <w:szCs w:val="22"/>
          </w:rPr>
          <w:t xml:space="preserve"> </w:t>
        </w:r>
      </w:ins>
      <w:r>
        <w:rPr>
          <w:sz w:val="22"/>
          <w:szCs w:val="22"/>
        </w:rPr>
        <w:t>ensur</w:t>
      </w:r>
      <w:ins w:id="34" w:author="debra sturdevant" w:date="2019-12-10T11:00:00Z">
        <w:r w:rsidR="009534C2">
          <w:rPr>
            <w:sz w:val="22"/>
            <w:szCs w:val="22"/>
          </w:rPr>
          <w:t>ing</w:t>
        </w:r>
      </w:ins>
      <w:del w:id="35" w:author="debra sturdevant" w:date="2019-12-10T11:00:00Z">
        <w:r w:rsidDel="009534C2">
          <w:rPr>
            <w:sz w:val="22"/>
            <w:szCs w:val="22"/>
          </w:rPr>
          <w:delText>e</w:delText>
        </w:r>
      </w:del>
      <w:r>
        <w:rPr>
          <w:sz w:val="22"/>
          <w:szCs w:val="22"/>
        </w:rPr>
        <w:t xml:space="preserve"> consistency with federal requirements, while also clarifying roles </w:t>
      </w:r>
      <w:ins w:id="36" w:author="debra sturdevant" w:date="2019-12-10T11:01:00Z">
        <w:r w:rsidR="009534C2">
          <w:rPr>
            <w:sz w:val="22"/>
            <w:szCs w:val="22"/>
          </w:rPr>
          <w:t xml:space="preserve">and requirements for </w:t>
        </w:r>
      </w:ins>
      <w:del w:id="37" w:author="debra sturdevant" w:date="2019-12-10T11:01:00Z">
        <w:r w:rsidDel="009534C2">
          <w:rPr>
            <w:sz w:val="22"/>
            <w:szCs w:val="22"/>
          </w:rPr>
          <w:delText xml:space="preserve">in </w:delText>
        </w:r>
      </w:del>
      <w:del w:id="38" w:author="debra sturdevant" w:date="2019-12-10T11:07:00Z">
        <w:r w:rsidDel="00992AF8">
          <w:rPr>
            <w:sz w:val="22"/>
            <w:szCs w:val="22"/>
          </w:rPr>
          <w:delText xml:space="preserve">issuing </w:delText>
        </w:r>
      </w:del>
      <w:commentRangeStart w:id="39"/>
      <w:ins w:id="40" w:author="debra sturdevant" w:date="2019-12-10T11:07:00Z">
        <w:r w:rsidR="00992AF8">
          <w:rPr>
            <w:sz w:val="22"/>
            <w:szCs w:val="22"/>
          </w:rPr>
          <w:t>granting</w:t>
        </w:r>
        <w:commentRangeEnd w:id="39"/>
        <w:r w:rsidR="00992AF8">
          <w:rPr>
            <w:rStyle w:val="CommentReference"/>
          </w:rPr>
          <w:commentReference w:id="39"/>
        </w:r>
        <w:r w:rsidR="00992AF8">
          <w:rPr>
            <w:sz w:val="22"/>
            <w:szCs w:val="22"/>
          </w:rPr>
          <w:t xml:space="preserve"> </w:t>
        </w:r>
      </w:ins>
      <w:r>
        <w:rPr>
          <w:sz w:val="22"/>
          <w:szCs w:val="22"/>
        </w:rPr>
        <w:t xml:space="preserve">variances. DEQ has </w:t>
      </w:r>
      <w:del w:id="41" w:author="debra sturdevant" w:date="2019-12-10T11:02:00Z">
        <w:r w:rsidDel="009534C2">
          <w:rPr>
            <w:sz w:val="22"/>
            <w:szCs w:val="22"/>
          </w:rPr>
          <w:delText xml:space="preserve">done so by outlining </w:delText>
        </w:r>
      </w:del>
      <w:ins w:id="42" w:author="debra sturdevant" w:date="2019-12-10T11:02:00Z">
        <w:r w:rsidR="009534C2">
          <w:rPr>
            <w:sz w:val="22"/>
            <w:szCs w:val="22"/>
          </w:rPr>
          <w:t xml:space="preserve">specified </w:t>
        </w:r>
      </w:ins>
      <w:r>
        <w:rPr>
          <w:sz w:val="22"/>
          <w:szCs w:val="22"/>
        </w:rPr>
        <w:t>the</w:t>
      </w:r>
      <w:del w:id="43" w:author="debra sturdevant" w:date="2019-12-10T11:02:00Z">
        <w:r w:rsidDel="009534C2">
          <w:rPr>
            <w:sz w:val="22"/>
            <w:szCs w:val="22"/>
          </w:rPr>
          <w:delText>se</w:delText>
        </w:r>
      </w:del>
      <w:r>
        <w:rPr>
          <w:sz w:val="22"/>
          <w:szCs w:val="22"/>
        </w:rPr>
        <w:t xml:space="preserve"> roles in the rule language, </w:t>
      </w:r>
      <w:del w:id="44" w:author="debra sturdevant" w:date="2019-12-10T11:02:00Z">
        <w:r w:rsidDel="009534C2">
          <w:rPr>
            <w:sz w:val="22"/>
            <w:szCs w:val="22"/>
          </w:rPr>
          <w:delText xml:space="preserve">specifically </w:delText>
        </w:r>
      </w:del>
      <w:del w:id="45" w:author="debra sturdevant" w:date="2019-12-10T11:03:00Z">
        <w:r w:rsidDel="009534C2">
          <w:rPr>
            <w:sz w:val="22"/>
            <w:szCs w:val="22"/>
          </w:rPr>
          <w:delText xml:space="preserve">giving </w:delText>
        </w:r>
      </w:del>
      <w:ins w:id="46" w:author="debra sturdevant" w:date="2019-12-10T11:03:00Z">
        <w:r w:rsidR="009534C2">
          <w:rPr>
            <w:sz w:val="22"/>
            <w:szCs w:val="22"/>
          </w:rPr>
          <w:t xml:space="preserve">delegating to </w:t>
        </w:r>
      </w:ins>
      <w:r>
        <w:rPr>
          <w:sz w:val="22"/>
          <w:szCs w:val="22"/>
        </w:rPr>
        <w:t xml:space="preserve">the director </w:t>
      </w:r>
      <w:ins w:id="47" w:author="debra sturdevant" w:date="2019-12-10T11:03:00Z">
        <w:r w:rsidR="009534C2">
          <w:rPr>
            <w:sz w:val="22"/>
            <w:szCs w:val="22"/>
          </w:rPr>
          <w:t xml:space="preserve">the </w:t>
        </w:r>
      </w:ins>
      <w:r>
        <w:rPr>
          <w:sz w:val="22"/>
          <w:szCs w:val="22"/>
        </w:rPr>
        <w:t xml:space="preserve">authority to issue individual variances and </w:t>
      </w:r>
      <w:ins w:id="48" w:author="debra sturdevant" w:date="2019-12-10T11:03:00Z">
        <w:r w:rsidR="009534C2">
          <w:rPr>
            <w:sz w:val="22"/>
            <w:szCs w:val="22"/>
          </w:rPr>
          <w:t xml:space="preserve">retaining </w:t>
        </w:r>
      </w:ins>
      <w:r>
        <w:rPr>
          <w:sz w:val="22"/>
          <w:szCs w:val="22"/>
        </w:rPr>
        <w:t>the Commission</w:t>
      </w:r>
      <w:ins w:id="49" w:author="debra sturdevant" w:date="2019-12-10T11:04:00Z">
        <w:r w:rsidR="00992AF8">
          <w:rPr>
            <w:sz w:val="22"/>
            <w:szCs w:val="22"/>
          </w:rPr>
          <w:t>’</w:t>
        </w:r>
      </w:ins>
      <w:ins w:id="50" w:author="debra sturdevant" w:date="2019-12-10T11:03:00Z">
        <w:r w:rsidR="009534C2">
          <w:rPr>
            <w:sz w:val="22"/>
            <w:szCs w:val="22"/>
          </w:rPr>
          <w:t>s</w:t>
        </w:r>
      </w:ins>
      <w:r>
        <w:rPr>
          <w:sz w:val="22"/>
          <w:szCs w:val="22"/>
        </w:rPr>
        <w:t xml:space="preserve"> authority to </w:t>
      </w:r>
      <w:del w:id="51" w:author="debra sturdevant" w:date="2019-12-10T11:07:00Z">
        <w:r w:rsidDel="00992AF8">
          <w:rPr>
            <w:sz w:val="22"/>
            <w:szCs w:val="22"/>
          </w:rPr>
          <w:delText xml:space="preserve">issue </w:delText>
        </w:r>
      </w:del>
      <w:ins w:id="52" w:author="debra sturdevant" w:date="2019-12-10T11:07:00Z">
        <w:r w:rsidR="00992AF8">
          <w:rPr>
            <w:sz w:val="22"/>
            <w:szCs w:val="22"/>
          </w:rPr>
          <w:t>grant</w:t>
        </w:r>
        <w:r w:rsidR="00992AF8">
          <w:rPr>
            <w:sz w:val="22"/>
            <w:szCs w:val="22"/>
          </w:rPr>
          <w:t xml:space="preserve"> </w:t>
        </w:r>
      </w:ins>
      <w:r>
        <w:rPr>
          <w:sz w:val="22"/>
          <w:szCs w:val="22"/>
        </w:rPr>
        <w:t xml:space="preserve">multiple discharger </w:t>
      </w:r>
      <w:ins w:id="53" w:author="debra sturdevant" w:date="2019-12-10T11:03:00Z">
        <w:r w:rsidR="009534C2">
          <w:rPr>
            <w:sz w:val="22"/>
            <w:szCs w:val="22"/>
          </w:rPr>
          <w:t xml:space="preserve">variances </w:t>
        </w:r>
      </w:ins>
      <w:r>
        <w:rPr>
          <w:sz w:val="22"/>
          <w:szCs w:val="22"/>
        </w:rPr>
        <w:t>and waterbody variances</w:t>
      </w:r>
      <w:ins w:id="54" w:author="debra sturdevant" w:date="2019-12-10T11:07:00Z">
        <w:r w:rsidR="00992AF8">
          <w:rPr>
            <w:sz w:val="22"/>
            <w:szCs w:val="22"/>
          </w:rPr>
          <w:t xml:space="preserve"> through rulemaking</w:t>
        </w:r>
      </w:ins>
      <w:r>
        <w:rPr>
          <w:sz w:val="22"/>
          <w:szCs w:val="22"/>
        </w:rPr>
        <w:t>.</w:t>
      </w:r>
    </w:p>
    <w:p w14:paraId="61D95BA7" w14:textId="75D97437" w:rsidR="001337AC" w:rsidRDefault="001337AC" w:rsidP="001337AC">
      <w:pPr>
        <w:ind w:left="0"/>
        <w:rPr>
          <w:sz w:val="22"/>
          <w:szCs w:val="22"/>
        </w:rPr>
      </w:pPr>
    </w:p>
    <w:p w14:paraId="6857ED1B" w14:textId="2E39CBD4" w:rsidR="009F34A6" w:rsidRDefault="007D2620" w:rsidP="009F34A6">
      <w:pPr>
        <w:ind w:left="0"/>
        <w:rPr>
          <w:sz w:val="22"/>
          <w:szCs w:val="22"/>
        </w:rPr>
      </w:pPr>
      <w:r>
        <w:rPr>
          <w:sz w:val="22"/>
          <w:szCs w:val="22"/>
        </w:rPr>
        <w:t xml:space="preserve">A </w:t>
      </w:r>
      <w:r w:rsidR="001337AC">
        <w:rPr>
          <w:sz w:val="22"/>
          <w:szCs w:val="22"/>
        </w:rPr>
        <w:t xml:space="preserve">key policy and technical issue for the multiple discharger variance was determining the Highest Attainable Condition, or the </w:t>
      </w:r>
      <w:del w:id="55" w:author="debra sturdevant" w:date="2019-12-10T11:09:00Z">
        <w:r w:rsidR="001337AC" w:rsidDel="00992AF8">
          <w:rPr>
            <w:sz w:val="22"/>
            <w:szCs w:val="22"/>
          </w:rPr>
          <w:delText xml:space="preserve">desired </w:delText>
        </w:r>
      </w:del>
      <w:r w:rsidR="001337AC">
        <w:rPr>
          <w:sz w:val="22"/>
          <w:szCs w:val="22"/>
        </w:rPr>
        <w:t xml:space="preserve">goal for the variance. </w:t>
      </w:r>
      <w:r w:rsidR="0070197A">
        <w:rPr>
          <w:sz w:val="22"/>
          <w:szCs w:val="22"/>
        </w:rPr>
        <w:t>T</w:t>
      </w:r>
      <w:r w:rsidR="001337AC">
        <w:rPr>
          <w:sz w:val="22"/>
          <w:szCs w:val="22"/>
        </w:rPr>
        <w:t xml:space="preserve">he </w:t>
      </w:r>
      <w:ins w:id="56" w:author="debra sturdevant" w:date="2019-12-10T11:09:00Z">
        <w:r w:rsidR="00992AF8">
          <w:rPr>
            <w:sz w:val="22"/>
            <w:szCs w:val="22"/>
          </w:rPr>
          <w:t xml:space="preserve">permitted </w:t>
        </w:r>
      </w:ins>
      <w:r w:rsidR="001337AC">
        <w:rPr>
          <w:sz w:val="22"/>
          <w:szCs w:val="22"/>
        </w:rPr>
        <w:t xml:space="preserve">sources covered under the variance contribute </w:t>
      </w:r>
      <w:r w:rsidR="0070197A">
        <w:rPr>
          <w:sz w:val="22"/>
          <w:szCs w:val="22"/>
        </w:rPr>
        <w:t xml:space="preserve">approximately </w:t>
      </w:r>
      <w:r w:rsidR="001337AC">
        <w:rPr>
          <w:sz w:val="22"/>
          <w:szCs w:val="22"/>
        </w:rPr>
        <w:t xml:space="preserve">1% of the total load of mercury to the Willamette Basin. DEQ is proposing a Highest Attainable Condition that requires each discharger </w:t>
      </w:r>
      <w:del w:id="57" w:author="debra sturdevant" w:date="2019-12-10T11:09:00Z">
        <w:r w:rsidR="001337AC" w:rsidDel="00992AF8">
          <w:rPr>
            <w:sz w:val="22"/>
            <w:szCs w:val="22"/>
          </w:rPr>
          <w:delText xml:space="preserve">covered under the variance </w:delText>
        </w:r>
      </w:del>
      <w:r w:rsidR="001337AC">
        <w:rPr>
          <w:sz w:val="22"/>
          <w:szCs w:val="22"/>
        </w:rPr>
        <w:t>to maintain</w:t>
      </w:r>
      <w:ins w:id="58" w:author="debra sturdevant" w:date="2019-12-10T11:18:00Z">
        <w:r w:rsidR="000B1D5F">
          <w:rPr>
            <w:sz w:val="22"/>
            <w:szCs w:val="22"/>
          </w:rPr>
          <w:t xml:space="preserve"> and operate their</w:t>
        </w:r>
      </w:ins>
      <w:r w:rsidR="001337AC">
        <w:rPr>
          <w:sz w:val="22"/>
          <w:szCs w:val="22"/>
        </w:rPr>
        <w:t xml:space="preserve"> current </w:t>
      </w:r>
      <w:del w:id="59" w:author="debra sturdevant" w:date="2019-12-10T11:10:00Z">
        <w:r w:rsidR="0070197A" w:rsidDel="00992AF8">
          <w:rPr>
            <w:sz w:val="22"/>
            <w:szCs w:val="22"/>
          </w:rPr>
          <w:delText xml:space="preserve">optimized </w:delText>
        </w:r>
      </w:del>
      <w:r w:rsidR="001337AC">
        <w:rPr>
          <w:sz w:val="22"/>
          <w:szCs w:val="22"/>
        </w:rPr>
        <w:t xml:space="preserve">treatment </w:t>
      </w:r>
      <w:ins w:id="60" w:author="debra sturdevant" w:date="2019-12-10T11:18:00Z">
        <w:r w:rsidR="000B1D5F">
          <w:rPr>
            <w:sz w:val="22"/>
            <w:szCs w:val="22"/>
          </w:rPr>
          <w:t>system</w:t>
        </w:r>
      </w:ins>
      <w:ins w:id="61" w:author="debra sturdevant" w:date="2019-12-10T11:19:00Z">
        <w:r w:rsidR="000B1D5F" w:rsidRPr="000B1D5F">
          <w:rPr>
            <w:sz w:val="22"/>
            <w:szCs w:val="22"/>
          </w:rPr>
          <w:t xml:space="preserve"> </w:t>
        </w:r>
        <w:r w:rsidR="000B1D5F">
          <w:rPr>
            <w:sz w:val="22"/>
            <w:szCs w:val="22"/>
          </w:rPr>
          <w:t>well</w:t>
        </w:r>
      </w:ins>
      <w:ins w:id="62" w:author="debra sturdevant" w:date="2019-12-10T11:18:00Z">
        <w:r w:rsidR="000B1D5F">
          <w:rPr>
            <w:sz w:val="22"/>
            <w:szCs w:val="22"/>
          </w:rPr>
          <w:t xml:space="preserve">, </w:t>
        </w:r>
      </w:ins>
      <w:ins w:id="63" w:author="debra sturdevant" w:date="2019-12-10T11:10:00Z">
        <w:r w:rsidR="00992AF8">
          <w:rPr>
            <w:sz w:val="22"/>
            <w:szCs w:val="22"/>
          </w:rPr>
          <w:t xml:space="preserve">and </w:t>
        </w:r>
      </w:ins>
      <w:del w:id="64" w:author="debra sturdevant" w:date="2019-12-10T11:11:00Z">
        <w:r w:rsidR="001337AC" w:rsidDel="00992AF8">
          <w:rPr>
            <w:sz w:val="22"/>
            <w:szCs w:val="22"/>
          </w:rPr>
          <w:delText>while</w:delText>
        </w:r>
      </w:del>
      <w:r w:rsidR="001337AC">
        <w:rPr>
          <w:sz w:val="22"/>
          <w:szCs w:val="22"/>
        </w:rPr>
        <w:t xml:space="preserve"> implement</w:t>
      </w:r>
      <w:del w:id="65" w:author="debra sturdevant" w:date="2019-12-10T11:11:00Z">
        <w:r w:rsidR="001337AC" w:rsidDel="00992AF8">
          <w:rPr>
            <w:sz w:val="22"/>
            <w:szCs w:val="22"/>
          </w:rPr>
          <w:delText>ing</w:delText>
        </w:r>
      </w:del>
      <w:r w:rsidR="001337AC">
        <w:rPr>
          <w:sz w:val="22"/>
          <w:szCs w:val="22"/>
        </w:rPr>
        <w:t xml:space="preserve"> a mercury minimization </w:t>
      </w:r>
      <w:r w:rsidR="0070197A">
        <w:rPr>
          <w:sz w:val="22"/>
          <w:szCs w:val="22"/>
        </w:rPr>
        <w:t>program with specific elements that are listed in the variance</w:t>
      </w:r>
      <w:r w:rsidR="001337AC">
        <w:rPr>
          <w:sz w:val="22"/>
          <w:szCs w:val="22"/>
        </w:rPr>
        <w:t xml:space="preserve">. This approach is consistent with EPA guidance on the </w:t>
      </w:r>
      <w:ins w:id="66" w:author="debra sturdevant" w:date="2019-12-10T11:20:00Z">
        <w:r w:rsidR="004E7898">
          <w:rPr>
            <w:sz w:val="22"/>
            <w:szCs w:val="22"/>
          </w:rPr>
          <w:t xml:space="preserve">implementing the </w:t>
        </w:r>
      </w:ins>
      <w:r w:rsidR="001337AC">
        <w:rPr>
          <w:sz w:val="22"/>
          <w:szCs w:val="22"/>
        </w:rPr>
        <w:t>methylmercury criterion</w:t>
      </w:r>
      <w:r>
        <w:rPr>
          <w:sz w:val="22"/>
          <w:szCs w:val="22"/>
        </w:rPr>
        <w:t xml:space="preserve">, which indicates preference for source control over treatment for mercury, </w:t>
      </w:r>
      <w:commentRangeStart w:id="67"/>
      <w:r>
        <w:rPr>
          <w:sz w:val="22"/>
          <w:szCs w:val="22"/>
        </w:rPr>
        <w:t>so that mercury isn’t reintroduced to the environment through disposal of biosolids.</w:t>
      </w:r>
      <w:commentRangeEnd w:id="67"/>
      <w:r w:rsidR="004E7898">
        <w:rPr>
          <w:rStyle w:val="CommentReference"/>
        </w:rPr>
        <w:commentReference w:id="67"/>
      </w:r>
      <w:r>
        <w:rPr>
          <w:sz w:val="22"/>
          <w:szCs w:val="22"/>
        </w:rPr>
        <w:t xml:space="preserve"> Moreover, data from </w:t>
      </w:r>
      <w:r w:rsidR="001337AC">
        <w:rPr>
          <w:sz w:val="22"/>
          <w:szCs w:val="22"/>
        </w:rPr>
        <w:t>Oregon and other states</w:t>
      </w:r>
      <w:ins w:id="68" w:author="debra sturdevant" w:date="2019-12-10T11:22:00Z">
        <w:r w:rsidR="004E7898">
          <w:rPr>
            <w:sz w:val="22"/>
            <w:szCs w:val="22"/>
          </w:rPr>
          <w:t xml:space="preserve"> show</w:t>
        </w:r>
      </w:ins>
      <w:r w:rsidR="001337AC">
        <w:rPr>
          <w:sz w:val="22"/>
          <w:szCs w:val="22"/>
        </w:rPr>
        <w:t xml:space="preserve"> that </w:t>
      </w:r>
      <w:r>
        <w:rPr>
          <w:sz w:val="22"/>
          <w:szCs w:val="22"/>
        </w:rPr>
        <w:t>source reduction</w:t>
      </w:r>
      <w:r w:rsidR="001337AC">
        <w:rPr>
          <w:sz w:val="22"/>
          <w:szCs w:val="22"/>
        </w:rPr>
        <w:t xml:space="preserve"> </w:t>
      </w:r>
      <w:r>
        <w:rPr>
          <w:sz w:val="22"/>
          <w:szCs w:val="22"/>
        </w:rPr>
        <w:t>decrease</w:t>
      </w:r>
      <w:r w:rsidR="001337AC">
        <w:rPr>
          <w:sz w:val="22"/>
          <w:szCs w:val="22"/>
        </w:rPr>
        <w:t xml:space="preserve">s mercury levels </w:t>
      </w:r>
      <w:r>
        <w:rPr>
          <w:sz w:val="22"/>
          <w:szCs w:val="22"/>
        </w:rPr>
        <w:t xml:space="preserve">in effluent </w:t>
      </w:r>
      <w:r w:rsidR="001337AC">
        <w:rPr>
          <w:sz w:val="22"/>
          <w:szCs w:val="22"/>
        </w:rPr>
        <w:t>over time.</w:t>
      </w:r>
    </w:p>
    <w:p w14:paraId="345F4469" w14:textId="62B677B9" w:rsidR="007D2620" w:rsidRDefault="007D2620" w:rsidP="009F34A6">
      <w:pPr>
        <w:ind w:left="0"/>
        <w:rPr>
          <w:sz w:val="22"/>
          <w:szCs w:val="22"/>
        </w:rPr>
      </w:pPr>
    </w:p>
    <w:p w14:paraId="0D1BEB46" w14:textId="016A9966" w:rsidR="007D2620" w:rsidRDefault="007D2620" w:rsidP="009F34A6">
      <w:pPr>
        <w:ind w:left="0"/>
        <w:rPr>
          <w:sz w:val="22"/>
          <w:szCs w:val="22"/>
        </w:rPr>
      </w:pPr>
      <w:r>
        <w:rPr>
          <w:sz w:val="22"/>
          <w:szCs w:val="22"/>
        </w:rPr>
        <w:t xml:space="preserve">Another key policy issue for the MDV is how DEQ defines the level currently achievable, or what each discharger can achieve in their effluent with current treatment. The LCA will serve as the basis for effluent limits when the variance is implemented into permits. Mercury levels can vary in effluent. The level currently achievable </w:t>
      </w:r>
      <w:r w:rsidR="007F174D">
        <w:rPr>
          <w:sz w:val="22"/>
          <w:szCs w:val="22"/>
        </w:rPr>
        <w:t>i</w:t>
      </w:r>
      <w:r>
        <w:rPr>
          <w:sz w:val="22"/>
          <w:szCs w:val="22"/>
        </w:rPr>
        <w:t>s designed to acknowledge this variability.</w:t>
      </w:r>
      <w:bookmarkStart w:id="69" w:name="_GoBack"/>
      <w:bookmarkEnd w:id="69"/>
    </w:p>
    <w:p w14:paraId="718B8AA2" w14:textId="1C7A4F73" w:rsidR="007F174D" w:rsidRDefault="007F174D" w:rsidP="009F34A6">
      <w:pPr>
        <w:ind w:left="0"/>
        <w:rPr>
          <w:sz w:val="22"/>
          <w:szCs w:val="22"/>
        </w:rPr>
      </w:pPr>
    </w:p>
    <w:p w14:paraId="1B46C014" w14:textId="2FEE7BF1" w:rsidR="007F174D" w:rsidRPr="001337AC" w:rsidRDefault="007F174D" w:rsidP="009F34A6">
      <w:pPr>
        <w:ind w:left="0"/>
        <w:rPr>
          <w:sz w:val="22"/>
          <w:szCs w:val="22"/>
        </w:rPr>
      </w:pPr>
      <w:r>
        <w:rPr>
          <w:sz w:val="22"/>
          <w:szCs w:val="22"/>
        </w:rPr>
        <w:t xml:space="preserve">Another key policy issue is the duration of the variance. DEQ is proposing that the variance will last 20 years. In order to justify this term, DEQ must show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reductions from point sources, DEQ is required to re-evaluate the requirements of the variance every five years and submit that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lastRenderedPageBreak/>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5"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 xml:space="preserve">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w:t>
      </w:r>
      <w:r>
        <w:lastRenderedPageBreak/>
        <w:t>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B3441D5"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4BB1BD9"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to ensure it has a means to issue permits to dischargers that cannot feasibly meet effluent limits based on the human health criterion for </w:t>
      </w:r>
      <w:r w:rsidR="007F174D">
        <w:t>methyl</w:t>
      </w:r>
      <w:r w:rsidR="00C3467B">
        <w:t>mercury. In order to address the comment, DEQ has included in the proposed rules the names of dischargers that</w:t>
      </w:r>
      <w:r w:rsidR="007F174D">
        <w:t xml:space="preserve"> will have coverage under</w:t>
      </w:r>
      <w:r w:rsidR="00C3467B">
        <w:t xml:space="preserve"> the variance, </w:t>
      </w:r>
      <w:r w:rsidR="007F174D">
        <w:t>as well as additional dischargers that may need coverage under the variance during the next 20 years if DEQ would otherwise include water quality based effluent limits in their permits that are not achievable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6690004"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lastRenderedPageBreak/>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70" w:name="_Toc490121544"/>
            <w:r w:rsidRPr="00377FA3">
              <w:lastRenderedPageBreak/>
              <w:t>Optional Additional Topic from Notice</w:t>
            </w:r>
            <w:bookmarkEnd w:id="70"/>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71" w:name="_Toc490121545"/>
            <w:r w:rsidRPr="00377FA3">
              <w:lastRenderedPageBreak/>
              <w:t>Statement of Need</w:t>
            </w:r>
            <w:bookmarkEnd w:id="71"/>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72" w:name="_Toc490121546"/>
            <w:r>
              <w:t>Rules affected, authorities, supporting documents</w:t>
            </w:r>
            <w:bookmarkEnd w:id="72"/>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73" w:name="SupportingDocuments"/>
      <w:r w:rsidRPr="00AB558B">
        <w:rPr>
          <w:sz w:val="24"/>
        </w:rPr>
        <w:t>Documents relied on for rulemaking</w:t>
      </w:r>
      <w:r w:rsidRPr="00762E3F">
        <w:rPr>
          <w:rStyle w:val="Heading2Char"/>
          <w:rFonts w:eastAsiaTheme="majorEastAsia"/>
        </w:rPr>
        <w:t xml:space="preserve"> </w:t>
      </w:r>
      <w:bookmarkEnd w:id="73"/>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5F2C0A" w:rsidP="0003493F">
            <w:pPr>
              <w:ind w:left="0" w:right="-360"/>
              <w:rPr>
                <w:color w:val="C45911" w:themeColor="accent2" w:themeShade="BF"/>
              </w:rPr>
            </w:pPr>
            <w:hyperlink r:id="rId16"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5F2C0A" w:rsidP="0003493F">
            <w:pPr>
              <w:ind w:left="0" w:right="-360"/>
              <w:rPr>
                <w:color w:val="C45911" w:themeColor="accent2" w:themeShade="BF"/>
              </w:rPr>
            </w:pPr>
            <w:hyperlink r:id="rId17"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5F2C0A"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5F2C0A"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5F2C0A" w:rsidP="0003493F">
            <w:pPr>
              <w:pStyle w:val="FootnoteText"/>
              <w:rPr>
                <w:rFonts w:ascii="Times New Roman" w:hAnsi="Times New Roman" w:cs="Times New Roman"/>
                <w:sz w:val="24"/>
                <w:szCs w:val="24"/>
              </w:rPr>
            </w:pPr>
            <w:hyperlink r:id="rId20"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5F2C0A" w:rsidP="0003493F">
            <w:pPr>
              <w:pStyle w:val="FootnoteText"/>
              <w:rPr>
                <w:rFonts w:ascii="Times New Roman" w:hAnsi="Times New Roman" w:cs="Times New Roman"/>
                <w:sz w:val="24"/>
                <w:szCs w:val="24"/>
              </w:rPr>
            </w:pPr>
            <w:hyperlink r:id="rId21"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5F2C0A" w:rsidP="0003493F">
            <w:pPr>
              <w:pStyle w:val="FootnoteText"/>
              <w:rPr>
                <w:rFonts w:ascii="Times New Roman" w:hAnsi="Times New Roman" w:cs="Times New Roman"/>
                <w:sz w:val="24"/>
                <w:szCs w:val="24"/>
              </w:rPr>
            </w:pPr>
            <w:hyperlink r:id="rId22"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5F2C0A" w:rsidP="0003493F">
            <w:pPr>
              <w:pStyle w:val="FootnoteText"/>
              <w:rPr>
                <w:rFonts w:ascii="Times New Roman" w:hAnsi="Times New Roman" w:cs="Times New Roman"/>
                <w:sz w:val="24"/>
                <w:szCs w:val="24"/>
              </w:rPr>
            </w:pPr>
            <w:hyperlink r:id="rId23"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5F2C0A"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5F2C0A"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5F2C0A"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5F2C0A"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5F2C0A"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5F2C0A"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5F2C0A" w:rsidP="0003493F">
            <w:pPr>
              <w:pStyle w:val="FootnoteText"/>
              <w:rPr>
                <w:rFonts w:ascii="Times New Roman" w:hAnsi="Times New Roman" w:cs="Times New Roman"/>
                <w:sz w:val="24"/>
                <w:szCs w:val="24"/>
              </w:rPr>
            </w:pPr>
            <w:hyperlink r:id="rId30"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5F2C0A" w:rsidP="0003493F">
            <w:pPr>
              <w:pStyle w:val="FootnoteText"/>
              <w:rPr>
                <w:rFonts w:ascii="Times New Roman" w:hAnsi="Times New Roman" w:cs="Times New Roman"/>
                <w:sz w:val="24"/>
                <w:szCs w:val="24"/>
              </w:rPr>
            </w:pPr>
            <w:hyperlink r:id="rId31"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74" w:name="_Toc490121547"/>
            <w:r w:rsidRPr="00377FA3">
              <w:t>Fee Analysis</w:t>
            </w:r>
            <w:bookmarkEnd w:id="74"/>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5" w:name="_Toc490121548"/>
            <w:r w:rsidRPr="009C3D5E">
              <w:rPr>
                <w:rStyle w:val="Heading1Char"/>
                <w:bCs/>
              </w:rPr>
              <w:lastRenderedPageBreak/>
              <w:t>Statement of fiscal and economic impact</w:t>
            </w:r>
            <w:bookmarkEnd w:id="75"/>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2"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76" w:name="_Toc490121549"/>
            <w:r w:rsidRPr="00377FA3">
              <w:t>Federal relationship</w:t>
            </w:r>
            <w:bookmarkEnd w:id="76"/>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77" w:name="_Toc490121550"/>
            <w:r w:rsidRPr="00377FA3">
              <w:t>Land Use</w:t>
            </w:r>
            <w:bookmarkEnd w:id="77"/>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5F2C0A" w:rsidRPr="001A4DE1" w:rsidRDefault="005F2C0A"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5F2C0A" w:rsidRDefault="005F2C0A"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78" w:name="_Toc490121551"/>
            <w:r>
              <w:t>Advisory Committee</w:t>
            </w:r>
            <w:bookmarkEnd w:id="78"/>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79" w:name="AdvisoryCommittee"/>
      <w:r w:rsidRPr="00476D38">
        <w:t>Advisory committee</w:t>
      </w:r>
      <w:bookmarkEnd w:id="79"/>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3"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4"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5"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80" w:name="_Toc490121552"/>
            <w:r>
              <w:t>Public Hearings</w:t>
            </w:r>
            <w:bookmarkEnd w:id="80"/>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81" w:name="_Toc490121553"/>
            <w:r w:rsidRPr="00377FA3">
              <w:t>Summary of comments and DEQ responses</w:t>
            </w:r>
            <w:bookmarkEnd w:id="81"/>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lastRenderedPageBreak/>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w:t>
            </w:r>
            <w:r w:rsidRPr="00A72EFF">
              <w:rPr>
                <w:sz w:val="22"/>
                <w:szCs w:val="22"/>
              </w:rPr>
              <w:lastRenderedPageBreak/>
              <w:t xml:space="preserve">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lastRenderedPageBreak/>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lastRenderedPageBreak/>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 xml:space="preserve">a PMP is not adopted in a variance so it would be better to express this permit element as requiring incorporation of the PMP into the </w:t>
            </w:r>
            <w:r w:rsidRPr="00E611F1">
              <w:rPr>
                <w:sz w:val="22"/>
                <w:szCs w:val="22"/>
              </w:rPr>
              <w:lastRenderedPageBreak/>
              <w:t>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 xml:space="preserve">data being needed by </w:t>
            </w:r>
            <w:r w:rsidRPr="00EF16D8">
              <w:rPr>
                <w:rFonts w:eastAsiaTheme="minorHAnsi"/>
                <w:sz w:val="22"/>
                <w:szCs w:val="22"/>
              </w:rPr>
              <w:lastRenderedPageBreak/>
              <w:t>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lastRenderedPageBreak/>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4D38B15E"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r w:rsidR="001312F0">
        <w:rPr>
          <w:color w:val="000000"/>
          <w:sz w:val="22"/>
          <w:szCs w:val="22"/>
        </w:rPr>
        <w:t>However, i</w:t>
      </w:r>
      <w:r w:rsidR="009012F7">
        <w:rPr>
          <w:color w:val="000000"/>
          <w:sz w:val="22"/>
          <w:szCs w:val="22"/>
        </w:rPr>
        <w:t xml:space="preserve">n response to this request, DEQ listed </w:t>
      </w:r>
      <w:r w:rsidR="00AF21CF">
        <w:rPr>
          <w:color w:val="000000"/>
          <w:sz w:val="22"/>
          <w:szCs w:val="22"/>
        </w:rPr>
        <w:t xml:space="preserve">most </w:t>
      </w:r>
      <w:r w:rsidR="002352F9">
        <w:rPr>
          <w:color w:val="000000"/>
          <w:sz w:val="22"/>
          <w:szCs w:val="22"/>
        </w:rPr>
        <w:t xml:space="preserve">NPDES permitted </w:t>
      </w:r>
      <w:r w:rsidR="009012F7">
        <w:rPr>
          <w:color w:val="000000"/>
          <w:sz w:val="22"/>
          <w:szCs w:val="22"/>
        </w:rPr>
        <w:t xml:space="preserve">dischargers </w:t>
      </w:r>
      <w:r w:rsidR="002352F9">
        <w:rPr>
          <w:color w:val="000000"/>
          <w:sz w:val="22"/>
          <w:szCs w:val="22"/>
        </w:rPr>
        <w:t>to waterbodies within the Willamette Basin as eligible for the variance</w:t>
      </w:r>
      <w:r w:rsidR="000127C5">
        <w:rPr>
          <w:color w:val="000000"/>
          <w:sz w:val="22"/>
          <w:szCs w:val="22"/>
        </w:rPr>
        <w:t xml:space="preserve">. Because all water bodies in the Willamette Basin are impaired for methylmercury, any discharger required to </w:t>
      </w:r>
      <w:r w:rsidR="00AF21CF">
        <w:rPr>
          <w:color w:val="000000"/>
          <w:sz w:val="22"/>
          <w:szCs w:val="22"/>
        </w:rPr>
        <w:t>have</w:t>
      </w:r>
      <w:r w:rsidR="000127C5">
        <w:rPr>
          <w:color w:val="000000"/>
          <w:sz w:val="22"/>
          <w:szCs w:val="22"/>
        </w:rPr>
        <w:t xml:space="preserve"> a water quality based permit limit for mercury </w:t>
      </w:r>
      <w:r w:rsidR="00AF21CF">
        <w:rPr>
          <w:color w:val="000000"/>
          <w:sz w:val="22"/>
          <w:szCs w:val="22"/>
        </w:rPr>
        <w:t>will not be able to achieve that limit</w:t>
      </w:r>
      <w:r w:rsidR="001E7912">
        <w:rPr>
          <w:color w:val="000000"/>
          <w:sz w:val="22"/>
          <w:szCs w:val="22"/>
        </w:rPr>
        <w:t xml:space="preserve"> </w:t>
      </w:r>
      <w:r w:rsidR="001312F0">
        <w:rPr>
          <w:color w:val="000000"/>
          <w:sz w:val="22"/>
          <w:szCs w:val="22"/>
        </w:rPr>
        <w:t xml:space="preserve">and </w:t>
      </w:r>
      <w:r w:rsidR="000127C5">
        <w:rPr>
          <w:color w:val="000000"/>
          <w:sz w:val="22"/>
          <w:szCs w:val="22"/>
        </w:rPr>
        <w:t xml:space="preserve">will </w:t>
      </w:r>
      <w:r w:rsidR="001312F0">
        <w:rPr>
          <w:color w:val="000000"/>
          <w:sz w:val="22"/>
          <w:szCs w:val="22"/>
        </w:rPr>
        <w:t xml:space="preserve">therefore </w:t>
      </w:r>
      <w:r w:rsidR="000127C5">
        <w:rPr>
          <w:color w:val="000000"/>
          <w:sz w:val="22"/>
          <w:szCs w:val="22"/>
        </w:rPr>
        <w:t xml:space="preserve">need a variance. </w:t>
      </w:r>
    </w:p>
    <w:p w14:paraId="31B504BB" w14:textId="77777777" w:rsidR="00AD7968" w:rsidRDefault="00AD7968" w:rsidP="009012F7">
      <w:pPr>
        <w:ind w:left="0"/>
        <w:rPr>
          <w:color w:val="000000"/>
          <w:sz w:val="22"/>
          <w:szCs w:val="22"/>
        </w:rPr>
      </w:pPr>
    </w:p>
    <w:p w14:paraId="26A8E5D9" w14:textId="7604D039" w:rsidR="00717F64" w:rsidRDefault="00717F64" w:rsidP="009012F7">
      <w:pPr>
        <w:ind w:left="0"/>
        <w:rPr>
          <w:color w:val="000000"/>
          <w:sz w:val="22"/>
          <w:szCs w:val="22"/>
        </w:rPr>
      </w:pPr>
      <w:r w:rsidRPr="00D0274B">
        <w:rPr>
          <w:color w:val="000000"/>
          <w:sz w:val="22"/>
          <w:szCs w:val="22"/>
        </w:rPr>
        <w:t>The federal rule does not require identification of nonpoint source controls for discharger</w:t>
      </w:r>
      <w:r w:rsidR="009012F7" w:rsidRPr="00D0274B">
        <w:rPr>
          <w:color w:val="000000"/>
          <w:sz w:val="22"/>
          <w:szCs w:val="22"/>
        </w:rPr>
        <w:t>(s)</w:t>
      </w:r>
      <w:r w:rsidRPr="00D0274B">
        <w:rPr>
          <w:color w:val="000000"/>
          <w:sz w:val="22"/>
          <w:szCs w:val="22"/>
        </w:rPr>
        <w:t>-specific variances</w:t>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should be memorialized. It would make sense to add waterbody variances to the basin-specific water quality standards; perhaps individual and </w:t>
      </w:r>
      <w:r w:rsidR="008E1462">
        <w:rPr>
          <w:bCs/>
          <w:sz w:val="22"/>
          <w:szCs w:val="22"/>
        </w:rPr>
        <w:lastRenderedPageBreak/>
        <w:t>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w:t>
      </w:r>
      <w:r w:rsidR="006F02E5">
        <w:rPr>
          <w:bCs/>
          <w:color w:val="000000" w:themeColor="text1"/>
          <w:sz w:val="22"/>
          <w:szCs w:val="22"/>
        </w:rPr>
        <w:lastRenderedPageBreak/>
        <w:t xml:space="preserve">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 xml:space="preserve">the proposed addition in section (3)(a)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 xml:space="preserve">EPA’s variance guidance also indicates that this is a possibility. However, Provision (4)(b)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lastRenderedPageBreak/>
        <w:t xml:space="preserve">Response. </w:t>
      </w:r>
      <w:r w:rsidRPr="00DD02CB">
        <w:rPr>
          <w:color w:val="000000"/>
          <w:sz w:val="22"/>
          <w:szCs w:val="22"/>
        </w:rPr>
        <w:t>DEQ agrees with this comment and has removed the rule language in (4)(c)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 xml:space="preserve">(b) requires the permit to include a requirement to implement any pollutant reduction actions approved as part of a pollutant minimization plan "adopted in the applicable variance." A PMP is not adopted in a variance so it would be better to express this permit </w:t>
      </w:r>
      <w:r w:rsidR="007F7F8C" w:rsidRPr="00DD02CB">
        <w:rPr>
          <w:sz w:val="22"/>
          <w:szCs w:val="22"/>
        </w:rPr>
        <w:lastRenderedPageBreak/>
        <w:t>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The federal variance rule does not require that permits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w:t>
      </w:r>
      <w:r w:rsidR="003A36DF">
        <w:rPr>
          <w:bCs/>
          <w:color w:val="000000" w:themeColor="text1"/>
          <w:sz w:val="22"/>
          <w:szCs w:val="22"/>
        </w:rPr>
        <w:lastRenderedPageBreak/>
        <w:t xml:space="preserve">add “public reporting” </w:t>
      </w:r>
      <w:r w:rsidR="00A465A0">
        <w:rPr>
          <w:bCs/>
          <w:color w:val="000000" w:themeColor="text1"/>
          <w:sz w:val="22"/>
          <w:szCs w:val="22"/>
        </w:rPr>
        <w:t>to the language in (6)(c)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 xml:space="preserve">in section (6)(d)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 xml:space="preserve">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w:t>
      </w:r>
      <w:r w:rsidRPr="00DD02CB">
        <w:rPr>
          <w:sz w:val="22"/>
          <w:szCs w:val="22"/>
        </w:rPr>
        <w:lastRenderedPageBreak/>
        <w:t>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lastRenderedPageBreak/>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(i)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0B53785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 has revised section (6)(f) 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lastRenderedPageBreak/>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82" w:name="_Toc490121554"/>
            <w:r w:rsidRPr="00276752">
              <w:lastRenderedPageBreak/>
              <w:t>Commenters</w:t>
            </w:r>
            <w:bookmarkEnd w:id="82"/>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83" w:name="_Toc490121555"/>
            <w:r w:rsidRPr="00377FA3">
              <w:t>Implementation</w:t>
            </w:r>
            <w:bookmarkEnd w:id="83"/>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84" w:name="_Toc490121556"/>
            <w:r w:rsidRPr="001D0308">
              <w:lastRenderedPageBreak/>
              <w:t>Five-year review</w:t>
            </w:r>
            <w:bookmarkEnd w:id="84"/>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85" w:name="_Toc490121557"/>
            <w:r>
              <w:lastRenderedPageBreak/>
              <w:t>Draft Rules – With Edits Highlighted</w:t>
            </w:r>
            <w:bookmarkEnd w:id="85"/>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86" w:name="_Toc490121558"/>
            <w:r>
              <w:lastRenderedPageBreak/>
              <w:t>Draft Rules – With Edits Included</w:t>
            </w:r>
            <w:bookmarkEnd w:id="86"/>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87" w:name="_Toc490121559"/>
            <w:r>
              <w:lastRenderedPageBreak/>
              <w:t>Supporting Documents</w:t>
            </w:r>
            <w:bookmarkEnd w:id="87"/>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debra sturdevant" w:date="2019-12-10T10:44:00Z" w:initials="SD">
    <w:p w14:paraId="5A08D6C8" w14:textId="7053D8CE" w:rsidR="00EE0D40" w:rsidRDefault="00EE0D40">
      <w:pPr>
        <w:pStyle w:val="CommentText"/>
      </w:pPr>
      <w:r>
        <w:rPr>
          <w:rStyle w:val="CommentReference"/>
        </w:rPr>
        <w:annotationRef/>
      </w:r>
      <w:r>
        <w:t>?</w:t>
      </w:r>
    </w:p>
  </w:comment>
  <w:comment w:id="39" w:author="debra sturdevant" w:date="2019-12-10T11:07:00Z" w:initials="SD">
    <w:p w14:paraId="2CB89663" w14:textId="31205E01" w:rsidR="00992AF8" w:rsidRDefault="00992AF8">
      <w:pPr>
        <w:pStyle w:val="CommentText"/>
      </w:pPr>
      <w:r>
        <w:rPr>
          <w:rStyle w:val="CommentReference"/>
        </w:rPr>
        <w:annotationRef/>
      </w:r>
      <w:r>
        <w:t>I thought you wanted to use this term because it is the term used in the statute.  This is the term used in the rule language, correct?</w:t>
      </w:r>
    </w:p>
  </w:comment>
  <w:comment w:id="67" w:author="debra sturdevant" w:date="2019-12-10T11:21:00Z" w:initials="SD">
    <w:p w14:paraId="115B96AC" w14:textId="076C7DE4" w:rsidR="004E7898" w:rsidRDefault="004E7898">
      <w:pPr>
        <w:pStyle w:val="CommentText"/>
      </w:pPr>
      <w:r>
        <w:rPr>
          <w:rStyle w:val="CommentReference"/>
        </w:rPr>
        <w:annotationRef/>
      </w:r>
      <w:r>
        <w:t>Is this the only reason EPA’s guidance is to implement through MMPs?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8D6C8" w15:done="0"/>
  <w15:commentEx w15:paraId="2CB89663" w15:done="0"/>
  <w15:commentEx w15:paraId="115B96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5F2C0A" w:rsidRDefault="005F2C0A" w:rsidP="002D6C99">
      <w:r>
        <w:separator/>
      </w:r>
    </w:p>
  </w:endnote>
  <w:endnote w:type="continuationSeparator" w:id="0">
    <w:p w14:paraId="3ABC5CD7" w14:textId="77777777" w:rsidR="005F2C0A" w:rsidRDefault="005F2C0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5F2C0A" w:rsidRDefault="005F2C0A" w:rsidP="002D6C99">
    <w:pPr>
      <w:pStyle w:val="Footer"/>
    </w:pPr>
  </w:p>
  <w:p w14:paraId="3ABC5CD9" w14:textId="3435E45F" w:rsidR="005F2C0A" w:rsidRPr="002B4E71" w:rsidRDefault="005F2C0A" w:rsidP="002D6C99">
    <w:pPr>
      <w:pStyle w:val="Footer"/>
    </w:pPr>
    <w:r>
      <w:t>Staff Report</w:t>
    </w:r>
    <w:r w:rsidRPr="002B4E71">
      <w:t xml:space="preserve"> page | </w:t>
    </w:r>
    <w:r>
      <w:fldChar w:fldCharType="begin"/>
    </w:r>
    <w:r>
      <w:instrText xml:space="preserve"> PAGE   \* MERGEFORMAT </w:instrText>
    </w:r>
    <w:r>
      <w:fldChar w:fldCharType="separate"/>
    </w:r>
    <w:r w:rsidR="004E7898">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5F2C0A" w:rsidRDefault="005F2C0A" w:rsidP="002D6C99">
      <w:r>
        <w:separator/>
      </w:r>
    </w:p>
  </w:footnote>
  <w:footnote w:type="continuationSeparator" w:id="0">
    <w:p w14:paraId="3ABC5CD5" w14:textId="77777777" w:rsidR="005F2C0A" w:rsidRDefault="005F2C0A"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ra sturdevant">
    <w15:presenceInfo w15:providerId="Windows Live" w15:userId="76dcf02fbc904b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oregon.gov/deq/FilterDocs/wbmtmdl042019mm.pdf" TargetMode="External"/><Relationship Id="rId26" Type="http://schemas.openxmlformats.org/officeDocument/2006/relationships/hyperlink" Target="https://dnr.wi.gov/topic/wastewater/documents/OhioEPAstudy.pdf" TargetMode="External"/><Relationship Id="rId3" Type="http://schemas.openxmlformats.org/officeDocument/2006/relationships/customXml" Target="../customXml/item3.xml"/><Relationship Id="rId21" Type="http://schemas.openxmlformats.org/officeDocument/2006/relationships/hyperlink" Target="https://clu-in.org/download/remed/542r07003.pdf" TargetMode="External"/><Relationship Id="rId34" Type="http://schemas.openxmlformats.org/officeDocument/2006/relationships/hyperlink" Target="http://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wq/tmdls/Pages/willhgtmdlac2018.aspx" TargetMode="External"/><Relationship Id="rId25" Type="http://schemas.openxmlformats.org/officeDocument/2006/relationships/hyperlink" Target="https://www.waterboards.ca.gov/centralvalley/water_issues/tmdl/central_valley_projects/delta_hg/other_technical_reports/npdes_mehg_final_rpt.pdf"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wqc/human-health-criteria-methylmercury" TargetMode="External"/><Relationship Id="rId20" Type="http://schemas.openxmlformats.org/officeDocument/2006/relationships/hyperlink" Target="https://www.epa.gov/wqc/guidance-implementing-january-2001-methylmercury-water-quality-criterion" TargetMode="External"/><Relationship Id="rId29" Type="http://schemas.openxmlformats.org/officeDocument/2006/relationships/hyperlink" Target="http://www.allianceforwaterefficiency.org/WorkArea/DownloadAsset.aspx?id=86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dp.slh.wisc.edu/mdn/" TargetMode="External"/><Relationship Id="rId32" Type="http://schemas.openxmlformats.org/officeDocument/2006/relationships/hyperlink" Target="https://www.oregon.gov/deq/Regulations/rulemaking/Pages/rmercury2019.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Regulations/rulemaking/Pages/rmercury2019.aspx" TargetMode="External"/><Relationship Id="rId23" Type="http://schemas.openxmlformats.org/officeDocument/2006/relationships/hyperlink" Target="https://www.epa.gov/sites/production/files/2014-09/documents/handbook-chapter5.pdf" TargetMode="External"/><Relationship Id="rId28" Type="http://schemas.openxmlformats.org/officeDocument/2006/relationships/hyperlink" Target="https://www.michigan.gov/documents/deq/wrd-npdes-rules-MercuryVariance2015_2019_508884_7.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FilterDocs/wqmtissueaq.pdf" TargetMode="External"/><Relationship Id="rId31" Type="http://schemas.openxmlformats.org/officeDocument/2006/relationships/hyperlink" Target="https://www.oregon.gov/deq/Filtered%20Library/IMDmethylmercuryCriter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nepis.epa.gov/Exe/ZyPURL.cgi?Dockey=P100GE8B.TXT" TargetMode="External"/><Relationship Id="rId27" Type="http://schemas.openxmlformats.org/officeDocument/2006/relationships/hyperlink" Target="https://www.awb.org/file_viewer.php?id=2903" TargetMode="External"/><Relationship Id="rId30" Type="http://schemas.openxmlformats.org/officeDocument/2006/relationships/hyperlink" Target="https://www.madsewer.org/Portals/0/ProgramInitiatives/ChlorideReduction/MMSD%20Chloride%20Compliance%20Study%20Report%20-%20Final%206-19-15bookmarks.pdf" TargetMode="External"/><Relationship Id="rId35" Type="http://schemas.openxmlformats.org/officeDocument/2006/relationships/hyperlink" Target="https://www.oregon.gov/deq/Regulations/rulemaking/Pages/rmercury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EC22A-4207-49C5-AA74-10F3F3FF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3826</TotalTime>
  <Pages>69</Pages>
  <Words>21715</Words>
  <Characters>123781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102</cp:revision>
  <cp:lastPrinted>2019-11-20T16:35:00Z</cp:lastPrinted>
  <dcterms:created xsi:type="dcterms:W3CDTF">2019-11-12T23:24:00Z</dcterms:created>
  <dcterms:modified xsi:type="dcterms:W3CDTF">2019-12-10T19:24:00Z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