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79A715" w:rsidR="00AF03DD" w:rsidRPr="006C645E" w:rsidRDefault="00AF03DD" w:rsidP="001337AC">
      <w:r>
        <w:rPr>
          <w:rFonts w:ascii="Arial" w:hAnsi="Arial" w:cs="Arial"/>
          <w:b/>
          <w:sz w:val="28"/>
          <w:szCs w:val="28"/>
        </w:rPr>
        <w:t xml:space="preserve">Rulemaking Name: Willamette </w:t>
      </w:r>
      <w:r w:rsidR="00B31C26">
        <w:rPr>
          <w:rFonts w:ascii="Arial" w:hAnsi="Arial" w:cs="Arial"/>
          <w:b/>
          <w:sz w:val="28"/>
          <w:szCs w:val="28"/>
        </w:rPr>
        <w:t>Basin</w:t>
      </w:r>
      <w:r>
        <w:rPr>
          <w:rFonts w:ascii="Arial" w:hAnsi="Arial" w:cs="Arial"/>
          <w:b/>
          <w:sz w:val="28"/>
          <w:szCs w:val="28"/>
        </w:rPr>
        <w:t xml:space="preserve"> Mercury </w:t>
      </w:r>
      <w:r w:rsidR="00B31C26">
        <w:rPr>
          <w:rFonts w:ascii="Arial" w:hAnsi="Arial" w:cs="Arial"/>
          <w:b/>
          <w:sz w:val="28"/>
          <w:szCs w:val="28"/>
        </w:rPr>
        <w:t xml:space="preserve">Multiple Discharger </w:t>
      </w:r>
      <w:r>
        <w:rPr>
          <w:rFonts w:ascii="Arial" w:hAnsi="Arial" w:cs="Arial"/>
          <w:b/>
          <w:sz w:val="28"/>
          <w:szCs w:val="28"/>
        </w:rPr>
        <w:t>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Program Mgr</w:t>
            </w:r>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02C1BF05"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B31C26">
          <w:rPr>
            <w:noProof/>
            <w:webHidden/>
          </w:rPr>
          <w:t>4</w:t>
        </w:r>
        <w:r w:rsidR="0064316E">
          <w:rPr>
            <w:noProof/>
            <w:webHidden/>
          </w:rPr>
          <w:fldChar w:fldCharType="end"/>
        </w:r>
      </w:hyperlink>
    </w:p>
    <w:p w14:paraId="3ABC5B31" w14:textId="698B80E5" w:rsidR="0064316E" w:rsidRDefault="004025EE">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B31C26">
          <w:rPr>
            <w:noProof/>
            <w:webHidden/>
          </w:rPr>
          <w:t>5</w:t>
        </w:r>
        <w:r w:rsidR="0064316E">
          <w:rPr>
            <w:noProof/>
            <w:webHidden/>
          </w:rPr>
          <w:fldChar w:fldCharType="end"/>
        </w:r>
      </w:hyperlink>
    </w:p>
    <w:p w14:paraId="3ABC5B32" w14:textId="59BF2AE0" w:rsidR="0064316E" w:rsidRDefault="004025EE">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B31C26">
          <w:rPr>
            <w:noProof/>
            <w:webHidden/>
          </w:rPr>
          <w:t>10</w:t>
        </w:r>
        <w:r w:rsidR="0064316E">
          <w:rPr>
            <w:noProof/>
            <w:webHidden/>
          </w:rPr>
          <w:fldChar w:fldCharType="end"/>
        </w:r>
      </w:hyperlink>
    </w:p>
    <w:p w14:paraId="3ABC5B33" w14:textId="50A2A97C" w:rsidR="0064316E" w:rsidRDefault="004025EE">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B31C26">
          <w:rPr>
            <w:noProof/>
            <w:webHidden/>
          </w:rPr>
          <w:t>11</w:t>
        </w:r>
        <w:r w:rsidR="0064316E">
          <w:rPr>
            <w:noProof/>
            <w:webHidden/>
          </w:rPr>
          <w:fldChar w:fldCharType="end"/>
        </w:r>
      </w:hyperlink>
    </w:p>
    <w:p w14:paraId="3ABC5B34" w14:textId="1DFC168B" w:rsidR="0064316E" w:rsidRDefault="004025EE">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B31C26">
          <w:rPr>
            <w:noProof/>
            <w:webHidden/>
          </w:rPr>
          <w:t>13</w:t>
        </w:r>
        <w:r w:rsidR="0064316E">
          <w:rPr>
            <w:noProof/>
            <w:webHidden/>
          </w:rPr>
          <w:fldChar w:fldCharType="end"/>
        </w:r>
      </w:hyperlink>
    </w:p>
    <w:p w14:paraId="3ABC5B35" w14:textId="0483B161" w:rsidR="0064316E" w:rsidRDefault="004025EE">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B31C26">
          <w:rPr>
            <w:noProof/>
            <w:webHidden/>
          </w:rPr>
          <w:t>17</w:t>
        </w:r>
        <w:r w:rsidR="0064316E">
          <w:rPr>
            <w:noProof/>
            <w:webHidden/>
          </w:rPr>
          <w:fldChar w:fldCharType="end"/>
        </w:r>
      </w:hyperlink>
    </w:p>
    <w:p w14:paraId="3ABC5B36" w14:textId="52C30641" w:rsidR="0064316E" w:rsidRDefault="004025EE">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B31C26">
          <w:rPr>
            <w:noProof/>
            <w:webHidden/>
          </w:rPr>
          <w:t>18</w:t>
        </w:r>
        <w:r w:rsidR="0064316E">
          <w:rPr>
            <w:noProof/>
            <w:webHidden/>
          </w:rPr>
          <w:fldChar w:fldCharType="end"/>
        </w:r>
      </w:hyperlink>
    </w:p>
    <w:p w14:paraId="3ABC5B37" w14:textId="408C5F4F" w:rsidR="0064316E" w:rsidRDefault="004025EE">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B31C26">
          <w:rPr>
            <w:noProof/>
            <w:webHidden/>
          </w:rPr>
          <w:t>23</w:t>
        </w:r>
        <w:r w:rsidR="0064316E">
          <w:rPr>
            <w:noProof/>
            <w:webHidden/>
          </w:rPr>
          <w:fldChar w:fldCharType="end"/>
        </w:r>
      </w:hyperlink>
    </w:p>
    <w:p w14:paraId="3ABC5B38" w14:textId="4DA191AB" w:rsidR="0064316E" w:rsidRDefault="004025EE">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B31C26">
          <w:rPr>
            <w:noProof/>
            <w:webHidden/>
          </w:rPr>
          <w:t>24</w:t>
        </w:r>
        <w:r w:rsidR="0064316E">
          <w:rPr>
            <w:noProof/>
            <w:webHidden/>
          </w:rPr>
          <w:fldChar w:fldCharType="end"/>
        </w:r>
      </w:hyperlink>
    </w:p>
    <w:p w14:paraId="3ABC5B39" w14:textId="191ABC44" w:rsidR="0064316E" w:rsidRDefault="004025EE">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B31C26">
          <w:rPr>
            <w:noProof/>
            <w:webHidden/>
          </w:rPr>
          <w:t>26</w:t>
        </w:r>
        <w:r w:rsidR="0064316E">
          <w:rPr>
            <w:noProof/>
            <w:webHidden/>
          </w:rPr>
          <w:fldChar w:fldCharType="end"/>
        </w:r>
      </w:hyperlink>
    </w:p>
    <w:p w14:paraId="3ABC5B3A" w14:textId="11000FA0" w:rsidR="0064316E" w:rsidRDefault="004025EE">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B31C26">
          <w:rPr>
            <w:noProof/>
            <w:webHidden/>
          </w:rPr>
          <w:t>28</w:t>
        </w:r>
        <w:r w:rsidR="0064316E">
          <w:rPr>
            <w:noProof/>
            <w:webHidden/>
          </w:rPr>
          <w:fldChar w:fldCharType="end"/>
        </w:r>
      </w:hyperlink>
    </w:p>
    <w:p w14:paraId="3ABC5B3B" w14:textId="7EBC402F" w:rsidR="0064316E" w:rsidRDefault="004025EE">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B31C26">
          <w:rPr>
            <w:noProof/>
            <w:webHidden/>
          </w:rPr>
          <w:t>29</w:t>
        </w:r>
        <w:r w:rsidR="0064316E">
          <w:rPr>
            <w:noProof/>
            <w:webHidden/>
          </w:rPr>
          <w:fldChar w:fldCharType="end"/>
        </w:r>
      </w:hyperlink>
    </w:p>
    <w:p w14:paraId="3ABC5B3C" w14:textId="250D5733" w:rsidR="0064316E" w:rsidRDefault="004025EE">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B31C26">
          <w:rPr>
            <w:noProof/>
            <w:webHidden/>
          </w:rPr>
          <w:t>64</w:t>
        </w:r>
        <w:r w:rsidR="0064316E">
          <w:rPr>
            <w:noProof/>
            <w:webHidden/>
          </w:rPr>
          <w:fldChar w:fldCharType="end"/>
        </w:r>
      </w:hyperlink>
    </w:p>
    <w:p w14:paraId="3ABC5B3D" w14:textId="55B89F89" w:rsidR="0064316E" w:rsidRDefault="004025EE">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B31C26">
          <w:rPr>
            <w:noProof/>
            <w:webHidden/>
          </w:rPr>
          <w:t>65</w:t>
        </w:r>
        <w:r w:rsidR="0064316E">
          <w:rPr>
            <w:noProof/>
            <w:webHidden/>
          </w:rPr>
          <w:fldChar w:fldCharType="end"/>
        </w:r>
      </w:hyperlink>
    </w:p>
    <w:p w14:paraId="3ABC5B3E" w14:textId="2869962E" w:rsidR="0064316E" w:rsidRDefault="004025EE">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B31C26">
          <w:rPr>
            <w:noProof/>
            <w:webHidden/>
          </w:rPr>
          <w:t>66</w:t>
        </w:r>
        <w:r w:rsidR="0064316E">
          <w:rPr>
            <w:noProof/>
            <w:webHidden/>
          </w:rPr>
          <w:fldChar w:fldCharType="end"/>
        </w:r>
      </w:hyperlink>
    </w:p>
    <w:p w14:paraId="3ABC5B3F" w14:textId="759FFBFD" w:rsidR="0064316E" w:rsidRDefault="004025EE">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B31C26">
          <w:rPr>
            <w:noProof/>
            <w:webHidden/>
          </w:rPr>
          <w:t>67</w:t>
        </w:r>
        <w:r w:rsidR="0064316E">
          <w:rPr>
            <w:noProof/>
            <w:webHidden/>
          </w:rPr>
          <w:fldChar w:fldCharType="end"/>
        </w:r>
      </w:hyperlink>
    </w:p>
    <w:p w14:paraId="3ABC5B40" w14:textId="4822F4AD" w:rsidR="0064316E" w:rsidRDefault="004025EE">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B31C26">
          <w:rPr>
            <w:noProof/>
            <w:webHidden/>
          </w:rPr>
          <w:t>68</w:t>
        </w:r>
        <w:r w:rsidR="0064316E">
          <w:rPr>
            <w:noProof/>
            <w:webHidden/>
          </w:rPr>
          <w:fldChar w:fldCharType="end"/>
        </w:r>
      </w:hyperlink>
    </w:p>
    <w:p w14:paraId="3ABC5B41" w14:textId="394A7BAF" w:rsidR="0064316E" w:rsidRDefault="004025EE">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B31C26">
          <w:rPr>
            <w:noProof/>
            <w:webHidden/>
          </w:rPr>
          <w:t>69</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1D48255D"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 xml:space="preserve">to </w:t>
      </w:r>
      <w:r w:rsidR="005F2C0A">
        <w:rPr>
          <w:color w:val="000000" w:themeColor="text1"/>
        </w:rPr>
        <w:t xml:space="preserve">the variance </w:t>
      </w:r>
      <w:r w:rsidR="00FB70A2">
        <w:rPr>
          <w:color w:val="000000" w:themeColor="text1"/>
        </w:rPr>
        <w:t>rule</w:t>
      </w:r>
      <w:r w:rsidR="005F2C0A">
        <w:rPr>
          <w:color w:val="000000" w:themeColor="text1"/>
        </w:rPr>
        <w:t xml:space="preserve"> at</w:t>
      </w:r>
      <w:r w:rsidR="00FB70A2">
        <w:rPr>
          <w:color w:val="000000" w:themeColor="text1"/>
        </w:rPr>
        <w:t xml:space="preserve"> 340-041-0059, </w:t>
      </w:r>
      <w:r w:rsidR="005F2C0A">
        <w:rPr>
          <w:color w:val="000000" w:themeColor="text1"/>
        </w:rPr>
        <w:t xml:space="preserve">and </w:t>
      </w:r>
      <w:r w:rsidR="00FB70A2">
        <w:rPr>
          <w:color w:val="000000" w:themeColor="text1"/>
        </w:rPr>
        <w:t>then adopt the proposed amendments in Attachment A to rule 340-041-0340</w:t>
      </w:r>
      <w:r w:rsidR="005F2C0A">
        <w:rPr>
          <w:color w:val="000000" w:themeColor="text1"/>
        </w:rPr>
        <w:t xml:space="preserve"> to adopt a Multiple Discharger Variance for methylmercury for NPDES permitted dischargers in the Willamette Basin</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1F571F95" w:rsidR="009F34A6" w:rsidRDefault="009F34A6" w:rsidP="009F34A6">
      <w:pPr>
        <w:pStyle w:val="ListParagraph"/>
        <w:numPr>
          <w:ilvl w:val="0"/>
          <w:numId w:val="33"/>
        </w:numPr>
      </w:pPr>
      <w:r>
        <w:t>Amend state variance authorization rules (OAR 340-041-0059) to be consistent with federal variance rules</w:t>
      </w:r>
      <w:r w:rsidR="005F2C0A">
        <w:t xml:space="preserve"> and add clarity</w:t>
      </w:r>
      <w:r>
        <w:t>; and</w:t>
      </w:r>
    </w:p>
    <w:p w14:paraId="7953527E" w14:textId="5C0F097B" w:rsidR="009F34A6" w:rsidRDefault="009F34A6" w:rsidP="009F34A6">
      <w:pPr>
        <w:pStyle w:val="ListParagraph"/>
        <w:numPr>
          <w:ilvl w:val="0"/>
          <w:numId w:val="33"/>
        </w:numPr>
      </w:pPr>
      <w:r>
        <w:t xml:space="preserve">Establish a multiple discharger variance for methylmercury that applies to permitted dischargers in the Willamette Basin </w:t>
      </w:r>
      <w:r w:rsidR="0070197A">
        <w:t xml:space="preserve">that would otherwise have unattainable permit limits for mercury. Implementation of the MDV </w:t>
      </w:r>
      <w:r>
        <w:t xml:space="preserve">will, over </w:t>
      </w:r>
      <w:r w:rsidR="0070197A">
        <w:t>the duration of the variance</w:t>
      </w:r>
      <w:r>
        <w:t>, lead to reductions in mercury concentrations in wastewater discharg</w:t>
      </w:r>
      <w:r w:rsidR="005F2C0A">
        <w:t>es</w:t>
      </w:r>
      <w:r>
        <w:t xml:space="preserve">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32EE5BB9"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w:t>
      </w:r>
      <w:r w:rsidR="005F2C0A">
        <w:rPr>
          <w:rStyle w:val="Hyperlink"/>
          <w:rFonts w:ascii="Times New Roman" w:hAnsi="Times New Roman" w:cs="Times New Roman"/>
          <w:color w:val="auto"/>
          <w:u w:val="none"/>
        </w:rPr>
        <w:t xml:space="preserve">requirements </w:t>
      </w:r>
      <w:r>
        <w:rPr>
          <w:rStyle w:val="Hyperlink"/>
          <w:rFonts w:ascii="Times New Roman" w:hAnsi="Times New Roman" w:cs="Times New Roman"/>
          <w:color w:val="auto"/>
          <w:u w:val="none"/>
        </w:rPr>
        <w:t>for granting variances.</w:t>
      </w:r>
    </w:p>
    <w:p w14:paraId="5C81C366" w14:textId="194E3A86" w:rsidR="009F34A6" w:rsidRDefault="009F34A6" w:rsidP="009F34A6">
      <w:pPr>
        <w:pStyle w:val="NoSpacing"/>
        <w:ind w:left="0"/>
      </w:pPr>
    </w:p>
    <w:p w14:paraId="7AF2C895" w14:textId="685E37CD"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w:t>
      </w:r>
      <w:r w:rsidR="007D2620">
        <w:rPr>
          <w:rFonts w:ascii="Times New Roman" w:hAnsi="Times New Roman" w:cs="Times New Roman"/>
          <w:b w:val="0"/>
          <w:sz w:val="24"/>
          <w:szCs w:val="24"/>
        </w:rPr>
        <w:t xml:space="preserve">as well as erosion of natural levels of mercury in Oregon soils,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w:t>
      </w:r>
      <w:r w:rsidR="007D2620">
        <w:rPr>
          <w:rFonts w:ascii="Times New Roman" w:hAnsi="Times New Roman" w:cs="Times New Roman"/>
          <w:b w:val="0"/>
          <w:sz w:val="24"/>
          <w:szCs w:val="24"/>
        </w:rPr>
        <w:t>methyl</w:t>
      </w:r>
      <w:r w:rsidRPr="00345B54">
        <w:rPr>
          <w:rFonts w:ascii="Times New Roman" w:hAnsi="Times New Roman" w:cs="Times New Roman"/>
          <w:b w:val="0"/>
          <w:sz w:val="24"/>
          <w:szCs w:val="24"/>
        </w:rPr>
        <w:t xml:space="preserve">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2F2A4709" w:rsidR="009F34A6" w:rsidRPr="00880965" w:rsidRDefault="009F34A6" w:rsidP="009F34A6">
      <w:pPr>
        <w:tabs>
          <w:tab w:val="left" w:pos="720"/>
        </w:tabs>
        <w:ind w:left="0" w:right="-360"/>
      </w:pPr>
      <w:r>
        <w:t xml:space="preserve">The proposed rule includes language identical or similar to the federal variance rule and removes language that is inconsistent with the federal rule or unnecessary. The rules give </w:t>
      </w:r>
      <w:r w:rsidR="00EE0D40">
        <w:t xml:space="preserve">DEQ’s Director the authority to grant individual discharger variances and retain </w:t>
      </w:r>
      <w:r>
        <w:t>the EQC</w:t>
      </w:r>
      <w:r w:rsidR="00EE0D40">
        <w:t>’s</w:t>
      </w:r>
      <w:r>
        <w:t xml:space="preserve"> authority to grant multiple discharger </w:t>
      </w:r>
      <w:r w:rsidR="00EE0D40">
        <w:t xml:space="preserve">variances </w:t>
      </w:r>
      <w:r>
        <w:t>and waterbody variances</w:t>
      </w:r>
      <w:r w:rsidR="00EE0D40">
        <w:t xml:space="preserve"> through rulemaking</w:t>
      </w:r>
      <w:r>
        <w:t>.</w:t>
      </w:r>
      <w:r w:rsidR="00EE0D40">
        <w:t xml:space="preserve"> Finally, some amendments clarify or streamline the rule language.</w:t>
      </w:r>
    </w:p>
    <w:p w14:paraId="4240A9A7" w14:textId="2FBC91D4" w:rsidR="009F34A6" w:rsidRDefault="009F34A6" w:rsidP="009F34A6">
      <w:pPr>
        <w:ind w:left="0"/>
        <w:rPr>
          <w:b/>
          <w:color w:val="806000" w:themeColor="accent4" w:themeShade="80"/>
        </w:rPr>
      </w:pPr>
    </w:p>
    <w:p w14:paraId="7033506C" w14:textId="5EC41232" w:rsidR="009F34A6" w:rsidRPr="009F34A6" w:rsidRDefault="009F34A6" w:rsidP="009F34A6">
      <w:pPr>
        <w:ind w:left="0"/>
      </w:pPr>
      <w:r>
        <w:t xml:space="preserve">The </w:t>
      </w:r>
      <w:r w:rsidR="009534C2">
        <w:t xml:space="preserve">Willamette Mercury </w:t>
      </w:r>
      <w:r>
        <w:t xml:space="preserve">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t>
      </w:r>
      <w:r w:rsidR="00B31C26">
        <w:t>Clean Water Act</w:t>
      </w:r>
      <w:r>
        <w:t xml:space="preserve"> programs. The </w:t>
      </w:r>
      <w:r>
        <w:lastRenderedPageBreak/>
        <w:t xml:space="preserve">rule requires dischargers permitted under the variance to develop and implement a mercury minimization </w:t>
      </w:r>
      <w:r w:rsidR="009534C2">
        <w:t xml:space="preserve">program </w:t>
      </w:r>
      <w:r>
        <w:t xml:space="preserve">that will result in mercury reductions. In addition, it requires DEQ to establish effluent limits equal to what the discharger can currently achieve to prevent degradation. </w:t>
      </w:r>
      <w:r w:rsidR="007D2620">
        <w:t>Implementation of t</w:t>
      </w:r>
      <w:r>
        <w:t>he rule requires DEQ to update these permit limits based on recent facility</w:t>
      </w:r>
      <w:r w:rsidR="009534C2">
        <w:t xml:space="preserve"> effluent</w:t>
      </w:r>
      <w:r>
        <w:t xml:space="preserve">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7DE66A" w:rsidR="001337AC" w:rsidRPr="00B31C26" w:rsidRDefault="001337AC" w:rsidP="001337AC">
      <w:pPr>
        <w:ind w:left="0"/>
      </w:pPr>
      <w:r w:rsidRPr="00B31C26">
        <w:t xml:space="preserve">The key policy issue with the variance rule was to ensure consistency with federal </w:t>
      </w:r>
      <w:r w:rsidR="00B03B5B" w:rsidRPr="00B31C26">
        <w:t>regulations adopted after Oregon’s current rule</w:t>
      </w:r>
      <w:r w:rsidRPr="00B31C26">
        <w:t xml:space="preserve">, </w:t>
      </w:r>
      <w:r w:rsidR="00B03B5B" w:rsidRPr="00B31C26">
        <w:t>and to clarify the</w:t>
      </w:r>
      <w:r w:rsidRPr="00B31C26">
        <w:t xml:space="preserve"> roles </w:t>
      </w:r>
      <w:r w:rsidR="009534C2" w:rsidRPr="00B31C26">
        <w:t xml:space="preserve">and requirements for </w:t>
      </w:r>
      <w:r w:rsidR="00992AF8" w:rsidRPr="00B31C26">
        <w:t xml:space="preserve">granting </w:t>
      </w:r>
      <w:r w:rsidRPr="00B31C26">
        <w:t xml:space="preserve">variances. DEQ has </w:t>
      </w:r>
      <w:r w:rsidR="009534C2" w:rsidRPr="00B31C26">
        <w:t xml:space="preserve">specified </w:t>
      </w:r>
      <w:r w:rsidRPr="00B31C26">
        <w:t xml:space="preserve">the roles in the rule language, </w:t>
      </w:r>
      <w:r w:rsidR="00C776B8" w:rsidRPr="00B31C26">
        <w:t>retaining</w:t>
      </w:r>
      <w:r w:rsidR="009534C2" w:rsidRPr="00B31C26">
        <w:t xml:space="preserve"> </w:t>
      </w:r>
      <w:r w:rsidRPr="00B31C26">
        <w:t>the director</w:t>
      </w:r>
      <w:r w:rsidR="00C776B8" w:rsidRPr="00B31C26">
        <w:t>’s</w:t>
      </w:r>
      <w:r w:rsidRPr="00B31C26">
        <w:t xml:space="preserve"> authority to issue individual variances and </w:t>
      </w:r>
      <w:r w:rsidR="00C776B8" w:rsidRPr="00B31C26">
        <w:t>delegating to</w:t>
      </w:r>
      <w:r w:rsidR="009534C2" w:rsidRPr="00B31C26">
        <w:t xml:space="preserve"> </w:t>
      </w:r>
      <w:r w:rsidRPr="00B31C26">
        <w:t>the Commission</w:t>
      </w:r>
      <w:r w:rsidR="00C776B8" w:rsidRPr="00B31C26">
        <w:t xml:space="preserve"> the</w:t>
      </w:r>
      <w:r w:rsidRPr="00B31C26">
        <w:t xml:space="preserve"> authority to </w:t>
      </w:r>
      <w:r w:rsidR="00992AF8" w:rsidRPr="00B31C26">
        <w:t xml:space="preserve">grant </w:t>
      </w:r>
      <w:r w:rsidRPr="00B31C26">
        <w:t xml:space="preserve">multiple discharger </w:t>
      </w:r>
      <w:r w:rsidR="009534C2" w:rsidRPr="00B31C26">
        <w:t xml:space="preserve">variances </w:t>
      </w:r>
      <w:r w:rsidRPr="00B31C26">
        <w:t>and waterbody variances</w:t>
      </w:r>
      <w:r w:rsidR="00992AF8" w:rsidRPr="00B31C26">
        <w:t xml:space="preserve"> through rulemaking</w:t>
      </w:r>
      <w:r w:rsidRPr="00B31C26">
        <w:t>.</w:t>
      </w:r>
      <w:r w:rsidR="00C776B8" w:rsidRPr="00B31C26">
        <w:t xml:space="preserve"> The previous rule did not anticipate multiple discharger variances or waterbody variances.</w:t>
      </w:r>
    </w:p>
    <w:p w14:paraId="61D95BA7" w14:textId="75D97437" w:rsidR="001337AC" w:rsidRPr="00B31C26" w:rsidRDefault="001337AC" w:rsidP="001337AC">
      <w:pPr>
        <w:ind w:left="0"/>
      </w:pPr>
    </w:p>
    <w:p w14:paraId="6857ED1B" w14:textId="1A99D782" w:rsidR="009F34A6" w:rsidRPr="00B31C26" w:rsidRDefault="007D2620" w:rsidP="009F34A6">
      <w:pPr>
        <w:ind w:left="0"/>
      </w:pPr>
      <w:r w:rsidRPr="00B31C26">
        <w:t xml:space="preserve">A </w:t>
      </w:r>
      <w:r w:rsidR="001337AC" w:rsidRPr="00B31C26">
        <w:t xml:space="preserve">key policy and technical issue for the </w:t>
      </w:r>
      <w:r w:rsidR="00B03B5B" w:rsidRPr="00B31C26">
        <w:t>Willamette Mercury MDV</w:t>
      </w:r>
      <w:r w:rsidR="001337AC" w:rsidRPr="00B31C26">
        <w:t xml:space="preserve"> was determining the Highest Attainable Condition, or the goal for the variance. </w:t>
      </w:r>
      <w:r w:rsidR="0070197A" w:rsidRPr="00B31C26">
        <w:t>T</w:t>
      </w:r>
      <w:r w:rsidR="001337AC" w:rsidRPr="00B31C26">
        <w:t xml:space="preserve">he </w:t>
      </w:r>
      <w:r w:rsidR="00992AF8" w:rsidRPr="00B31C26">
        <w:t xml:space="preserve">permitted </w:t>
      </w:r>
      <w:r w:rsidR="001337AC" w:rsidRPr="00B31C26">
        <w:t xml:space="preserve">sources covered under the variance contribute </w:t>
      </w:r>
      <w:r w:rsidR="0070197A" w:rsidRPr="00B31C26">
        <w:t xml:space="preserve">approximately </w:t>
      </w:r>
      <w:r w:rsidR="001337AC" w:rsidRPr="00B31C26">
        <w:t>1% of the total load of mercury to the Willamette Basin. DEQ is proposing a Highest Attainable Condition that requires each discharger to maintain</w:t>
      </w:r>
      <w:r w:rsidR="000B1D5F" w:rsidRPr="00B31C26">
        <w:t xml:space="preserve"> and operate their</w:t>
      </w:r>
      <w:r w:rsidR="001337AC" w:rsidRPr="00B31C26">
        <w:t xml:space="preserve"> current treatment </w:t>
      </w:r>
      <w:r w:rsidR="000B1D5F" w:rsidRPr="00B31C26">
        <w:t xml:space="preserve">system well, </w:t>
      </w:r>
      <w:r w:rsidR="00992AF8" w:rsidRPr="00B31C26">
        <w:t xml:space="preserve">and </w:t>
      </w:r>
      <w:r w:rsidR="001337AC" w:rsidRPr="00B31C26">
        <w:t xml:space="preserve"> implement a mercury minimization </w:t>
      </w:r>
      <w:r w:rsidR="0070197A" w:rsidRPr="00B31C26">
        <w:t xml:space="preserve">program </w:t>
      </w:r>
      <w:r w:rsidR="00697273" w:rsidRPr="00B31C26">
        <w:t xml:space="preserve">that includes </w:t>
      </w:r>
      <w:r w:rsidR="0070197A" w:rsidRPr="00B31C26">
        <w:t>specific elements listed in the variance</w:t>
      </w:r>
      <w:r w:rsidR="001337AC" w:rsidRPr="00B31C26">
        <w:t xml:space="preserve">. This approach is consistent with EPA guidance on </w:t>
      </w:r>
      <w:r w:rsidR="00697273" w:rsidRPr="00B31C26">
        <w:t xml:space="preserve">implementing </w:t>
      </w:r>
      <w:r w:rsidR="001337AC" w:rsidRPr="00B31C26">
        <w:t>the methylmercury criterion</w:t>
      </w:r>
      <w:r w:rsidRPr="00B31C26">
        <w:t xml:space="preserve">, which indicates preference for source control over treatment for mercury, so that mercury isn’t reintroduced to the environment. Moreover, data from </w:t>
      </w:r>
      <w:r w:rsidR="001337AC" w:rsidRPr="00B31C26">
        <w:t>Oregon and other states</w:t>
      </w:r>
      <w:r w:rsidR="004E7898" w:rsidRPr="00B31C26">
        <w:t xml:space="preserve"> show</w:t>
      </w:r>
      <w:r w:rsidR="001337AC" w:rsidRPr="00B31C26">
        <w:t xml:space="preserve"> that </w:t>
      </w:r>
      <w:r w:rsidRPr="00B31C26">
        <w:t>source reduction</w:t>
      </w:r>
      <w:r w:rsidR="001337AC" w:rsidRPr="00B31C26">
        <w:t xml:space="preserve"> </w:t>
      </w:r>
      <w:r w:rsidRPr="00B31C26">
        <w:t>decrease</w:t>
      </w:r>
      <w:r w:rsidR="001337AC" w:rsidRPr="00B31C26">
        <w:t xml:space="preserve">s mercury levels </w:t>
      </w:r>
      <w:r w:rsidRPr="00B31C26">
        <w:t xml:space="preserve">in effluent </w:t>
      </w:r>
      <w:r w:rsidR="001337AC" w:rsidRPr="00B31C26">
        <w:t>over time.</w:t>
      </w:r>
    </w:p>
    <w:p w14:paraId="345F4469" w14:textId="62B677B9" w:rsidR="007D2620" w:rsidRPr="00B31C26" w:rsidRDefault="007D2620" w:rsidP="009F34A6">
      <w:pPr>
        <w:ind w:left="0"/>
      </w:pPr>
    </w:p>
    <w:p w14:paraId="0D1BEB46" w14:textId="5255C8F7" w:rsidR="007D2620" w:rsidRPr="00B31C26" w:rsidRDefault="007D2620" w:rsidP="009F34A6">
      <w:pPr>
        <w:ind w:left="0"/>
      </w:pPr>
      <w:r w:rsidRPr="00B31C26">
        <w:t xml:space="preserve">Another key policy </w:t>
      </w:r>
      <w:r w:rsidR="00697273" w:rsidRPr="00B31C26">
        <w:t xml:space="preserve">and technical </w:t>
      </w:r>
      <w:r w:rsidRPr="00B31C26">
        <w:t xml:space="preserve">issue for the MDV </w:t>
      </w:r>
      <w:r w:rsidR="0028512B" w:rsidRPr="00B31C26">
        <w:t xml:space="preserve">was </w:t>
      </w:r>
      <w:r w:rsidRPr="00B31C26">
        <w:t xml:space="preserve">how DEQ defines the level currently achievable, or </w:t>
      </w:r>
      <w:r w:rsidR="00697273" w:rsidRPr="00B31C26">
        <w:t xml:space="preserve">the mercury concentration </w:t>
      </w:r>
      <w:r w:rsidRPr="00B31C26">
        <w:t>each discharger can achieve in their effluent with current</w:t>
      </w:r>
      <w:r w:rsidR="00697273" w:rsidRPr="00B31C26">
        <w:t>ly installed</w:t>
      </w:r>
      <w:r w:rsidRPr="00B31C26">
        <w:t xml:space="preserve"> treatment</w:t>
      </w:r>
      <w:r w:rsidR="00697273" w:rsidRPr="00B31C26">
        <w:t xml:space="preserve"> technology</w:t>
      </w:r>
      <w:r w:rsidRPr="00B31C26">
        <w:t xml:space="preserve">. The LCA will serve as the basis for effluent limits when the variance is implemented into permits. Mercury levels can vary in </w:t>
      </w:r>
      <w:r w:rsidR="0028512B" w:rsidRPr="00B31C26">
        <w:t xml:space="preserve">both the influent and the </w:t>
      </w:r>
      <w:r w:rsidRPr="00B31C26">
        <w:t xml:space="preserve">effluent. </w:t>
      </w:r>
      <w:r w:rsidR="0028512B" w:rsidRPr="00B31C26">
        <w:t>Therefore, t</w:t>
      </w:r>
      <w:r w:rsidRPr="00B31C26">
        <w:t xml:space="preserve">he </w:t>
      </w:r>
      <w:r w:rsidR="0028512B" w:rsidRPr="00B31C26">
        <w:t xml:space="preserve">procedure to derive the </w:t>
      </w:r>
      <w:r w:rsidRPr="00B31C26">
        <w:t>level currently achievable</w:t>
      </w:r>
      <w:r w:rsidR="0028512B" w:rsidRPr="00B31C26">
        <w:t xml:space="preserve"> for each facility</w:t>
      </w:r>
      <w:r w:rsidRPr="00B31C26">
        <w:t xml:space="preserve"> </w:t>
      </w:r>
      <w:r w:rsidR="007F174D" w:rsidRPr="00B31C26">
        <w:t>i</w:t>
      </w:r>
      <w:r w:rsidRPr="00B31C26">
        <w:t xml:space="preserve">s designed to </w:t>
      </w:r>
      <w:r w:rsidR="0028512B" w:rsidRPr="00B31C26">
        <w:t xml:space="preserve">account for </w:t>
      </w:r>
      <w:r w:rsidRPr="00B31C26">
        <w:t>this variability.</w:t>
      </w:r>
    </w:p>
    <w:p w14:paraId="718B8AA2" w14:textId="1C7A4F73" w:rsidR="007F174D" w:rsidRPr="00B31C26" w:rsidRDefault="007F174D" w:rsidP="009F34A6">
      <w:pPr>
        <w:ind w:left="0"/>
      </w:pPr>
    </w:p>
    <w:p w14:paraId="1B46C014" w14:textId="14887ABA" w:rsidR="007F174D" w:rsidRPr="00B31C26" w:rsidRDefault="007F174D" w:rsidP="009F34A6">
      <w:pPr>
        <w:ind w:left="0"/>
      </w:pPr>
      <w:r w:rsidRPr="00B31C26">
        <w:t xml:space="preserve">Another key policy issue </w:t>
      </w:r>
      <w:r w:rsidR="00C776B8" w:rsidRPr="00B31C26">
        <w:t xml:space="preserve">was </w:t>
      </w:r>
      <w:r w:rsidRPr="00B31C26">
        <w:t>the duration of the variance. DEQ propos</w:t>
      </w:r>
      <w:r w:rsidR="00EB4FE5" w:rsidRPr="00B31C26">
        <w:t>es</w:t>
      </w:r>
      <w:r w:rsidRPr="00B31C26">
        <w:t xml:space="preserve"> that the variance last 20 years. In order to justify this term, DEQ show</w:t>
      </w:r>
      <w:r w:rsidR="00A652FB" w:rsidRPr="00B31C26">
        <w:t>s</w:t>
      </w:r>
      <w:r w:rsidRPr="00B31C26">
        <w:t xml:space="preserve"> that the human health criterion for methylmercury cannot be achieved during the proposed term. Based on information developed during the recent TMDL update, the waters of the Willamette Basin will not achieve levels needed to meet the fish-tissue based criterion in the next 20 years, or likely even longer. In order to ensure that the variance will result in </w:t>
      </w:r>
      <w:r w:rsidR="00BF6308" w:rsidRPr="00B31C26">
        <w:t xml:space="preserve">mercury </w:t>
      </w:r>
      <w:r w:rsidRPr="00B31C26">
        <w:t xml:space="preserve">reductions from point sources, DEQ </w:t>
      </w:r>
      <w:r w:rsidR="00BF6308" w:rsidRPr="00B31C26">
        <w:t xml:space="preserve">will </w:t>
      </w:r>
      <w:r w:rsidRPr="00B31C26">
        <w:t>re-evaluate the requirements of the variance every five years</w:t>
      </w:r>
      <w:r w:rsidR="00BF6308" w:rsidRPr="00B31C26">
        <w:t>. DEQ must</w:t>
      </w:r>
      <w:r w:rsidRPr="00B31C26">
        <w:t xml:space="preserve"> submit th</w:t>
      </w:r>
      <w:r w:rsidR="00BF6308" w:rsidRPr="00B31C26">
        <w:t>e</w:t>
      </w:r>
      <w:r w:rsidRPr="00B31C26">
        <w:t xml:space="preserve"> re-evaluation to EPA to ensure that the variance remains the applicable water quality standard for the purpose of NPDES permits. </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4EF5CDD7" w:rsidR="001337AC" w:rsidRDefault="001337AC" w:rsidP="001337AC">
      <w:pPr>
        <w:ind w:left="0"/>
      </w:pPr>
      <w:r>
        <w:lastRenderedPageBreak/>
        <w:t xml:space="preserve">Parties affected by this rulemaking include </w:t>
      </w:r>
      <w:r w:rsidR="006F6D85">
        <w:t>holders of individual industrial and municipal NPDES permits</w:t>
      </w:r>
      <w:r w:rsidR="00B31C26">
        <w:t xml:space="preserve"> in the Willamette Basin</w:t>
      </w:r>
      <w:r w:rsidR="006F6D85">
        <w:t>,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6077B2F" w:rsidR="006F6D85" w:rsidRPr="006F6D85" w:rsidRDefault="006F6D85" w:rsidP="006F6D85">
      <w:pPr>
        <w:ind w:left="0" w:right="-432"/>
        <w:rPr>
          <w:color w:val="C45911" w:themeColor="accent2" w:themeShade="BF"/>
        </w:rPr>
      </w:pPr>
      <w:r>
        <w:t xml:space="preserve">DEQ has </w:t>
      </w:r>
      <w:r w:rsidR="00B31C26">
        <w:t xml:space="preserve">also </w:t>
      </w:r>
      <w:r>
        <w:t>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are not required by the federal variance rule. </w:t>
      </w:r>
    </w:p>
    <w:p w14:paraId="5E03EBB8" w14:textId="74E671AB" w:rsidR="00043CAA" w:rsidRDefault="00043CAA" w:rsidP="00043CAA">
      <w:pPr>
        <w:pStyle w:val="ListParagraph"/>
        <w:numPr>
          <w:ilvl w:val="0"/>
          <w:numId w:val="39"/>
        </w:numPr>
      </w:pPr>
      <w:r>
        <w:t xml:space="preserve">EPA is required to perform an ESA-consultation for any variance to an aquatic life criterion. It makes sense for DEQ to rely on the </w:t>
      </w:r>
      <w:r w:rsidR="001005C6">
        <w:t>National Marine Fisheries Servi</w:t>
      </w:r>
      <w:r w:rsidR="00BC3987">
        <w:t>c</w:t>
      </w:r>
      <w:r w:rsidR="001005C6">
        <w:t xml:space="preserve">e </w:t>
      </w:r>
      <w:r w:rsidR="001005C6">
        <w:lastRenderedPageBreak/>
        <w:t>and the U.S. Fish and Wildlife Service</w:t>
      </w:r>
      <w:r>
        <w:t xml:space="preserve"> who</w:t>
      </w:r>
      <w:r w:rsidR="001005C6">
        <w:t xml:space="preserve"> have the responsibility and expertise</w:t>
      </w:r>
      <w:r>
        <w:t xml:space="preserve"> to conduct such ESA reviews, rather than attempt to conduct such a review itself.</w:t>
      </w:r>
    </w:p>
    <w:p w14:paraId="4447C473" w14:textId="5F573203" w:rsidR="00043CAA" w:rsidRDefault="00043CAA" w:rsidP="00043CAA">
      <w:pPr>
        <w:pStyle w:val="ListParagraph"/>
        <w:numPr>
          <w:ilvl w:val="0"/>
          <w:numId w:val="39"/>
        </w:numPr>
      </w:pPr>
      <w:r>
        <w:t>The provision regarding “unreasonable risk” to human health</w:t>
      </w:r>
      <w:r w:rsidR="00B47789">
        <w:t xml:space="preserve"> is subjective and un-defined</w:t>
      </w:r>
      <w:r>
        <w:t>.</w:t>
      </w:r>
      <w:r w:rsidR="00B47789">
        <w:t xml:space="preserve"> Importantly,</w:t>
      </w:r>
      <w:r>
        <w:t xml:space="preserve"> </w:t>
      </w:r>
      <w:r w:rsidR="00B47789">
        <w:t>a</w:t>
      </w:r>
      <w:r>
        <w:t xml:space="preserve"> variance is only allowable if </w:t>
      </w:r>
      <w:r w:rsidR="003347B2">
        <w:t xml:space="preserve">it is not feasible to attain the water quality standard, but </w:t>
      </w:r>
      <w:r>
        <w:t>progress can be made toward attaining the standard</w:t>
      </w:r>
      <w:r w:rsidR="003347B2">
        <w:t>.</w:t>
      </w:r>
      <w:r>
        <w:t xml:space="preserve"> In addition, variance </w:t>
      </w:r>
      <w:r w:rsidR="001C3C9D">
        <w:t xml:space="preserve">requirements </w:t>
      </w:r>
      <w:r>
        <w:t xml:space="preserve">must reflect the “highest attainable condition.” In other words, a permittee must do whatever </w:t>
      </w:r>
      <w:r w:rsidR="001C3C9D">
        <w:t xml:space="preserve">is feasible </w:t>
      </w:r>
      <w:r>
        <w:t xml:space="preserve">to reduce pollutant levels. The variance is a tool to, over time, decrease risks to human health to the extent feasible, even </w:t>
      </w:r>
      <w:r w:rsidR="003A6A22">
        <w:t>though</w:t>
      </w:r>
      <w:r>
        <w:t xml:space="preserve"> </w:t>
      </w:r>
      <w:r w:rsidR="003347B2">
        <w:t xml:space="preserve">the underlying </w:t>
      </w:r>
      <w:r w:rsidR="003A6A22">
        <w:t xml:space="preserve">standard </w:t>
      </w:r>
      <w:r>
        <w:t>can</w:t>
      </w:r>
      <w:r w:rsidR="00B31C26">
        <w:t>no</w:t>
      </w:r>
      <w:r>
        <w:t>t</w:t>
      </w:r>
      <w:r w:rsidR="003A6A22">
        <w:t xml:space="preserve"> </w:t>
      </w:r>
      <w:r>
        <w:t xml:space="preserve">feasibly </w:t>
      </w:r>
      <w:r w:rsidR="003A6A22">
        <w:t xml:space="preserve">be </w:t>
      </w:r>
      <w:r>
        <w:t>attain</w:t>
      </w:r>
      <w:r w:rsidR="003A6A22">
        <w:t xml:space="preserve">ed </w:t>
      </w:r>
      <w:r w:rsidR="003347B2">
        <w:t>during the term of the variance</w:t>
      </w:r>
      <w:r>
        <w:t>.</w:t>
      </w:r>
    </w:p>
    <w:p w14:paraId="53B2B687" w14:textId="0F0248B6" w:rsidR="00BC5A70" w:rsidRDefault="00BC5A70" w:rsidP="00BC5A70">
      <w:pPr>
        <w:ind w:left="360"/>
      </w:pPr>
    </w:p>
    <w:p w14:paraId="641B1CAC" w14:textId="7A3E8E90" w:rsidR="00BC5A70" w:rsidRPr="00F42573" w:rsidRDefault="00BC5A70" w:rsidP="00BC5A70">
      <w:pPr>
        <w:ind w:left="0"/>
      </w:pPr>
      <w:r>
        <w:t xml:space="preserve">DEQ received one comment from a member from the suction dredge mining community in Oregon asking for a variance </w:t>
      </w:r>
      <w:r w:rsidR="00B31C26">
        <w:t xml:space="preserve">to cover DEQ’s Suction Dredge Mining permit </w:t>
      </w:r>
      <w:r>
        <w:t xml:space="preserve">once the Commission adopts a revised variance authorization rule. DEQ has responded that variances are only needed for dischargers that have effluent limits for mercury that cannot be attained. DEQ’s suction dredge mining permit does not </w:t>
      </w:r>
      <w:r w:rsidR="003A6A22">
        <w:t xml:space="preserve">contain a numeric </w:t>
      </w:r>
      <w:r>
        <w:t>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23270CA7" w:rsidR="00F42573" w:rsidRDefault="00F42573" w:rsidP="00842188">
      <w:pPr>
        <w:ind w:left="0"/>
      </w:pPr>
      <w:r w:rsidRPr="00F42573">
        <w:t xml:space="preserve">DEQ received approximately </w:t>
      </w:r>
      <w:r w:rsidR="0074136B" w:rsidRPr="00F42573">
        <w:t>3</w:t>
      </w:r>
      <w:r w:rsidR="0074136B">
        <w:t>5</w:t>
      </w:r>
      <w:r w:rsidR="0074136B" w:rsidRPr="00F42573">
        <w:t xml:space="preserve"> </w:t>
      </w:r>
      <w:r w:rsidRPr="00F42573">
        <w:t>comments</w:t>
      </w:r>
      <w:r>
        <w:t xml:space="preserve"> on the proposed Willamette Basin Mercury Multiple Discharger Variance and associated supporting documentation</w:t>
      </w:r>
      <w:r w:rsidR="00B31C26">
        <w:t xml:space="preserve"> </w:t>
      </w:r>
      <w:r>
        <w:t>.</w:t>
      </w:r>
    </w:p>
    <w:p w14:paraId="3B300478" w14:textId="3D15D21B" w:rsidR="00F42573" w:rsidRDefault="00F42573" w:rsidP="00842188">
      <w:pPr>
        <w:ind w:left="0"/>
      </w:pPr>
    </w:p>
    <w:p w14:paraId="2E88A263" w14:textId="5BC1AE97" w:rsidR="00F42573" w:rsidRDefault="00F42573" w:rsidP="00F42573">
      <w:pPr>
        <w:ind w:left="0"/>
      </w:pPr>
      <w:r>
        <w:t xml:space="preserve">DEQ received a number of comments from EPA, including </w:t>
      </w:r>
      <w:r w:rsidR="003A6A22">
        <w:t xml:space="preserve">a request to provide </w:t>
      </w:r>
      <w:r>
        <w:t xml:space="preserve">additional support for the 20-year </w:t>
      </w:r>
      <w:r w:rsidR="003A6A22">
        <w:t xml:space="preserve">term of the </w:t>
      </w:r>
      <w:r>
        <w:t xml:space="preserve">variance and </w:t>
      </w:r>
      <w:r w:rsidR="006025A5">
        <w:t xml:space="preserve">to </w:t>
      </w:r>
      <w:r>
        <w:t xml:space="preserve">document overall state efforts to reduce </w:t>
      </w:r>
      <w:r w:rsidR="003A6A22">
        <w:t xml:space="preserve">human caused sources of </w:t>
      </w:r>
      <w:r>
        <w:t>mercury</w:t>
      </w:r>
      <w:r w:rsidR="006025A5">
        <w:t>,</w:t>
      </w:r>
      <w:r>
        <w:t xml:space="preserve"> including nonpoint source controls. DEQ has addressed these comments in revisions to its supporting documentation</w:t>
      </w:r>
      <w:r w:rsidR="00B31C26">
        <w:t xml:space="preserve"> and the proposed</w:t>
      </w:r>
      <w:r>
        <w:t>.</w:t>
      </w:r>
    </w:p>
    <w:p w14:paraId="12B32198" w14:textId="2ED4EF2F" w:rsidR="00F42573" w:rsidRDefault="00F42573" w:rsidP="00F42573">
      <w:pPr>
        <w:ind w:left="0"/>
      </w:pPr>
    </w:p>
    <w:p w14:paraId="39E8A016" w14:textId="0F28E64A" w:rsidR="00F42573" w:rsidRDefault="00F42573" w:rsidP="00F42573">
      <w:pPr>
        <w:ind w:left="0"/>
      </w:pPr>
      <w:r>
        <w:t xml:space="preserve">DEQ also received one comment suggesting that the proposed variance is a waterbody variance, not a discharger-specific variance, </w:t>
      </w:r>
      <w:r w:rsidR="006025A5">
        <w:t xml:space="preserve">because </w:t>
      </w:r>
      <w:r>
        <w:t>DEQ included eligibility criteria</w:t>
      </w:r>
      <w:r w:rsidR="00C3467B">
        <w:t xml:space="preserve"> for dischargers that wish to qualify for this variance</w:t>
      </w:r>
      <w:r>
        <w:t xml:space="preserve">. </w:t>
      </w:r>
      <w:r w:rsidR="00C3467B">
        <w:t>DEQ has clarified in response</w:t>
      </w:r>
      <w:r w:rsidR="006025A5">
        <w:t xml:space="preserve"> </w:t>
      </w:r>
      <w:r w:rsidR="00C3467B">
        <w:t>to</w:t>
      </w:r>
      <w:r w:rsidR="006025A5">
        <w:t xml:space="preserve"> this </w:t>
      </w:r>
      <w:r w:rsidR="00C3467B">
        <w:t>comment that it is proposing a multiple</w:t>
      </w:r>
      <w:r w:rsidR="00B31C26">
        <w:t xml:space="preserve"> </w:t>
      </w:r>
      <w:r w:rsidR="00C3467B">
        <w:t xml:space="preserve">discharger variance to ensure </w:t>
      </w:r>
      <w:r w:rsidR="00B31C26">
        <w:t>DEQ</w:t>
      </w:r>
      <w:r w:rsidR="00C3467B">
        <w:t xml:space="preserve"> has a means to issue permits to dischargers that cannot feasibly meet effluent limits based on the human health criterion for </w:t>
      </w:r>
      <w:r w:rsidR="007F174D">
        <w:t>methyl</w:t>
      </w:r>
      <w:r w:rsidR="00C3467B">
        <w:t xml:space="preserve">mercury. In order to address the comment, DEQ has included in the proposed rules </w:t>
      </w:r>
      <w:r w:rsidR="00B31C26">
        <w:t>the names of</w:t>
      </w:r>
      <w:r w:rsidR="00C3467B">
        <w:t xml:space="preserve"> dischargers that</w:t>
      </w:r>
      <w:r w:rsidR="007F174D">
        <w:t xml:space="preserve"> </w:t>
      </w:r>
      <w:r w:rsidR="00C3467B">
        <w:t>the variance</w:t>
      </w:r>
      <w:r w:rsidR="006025A5">
        <w:t xml:space="preserve"> applies to</w:t>
      </w:r>
      <w:r w:rsidR="00C3467B">
        <w:t xml:space="preserve">, </w:t>
      </w:r>
      <w:r w:rsidR="007F174D">
        <w:t xml:space="preserve">as well as additional dischargers that </w:t>
      </w:r>
      <w:r w:rsidR="006025A5">
        <w:t xml:space="preserve">the variance will apply to </w:t>
      </w:r>
      <w:r w:rsidR="007F174D">
        <w:t>if</w:t>
      </w:r>
      <w:r w:rsidR="00B31C26">
        <w:t>, during the duration of the variance,</w:t>
      </w:r>
      <w:r w:rsidR="007F174D">
        <w:t xml:space="preserve"> DEQ would otherwise </w:t>
      </w:r>
      <w:r w:rsidR="001D45E0">
        <w:t xml:space="preserve">need to </w:t>
      </w:r>
      <w:r w:rsidR="007F174D">
        <w:t xml:space="preserve">include water quality based effluent limits in their permits that are not </w:t>
      </w:r>
      <w:r w:rsidR="00B31C26">
        <w:t xml:space="preserve">feasible to </w:t>
      </w:r>
      <w:r w:rsidR="007F174D">
        <w:t>ach</w:t>
      </w:r>
      <w:r w:rsidR="00B31C26">
        <w:t>iev</w:t>
      </w:r>
      <w:r w:rsidR="007F174D">
        <w:t>e</w:t>
      </w:r>
      <w:r w:rsidR="00C3467B">
        <w:t xml:space="preserve">. </w:t>
      </w:r>
    </w:p>
    <w:p w14:paraId="01BFBC23" w14:textId="612D1648" w:rsidR="00C3467B" w:rsidRDefault="00C3467B" w:rsidP="00F42573">
      <w:pPr>
        <w:ind w:left="0"/>
      </w:pPr>
    </w:p>
    <w:p w14:paraId="19BCB5C7" w14:textId="6ECD38DE" w:rsidR="00C3467B" w:rsidRDefault="00C3467B" w:rsidP="00F42573">
      <w:pPr>
        <w:ind w:left="0"/>
      </w:pPr>
      <w:r>
        <w:t>DEQ received comments requesting that it modify documentation</w:t>
      </w:r>
      <w:r w:rsidR="0074136B">
        <w:t xml:space="preserve"> supporting the MDV</w:t>
      </w:r>
      <w:r>
        <w:t>,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79DE07F0" w:rsidR="00BC5A70" w:rsidRDefault="00BC5A70" w:rsidP="00F42573">
      <w:pPr>
        <w:ind w:left="0"/>
      </w:pPr>
      <w:r>
        <w:lastRenderedPageBreak/>
        <w:t>DEQ received some comments regarding how the variance will be implemented in permits</w:t>
      </w:r>
      <w:r w:rsidR="001D45E0">
        <w:t>,</w:t>
      </w:r>
      <w:r>
        <w:t xml:space="preserve"> including comments regarding required elements for a pollutant minimization plan. DEQ considered these comments</w:t>
      </w:r>
      <w:r w:rsidR="007F174D">
        <w:t xml:space="preserve"> and made some changes in response</w:t>
      </w:r>
      <w:r>
        <w:t>.</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31BFEDD6" w:rsidR="006F6D85" w:rsidRDefault="006F6D85" w:rsidP="006F6D85">
      <w:pPr>
        <w:ind w:left="0"/>
      </w:pPr>
      <w:r>
        <w:t xml:space="preserve">The primary impact of the proposed </w:t>
      </w:r>
      <w:r w:rsidR="00B31C26">
        <w:t xml:space="preserve">MDV </w:t>
      </w:r>
      <w:r>
        <w:t>rule is to make the process of obtaining a variance for wastewater dischargers in the basin efficient. Without the MDV, each individual discharger that would otherwise have unattainable water quality based effluent limits for mercury</w:t>
      </w:r>
      <w:r w:rsidR="00872DB7">
        <w:t xml:space="preserve"> in their permit,</w:t>
      </w:r>
      <w:r>
        <w:t xml:space="preserve"> would have to apply for an individual variance</w:t>
      </w:r>
      <w:r w:rsidR="00872DB7">
        <w:t>. The MDV creates efficiency because</w:t>
      </w:r>
      <w:r>
        <w:t xml:space="preserve"> the justification </w:t>
      </w:r>
      <w:r w:rsidR="00872DB7">
        <w:t xml:space="preserve">and the highest attainable condition </w:t>
      </w:r>
      <w:r>
        <w:t xml:space="preserve">for each variance is similar across all permittees. Individual variances would be resource intensive for the permit holder, DEQ staff, and the U.S. Environmental Protection Agency, which must approve each individual variance. By developing an MDV, DEQ </w:t>
      </w:r>
      <w:r w:rsidR="00872DB7">
        <w:t>may</w:t>
      </w:r>
      <w:r>
        <w:t xml:space="preserve">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t>
      </w:r>
      <w:r>
        <w:lastRenderedPageBreak/>
        <w:t>which must be conducted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4025EE"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4025EE"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 xml:space="preserve">Tetra Tech, 2019. Mercury TMDL Development for the Willamette River Basin (Oregon) – Technical Support Document (Public Review Draft). Prepared for Oregon Department of </w:t>
            </w:r>
            <w:r>
              <w:rPr>
                <w:noProof/>
              </w:rPr>
              <w:lastRenderedPageBreak/>
              <w:t>Environmental Quality and U.S. EPA Region 10. 162 pp.</w:t>
            </w:r>
          </w:p>
        </w:tc>
        <w:tc>
          <w:tcPr>
            <w:tcW w:w="4500" w:type="dxa"/>
          </w:tcPr>
          <w:p w14:paraId="00888D11" w14:textId="77777777" w:rsidR="00450A46" w:rsidRPr="00364BC1" w:rsidRDefault="004025EE"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4025EE"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4025EE"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4025EE"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U.S. Environmental Protection 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4025EE"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4025EE"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4025EE"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 xml:space="preserve">California EPA, Regional Water Quality Control Board, Central Valley Region. </w:t>
            </w:r>
            <w:r w:rsidRPr="001302BD">
              <w:lastRenderedPageBreak/>
              <w:t>2010. Staff Report: A Review of Methylmercury and Inorganic Mercury Discharges from NPDES Facilities in California’s Central Valley.</w:t>
            </w:r>
          </w:p>
        </w:tc>
        <w:tc>
          <w:tcPr>
            <w:tcW w:w="4500" w:type="dxa"/>
          </w:tcPr>
          <w:p w14:paraId="7892B669" w14:textId="77777777" w:rsidR="00450A46" w:rsidRPr="001302BD" w:rsidRDefault="004025EE"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w:t>
              </w:r>
              <w:r w:rsidR="00450A46" w:rsidRPr="001302BD">
                <w:rPr>
                  <w:rStyle w:val="Hyperlink"/>
                  <w:rFonts w:ascii="Times New Roman" w:hAnsi="Times New Roman" w:cs="Times New Roman"/>
                  <w:sz w:val="24"/>
                  <w:szCs w:val="24"/>
                </w:rPr>
                <w:lastRenderedPageBreak/>
                <w: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lastRenderedPageBreak/>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4025EE"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4025EE"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4025EE"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4025EE"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4025EE"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 xml:space="preserve">Oregon Department of Environmental Quality, 2010. Internal Management Directive: Implementation of </w:t>
            </w:r>
            <w:r w:rsidRPr="001302BD">
              <w:lastRenderedPageBreak/>
              <w:t>Methylmercury Criterion in NPDES Permits.</w:t>
            </w:r>
          </w:p>
        </w:tc>
        <w:tc>
          <w:tcPr>
            <w:tcW w:w="4500" w:type="dxa"/>
          </w:tcPr>
          <w:p w14:paraId="248B6905" w14:textId="77777777" w:rsidR="00450A46" w:rsidRPr="001302BD" w:rsidRDefault="004025EE"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 xml:space="preserve">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w:t>
      </w:r>
      <w:r>
        <w:lastRenderedPageBreak/>
        <w:t>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 xml:space="preserve">The proposed rules will have a positive impact on local government, as compared to not having the rules in place. The proposed rules will ensure that local governments operating </w:t>
      </w:r>
      <w:r>
        <w:rPr>
          <w:bCs/>
          <w:color w:val="000000"/>
        </w:rPr>
        <w:lastRenderedPageBreak/>
        <w:t>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 xml:space="preserve">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w:t>
      </w:r>
      <w:r>
        <w:rPr>
          <w:bCs/>
          <w:color w:val="000000"/>
        </w:rPr>
        <w:lastRenderedPageBreak/>
        <w:t>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r>
        <w:t>electronics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lastRenderedPageBreak/>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721811" w:rsidRPr="001A4DE1" w:rsidRDefault="0072181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721811" w:rsidRDefault="0072181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lastRenderedPageBreak/>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lastRenderedPageBreak/>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 xml:space="preserve">During the public comment period, DEQ requested public comment on whether to consider other options for achieving the rules’ substantive goals while reducing the rules’ negative </w:t>
      </w:r>
      <w:r w:rsidRPr="00F51795">
        <w:rPr>
          <w:color w:val="000000" w:themeColor="text1"/>
        </w:rPr>
        <w:lastRenderedPageBreak/>
        <w:t>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lastRenderedPageBreak/>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lastRenderedPageBreak/>
              <w:t>DEQ’s rationale for removing the language pertaining to unreasonable risks to human health is disingenuous. The justification states that, “variances are intended to reduce pollutant loads over time, decreasing any potential risk to human healthThe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lastRenderedPageBreak/>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w:t>
            </w:r>
            <w:r w:rsidRPr="00A72EFF">
              <w:rPr>
                <w:sz w:val="22"/>
                <w:szCs w:val="22"/>
              </w:rPr>
              <w:lastRenderedPageBreak/>
              <w:t xml:space="preserve">timeline, the variance will no longer be the applicable water quality standard until DEQ completes the re-evaluation and submits it to EPA." </w:t>
            </w:r>
            <w:r w:rsidRPr="009A1C32">
              <w:rPr>
                <w:sz w:val="22"/>
                <w:szCs w:val="22"/>
              </w:rPr>
              <w:t>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lastRenderedPageBreak/>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lastRenderedPageBreak/>
              <w:t>DEQ should include in this rule, or commit to establishing guidance, on what constitutes sufficiency for purposes of rule (4)(a)(D).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lastRenderedPageBreak/>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r w:rsidRPr="00E611F1">
              <w:rPr>
                <w:sz w:val="22"/>
                <w:szCs w:val="22"/>
              </w:rPr>
              <w:t xml:space="preserve">a PMP is not adopted in a variance so it would be better to express this permit element as requiring incorporation of the PMP into the </w:t>
            </w:r>
            <w:r w:rsidRPr="00E611F1">
              <w:rPr>
                <w:sz w:val="22"/>
                <w:szCs w:val="22"/>
              </w:rPr>
              <w:lastRenderedPageBreak/>
              <w:t>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lastRenderedPageBreak/>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t>The annual report required in section (6)(d)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lastRenderedPageBreak/>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lastRenderedPageBreak/>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t>DEQ should include the required finding in 340-04</w:t>
            </w:r>
            <w:r>
              <w:rPr>
                <w:sz w:val="22"/>
                <w:szCs w:val="22"/>
              </w:rPr>
              <w:t>1-0345(6)(</w:t>
            </w:r>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lastRenderedPageBreak/>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lastRenderedPageBreak/>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r w:rsidRPr="00EF16D8">
              <w:rPr>
                <w:rFonts w:eastAsiaTheme="minorHAnsi"/>
                <w:sz w:val="22"/>
                <w:szCs w:val="22"/>
              </w:rPr>
              <w:t xml:space="preserve">at (C) and (D), and outreach to such dischargers, </w:t>
            </w:r>
            <w:r w:rsidRPr="00EF16D8">
              <w:rPr>
                <w:rFonts w:eastAsiaTheme="minorHAnsi"/>
                <w:i/>
                <w:iCs/>
                <w:sz w:val="22"/>
                <w:szCs w:val="22"/>
              </w:rPr>
              <w:t>id</w:t>
            </w:r>
            <w:r w:rsidRPr="00EF16D8">
              <w:rPr>
                <w:rFonts w:eastAsiaTheme="minorHAnsi"/>
                <w:sz w:val="22"/>
                <w:szCs w:val="22"/>
              </w:rPr>
              <w:t>. at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 xml:space="preserve">data being needed by </w:t>
            </w:r>
            <w:r w:rsidRPr="00EF16D8">
              <w:rPr>
                <w:rFonts w:eastAsiaTheme="minorHAnsi"/>
                <w:sz w:val="22"/>
                <w:szCs w:val="22"/>
              </w:rPr>
              <w:lastRenderedPageBreak/>
              <w:t>DEQ to conduct the reevaluation required in (6)(i)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lastRenderedPageBreak/>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r w:rsidRPr="00E611F1">
              <w:rPr>
                <w:sz w:val="22"/>
                <w:szCs w:val="22"/>
              </w:rPr>
              <w:t>suggests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340-041-0345(6)(i)</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340-041-0345(6)(i)</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340-041-0345(6)(i)</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40-041-0345(6)(i)(C)(ii)</w:t>
            </w:r>
          </w:p>
          <w:p w14:paraId="3211B6FC" w14:textId="3B587871" w:rsidR="002F12D5" w:rsidRPr="00E611F1" w:rsidRDefault="002F12D5" w:rsidP="002F12D5">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lastRenderedPageBreak/>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r w:rsidRPr="00E611F1">
              <w:rPr>
                <w:sz w:val="22"/>
                <w:szCs w:val="22"/>
              </w:rPr>
              <w:t>recommends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etc)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p w14:paraId="7747117A" w14:textId="12F16C69" w:rsidR="004D6736" w:rsidRPr="00DD02CB" w:rsidRDefault="004D6736" w:rsidP="004D6736">
      <w:pPr>
        <w:ind w:left="0" w:right="630"/>
        <w:rPr>
          <w:bCs/>
          <w:color w:val="000000" w:themeColor="text1"/>
          <w:sz w:val="22"/>
          <w:szCs w:val="22"/>
        </w:rPr>
      </w:pPr>
    </w:p>
    <w:p w14:paraId="52D8A387" w14:textId="720A29F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w:t>
      </w:r>
      <w:r w:rsidR="003C0EEA">
        <w:rPr>
          <w:bCs/>
          <w:color w:val="000000" w:themeColor="text1"/>
          <w:sz w:val="22"/>
          <w:szCs w:val="22"/>
        </w:rPr>
        <w:t xml:space="preserve">proposed </w:t>
      </w:r>
      <w:r w:rsidR="00F008EF">
        <w:rPr>
          <w:bCs/>
          <w:color w:val="000000" w:themeColor="text1"/>
          <w:sz w:val="22"/>
          <w:szCs w:val="22"/>
        </w:rPr>
        <w:t>multiple discharger variance of the human health criterion for methylmercury is a discharger-specific variance</w:t>
      </w:r>
      <w:r w:rsidR="003C0EEA">
        <w:rPr>
          <w:bCs/>
          <w:color w:val="000000" w:themeColor="text1"/>
          <w:sz w:val="22"/>
          <w:szCs w:val="22"/>
        </w:rPr>
        <w:t xml:space="preserve"> as allowed by </w:t>
      </w:r>
      <w:r w:rsidR="003C0EEA" w:rsidRPr="00DD02CB">
        <w:rPr>
          <w:rFonts w:eastAsiaTheme="minorHAnsi"/>
          <w:sz w:val="22"/>
          <w:szCs w:val="22"/>
        </w:rPr>
        <w:t>40 CFR 131.14(b)(ii)(A)</w:t>
      </w:r>
      <w:r w:rsidR="00F008EF">
        <w:rPr>
          <w:bCs/>
          <w:color w:val="000000" w:themeColor="text1"/>
          <w:sz w:val="22"/>
          <w:szCs w:val="22"/>
        </w:rPr>
        <w:t xml:space="preserve">, not a waterbody variance. At EPA’s request, DEQ has </w:t>
      </w:r>
      <w:r w:rsidR="009F1CFB">
        <w:rPr>
          <w:bCs/>
          <w:color w:val="000000" w:themeColor="text1"/>
          <w:sz w:val="22"/>
          <w:szCs w:val="22"/>
        </w:rPr>
        <w:t xml:space="preserve">listed </w:t>
      </w:r>
      <w:r w:rsidR="001E741B">
        <w:rPr>
          <w:bCs/>
          <w:color w:val="000000" w:themeColor="text1"/>
          <w:sz w:val="22"/>
          <w:szCs w:val="22"/>
        </w:rPr>
        <w:t xml:space="preserve">in </w:t>
      </w:r>
      <w:r w:rsidR="009F1CFB">
        <w:rPr>
          <w:bCs/>
          <w:color w:val="000000" w:themeColor="text1"/>
          <w:sz w:val="22"/>
          <w:szCs w:val="22"/>
        </w:rPr>
        <w:t xml:space="preserve">the rule and </w:t>
      </w:r>
      <w:r w:rsidR="001E741B">
        <w:rPr>
          <w:bCs/>
          <w:color w:val="000000" w:themeColor="text1"/>
          <w:sz w:val="22"/>
          <w:szCs w:val="22"/>
        </w:rPr>
        <w:t>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in order to</w:t>
      </w:r>
      <w:r w:rsidR="00F352DC">
        <w:rPr>
          <w:bCs/>
          <w:color w:val="000000" w:themeColor="text1"/>
          <w:sz w:val="22"/>
          <w:szCs w:val="22"/>
        </w:rPr>
        <w:t xml:space="preserve"> 1)</w:t>
      </w:r>
      <w:r w:rsidR="001E741B">
        <w:rPr>
          <w:bCs/>
          <w:color w:val="000000" w:themeColor="text1"/>
          <w:sz w:val="22"/>
          <w:szCs w:val="22"/>
        </w:rPr>
        <w:t xml:space="preserve"> justify the </w:t>
      </w:r>
      <w:r w:rsidR="00F352DC">
        <w:rPr>
          <w:bCs/>
          <w:color w:val="000000" w:themeColor="text1"/>
          <w:sz w:val="22"/>
          <w:szCs w:val="22"/>
        </w:rPr>
        <w:t xml:space="preserve">need for the </w:t>
      </w:r>
      <w:r w:rsidR="001E741B">
        <w:rPr>
          <w:bCs/>
          <w:color w:val="000000" w:themeColor="text1"/>
          <w:sz w:val="22"/>
          <w:szCs w:val="22"/>
        </w:rPr>
        <w:t>variance</w:t>
      </w:r>
      <w:r w:rsidR="00A77661">
        <w:rPr>
          <w:bCs/>
          <w:color w:val="000000" w:themeColor="text1"/>
          <w:sz w:val="22"/>
          <w:szCs w:val="22"/>
        </w:rPr>
        <w:t xml:space="preserve"> using factor 3</w:t>
      </w:r>
      <w:r w:rsidR="00F352DC">
        <w:rPr>
          <w:bCs/>
          <w:color w:val="000000" w:themeColor="text1"/>
          <w:sz w:val="22"/>
          <w:szCs w:val="22"/>
        </w:rPr>
        <w:t>,</w:t>
      </w:r>
      <w:r w:rsidR="001E741B">
        <w:rPr>
          <w:bCs/>
          <w:color w:val="000000" w:themeColor="text1"/>
          <w:sz w:val="22"/>
          <w:szCs w:val="22"/>
        </w:rPr>
        <w:t xml:space="preserve"> </w:t>
      </w:r>
      <w:r w:rsidR="00F352DC">
        <w:rPr>
          <w:bCs/>
          <w:color w:val="000000" w:themeColor="text1"/>
          <w:sz w:val="22"/>
          <w:szCs w:val="22"/>
        </w:rPr>
        <w:t xml:space="preserve">because even with these actions it is not feasible to attain the standard within the term of the variance, and 2) </w:t>
      </w:r>
      <w:r w:rsidR="001E741B">
        <w:rPr>
          <w:bCs/>
          <w:color w:val="000000" w:themeColor="text1"/>
          <w:sz w:val="22"/>
          <w:szCs w:val="22"/>
        </w:rPr>
        <w:t>the 20-year term of the variance</w:t>
      </w:r>
      <w:r w:rsidR="00F352DC">
        <w:rPr>
          <w:bCs/>
          <w:color w:val="000000" w:themeColor="text1"/>
          <w:sz w:val="22"/>
          <w:szCs w:val="22"/>
        </w:rPr>
        <w:t xml:space="preserve">, because it will take at least 20 years and </w:t>
      </w:r>
      <w:r w:rsidR="00A77661">
        <w:rPr>
          <w:bCs/>
          <w:color w:val="000000" w:themeColor="text1"/>
          <w:sz w:val="22"/>
          <w:szCs w:val="22"/>
        </w:rPr>
        <w:t>is expected to take</w:t>
      </w:r>
      <w:r w:rsidR="00F352DC">
        <w:rPr>
          <w:bCs/>
          <w:color w:val="000000" w:themeColor="text1"/>
          <w:sz w:val="22"/>
          <w:szCs w:val="22"/>
        </w:rPr>
        <w:t xml:space="preserve"> much longer, to attain the </w:t>
      </w:r>
      <w:r w:rsidR="00794D8D">
        <w:rPr>
          <w:bCs/>
          <w:color w:val="000000" w:themeColor="text1"/>
          <w:sz w:val="22"/>
          <w:szCs w:val="22"/>
        </w:rPr>
        <w:t>water quality standard</w:t>
      </w:r>
      <w:r w:rsidR="001E741B">
        <w:rPr>
          <w:bCs/>
          <w:color w:val="000000" w:themeColor="text1"/>
          <w:sz w:val="22"/>
          <w:szCs w:val="22"/>
        </w:rPr>
        <w:t xml:space="preserve">. </w:t>
      </w:r>
      <w:r w:rsidR="00F008EF">
        <w:rPr>
          <w:bCs/>
          <w:color w:val="000000" w:themeColor="text1"/>
          <w:sz w:val="22"/>
          <w:szCs w:val="22"/>
        </w:rPr>
        <w:t xml:space="preserve"> </w:t>
      </w:r>
    </w:p>
    <w:p w14:paraId="25709A94" w14:textId="30AA654D" w:rsidR="00F008EF" w:rsidRDefault="00F008EF" w:rsidP="004D6736">
      <w:pPr>
        <w:ind w:left="0" w:right="630"/>
        <w:rPr>
          <w:bCs/>
          <w:color w:val="000000" w:themeColor="text1"/>
          <w:sz w:val="22"/>
          <w:szCs w:val="22"/>
        </w:rPr>
      </w:pPr>
    </w:p>
    <w:p w14:paraId="13FD0022" w14:textId="68B0F90D" w:rsidR="00F008EF" w:rsidRPr="00DD02CB"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F352DC">
        <w:rPr>
          <w:bCs/>
          <w:color w:val="000000" w:themeColor="text1"/>
          <w:sz w:val="22"/>
          <w:szCs w:val="22"/>
        </w:rPr>
        <w:t xml:space="preserve">to the rule language </w:t>
      </w:r>
      <w:r>
        <w:rPr>
          <w:bCs/>
          <w:color w:val="000000" w:themeColor="text1"/>
          <w:sz w:val="22"/>
          <w:szCs w:val="22"/>
        </w:rPr>
        <w:t>in response to this comment.</w:t>
      </w:r>
      <w:r w:rsidR="00F352DC">
        <w:rPr>
          <w:bCs/>
          <w:color w:val="000000" w:themeColor="text1"/>
          <w:sz w:val="22"/>
          <w:szCs w:val="22"/>
        </w:rPr>
        <w:t xml:space="preserve"> DEQ did make changes to the MDV Support Document to clarify this point.</w:t>
      </w:r>
    </w:p>
    <w:p w14:paraId="157957F4" w14:textId="77777777" w:rsidR="004D6736" w:rsidRPr="00DD02CB" w:rsidRDefault="004D6736" w:rsidP="004D6736">
      <w:pPr>
        <w:ind w:left="0" w:right="630"/>
        <w:rPr>
          <w:bCs/>
          <w:color w:val="000000" w:themeColor="text1"/>
          <w:sz w:val="22"/>
          <w:szCs w:val="22"/>
        </w:rPr>
      </w:pPr>
    </w:p>
    <w:p w14:paraId="6CD4AADD" w14:textId="0BB82C6B"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w:t>
      </w:r>
      <w:r w:rsidR="0068472A">
        <w:rPr>
          <w:color w:val="000000"/>
          <w:sz w:val="22"/>
          <w:szCs w:val="22"/>
        </w:rPr>
        <w:t>r</w:t>
      </w:r>
      <w:r w:rsidR="00D015C5" w:rsidRPr="00DD02CB">
        <w:rPr>
          <w:color w:val="000000"/>
          <w:sz w:val="22"/>
          <w:szCs w:val="22"/>
        </w:rPr>
        <w:t xml:space="preserve"> 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4A7158A2"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2C5FDD">
        <w:rPr>
          <w:color w:val="000000"/>
          <w:sz w:val="22"/>
          <w:szCs w:val="22"/>
        </w:rPr>
        <w:t>D</w:t>
      </w:r>
      <w:r w:rsidR="00A44F76" w:rsidRPr="00DD02CB">
        <w:rPr>
          <w:color w:val="000000"/>
          <w:sz w:val="22"/>
          <w:szCs w:val="22"/>
        </w:rPr>
        <w:t xml:space="preserve">EQ is </w:t>
      </w:r>
      <w:r w:rsidR="00253A14">
        <w:rPr>
          <w:color w:val="000000"/>
          <w:sz w:val="22"/>
          <w:szCs w:val="22"/>
        </w:rPr>
        <w:t>propos</w:t>
      </w:r>
      <w:r w:rsidR="00A44F76" w:rsidRPr="00DD02CB">
        <w:rPr>
          <w:color w:val="000000"/>
          <w:sz w:val="22"/>
          <w:szCs w:val="22"/>
        </w:rPr>
        <w:t>ing a multiple discharger variance, not a waterbody variance.</w:t>
      </w:r>
      <w:r w:rsidR="002C5FDD">
        <w:rPr>
          <w:color w:val="000000"/>
          <w:sz w:val="22"/>
          <w:szCs w:val="22"/>
        </w:rPr>
        <w:t xml:space="preserve"> </w:t>
      </w:r>
      <w:r w:rsidR="00A44F76" w:rsidRPr="00DD02CB">
        <w:rPr>
          <w:color w:val="000000"/>
          <w:sz w:val="22"/>
          <w:szCs w:val="22"/>
        </w:rPr>
        <w:t xml:space="preserve">The purpose of </w:t>
      </w:r>
      <w:r w:rsidR="00253A14">
        <w:rPr>
          <w:color w:val="000000"/>
          <w:sz w:val="22"/>
          <w:szCs w:val="22"/>
        </w:rPr>
        <w:t>this MDV</w:t>
      </w:r>
      <w:r w:rsidR="00A44F76" w:rsidRPr="00DD02CB">
        <w:rPr>
          <w:color w:val="000000"/>
          <w:sz w:val="22"/>
          <w:szCs w:val="22"/>
        </w:rPr>
        <w:t xml:space="preserve"> is to issue NPDES permits for dischargers that cannot feasibly meet effluent limits for mercury based on the human health criterion for methyl-mercury, while ensuring that mercury levels from these dischargers decrease. </w:t>
      </w:r>
      <w:r w:rsidR="00DC5FF4">
        <w:rPr>
          <w:color w:val="000000"/>
          <w:sz w:val="22"/>
          <w:szCs w:val="22"/>
        </w:rPr>
        <w:t>An MDV is an appropriate CWA</w:t>
      </w:r>
      <w:r w:rsidR="00A77661">
        <w:rPr>
          <w:color w:val="000000"/>
          <w:sz w:val="22"/>
          <w:szCs w:val="22"/>
        </w:rPr>
        <w:t xml:space="preserve"> tool for this purpose and has been used by several other states for many years. </w:t>
      </w:r>
      <w:r w:rsidR="00D67EF5">
        <w:rPr>
          <w:color w:val="000000"/>
          <w:sz w:val="22"/>
          <w:szCs w:val="22"/>
        </w:rPr>
        <w:t xml:space="preserve">DEQ continues to address nonpoint sources of mercury through implementation of any </w:t>
      </w:r>
      <w:r w:rsidR="00AF6E2F">
        <w:rPr>
          <w:color w:val="000000"/>
          <w:sz w:val="22"/>
          <w:szCs w:val="22"/>
        </w:rPr>
        <w:t>effective</w:t>
      </w:r>
      <w:r w:rsidR="00D67EF5">
        <w:rPr>
          <w:color w:val="000000"/>
          <w:sz w:val="22"/>
          <w:szCs w:val="22"/>
        </w:rPr>
        <w:t xml:space="preserve"> </w:t>
      </w:r>
      <w:r w:rsidR="00DC5FF4">
        <w:rPr>
          <w:color w:val="000000"/>
          <w:sz w:val="22"/>
          <w:szCs w:val="22"/>
        </w:rPr>
        <w:t xml:space="preserve">TMDL </w:t>
      </w:r>
      <w:r w:rsidR="00D67EF5">
        <w:rPr>
          <w:color w:val="000000"/>
          <w:sz w:val="22"/>
          <w:szCs w:val="22"/>
        </w:rPr>
        <w:t xml:space="preserve">and associated water quality management plan.  </w:t>
      </w:r>
      <w:r w:rsidR="00AF6E2F">
        <w:rPr>
          <w:color w:val="000000"/>
          <w:sz w:val="22"/>
          <w:szCs w:val="22"/>
        </w:rPr>
        <w:t>The</w:t>
      </w:r>
      <w:r w:rsidR="00715F63">
        <w:rPr>
          <w:color w:val="000000"/>
          <w:sz w:val="22"/>
          <w:szCs w:val="22"/>
        </w:rPr>
        <w:t>se are appropriate tools to remedy sources of mercury other than point sources to make progress toward the water quality standard.</w:t>
      </w:r>
    </w:p>
    <w:p w14:paraId="497106E1" w14:textId="1A3F2318" w:rsidR="004D6736" w:rsidRDefault="004D6736" w:rsidP="004D6736">
      <w:pPr>
        <w:ind w:left="0" w:right="630"/>
        <w:rPr>
          <w:bCs/>
          <w:color w:val="000000" w:themeColor="text1"/>
          <w:sz w:val="22"/>
          <w:szCs w:val="22"/>
        </w:rPr>
      </w:pPr>
    </w:p>
    <w:p w14:paraId="0331FF9A" w14:textId="7B320BB1" w:rsidR="00F008EF"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794D8D">
        <w:rPr>
          <w:bCs/>
          <w:color w:val="000000" w:themeColor="text1"/>
          <w:sz w:val="22"/>
          <w:szCs w:val="22"/>
        </w:rPr>
        <w:t xml:space="preserve">to the rule language </w:t>
      </w:r>
      <w:r>
        <w:rPr>
          <w:bCs/>
          <w:color w:val="000000" w:themeColor="text1"/>
          <w:sz w:val="22"/>
          <w:szCs w:val="22"/>
        </w:rPr>
        <w:t>in response to this comment.</w:t>
      </w:r>
      <w:r w:rsidR="00794D8D">
        <w:rPr>
          <w:bCs/>
          <w:color w:val="000000" w:themeColor="text1"/>
          <w:sz w:val="22"/>
          <w:szCs w:val="22"/>
        </w:rPr>
        <w:t xml:space="preserve"> DEQ did make changes to the MDV Support Document to clarify this point.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17329AF1" w14:textId="3CD63B45" w:rsidR="00987750" w:rsidRPr="00DD02CB" w:rsidRDefault="004D6736" w:rsidP="00987750">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w:t>
      </w:r>
      <w:r w:rsidR="00A77661">
        <w:rPr>
          <w:bCs/>
          <w:color w:val="000000" w:themeColor="text1"/>
          <w:sz w:val="22"/>
          <w:szCs w:val="22"/>
        </w:rPr>
        <w:t>limits and requirements</w:t>
      </w:r>
      <w:r w:rsidR="00F008EF">
        <w:rPr>
          <w:bCs/>
          <w:color w:val="000000" w:themeColor="text1"/>
          <w:sz w:val="22"/>
          <w:szCs w:val="22"/>
        </w:rPr>
        <w:t>. A variance does not change the underlying water quality standard for purposes of assessment and development of TMDLs.</w:t>
      </w:r>
      <w:r w:rsidR="00110693">
        <w:rPr>
          <w:bCs/>
          <w:color w:val="000000" w:themeColor="text1"/>
          <w:sz w:val="22"/>
          <w:szCs w:val="22"/>
        </w:rPr>
        <w:t xml:space="preserve"> However, the commenter </w:t>
      </w:r>
      <w:r w:rsidR="00110693" w:rsidRPr="0093685A">
        <w:rPr>
          <w:bCs/>
          <w:color w:val="000000" w:themeColor="text1"/>
          <w:sz w:val="22"/>
          <w:szCs w:val="22"/>
        </w:rPr>
        <w:t>is correct</w:t>
      </w:r>
      <w:r w:rsidR="00110693">
        <w:rPr>
          <w:bCs/>
          <w:color w:val="000000" w:themeColor="text1"/>
          <w:sz w:val="22"/>
          <w:szCs w:val="22"/>
        </w:rPr>
        <w:t>;</w:t>
      </w:r>
      <w:r w:rsidR="00110693">
        <w:rPr>
          <w:b/>
          <w:bCs/>
          <w:color w:val="000000" w:themeColor="text1"/>
          <w:sz w:val="22"/>
          <w:szCs w:val="22"/>
        </w:rPr>
        <w:t xml:space="preserve"> </w:t>
      </w:r>
      <w:r w:rsidR="00110693">
        <w:rPr>
          <w:bCs/>
          <w:color w:val="000000" w:themeColor="text1"/>
          <w:sz w:val="22"/>
          <w:szCs w:val="22"/>
        </w:rPr>
        <w:t xml:space="preserve">if a discharger has a variance, the permit conditions are based on the variance, not the underlying standard or TMDL waste load </w:t>
      </w:r>
      <w:r w:rsidR="00A404F0">
        <w:rPr>
          <w:bCs/>
          <w:color w:val="000000" w:themeColor="text1"/>
          <w:sz w:val="22"/>
          <w:szCs w:val="22"/>
        </w:rPr>
        <w:t>allocations. DEQ</w:t>
      </w:r>
      <w:r w:rsidR="00987750">
        <w:rPr>
          <w:bCs/>
          <w:color w:val="000000" w:themeColor="text1"/>
          <w:sz w:val="22"/>
          <w:szCs w:val="22"/>
        </w:rPr>
        <w:t xml:space="preserve">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35CC0EA5"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 xml:space="preserve">This rulemaking grants a multiple discharger variance to individual wastewater dischargers covered under the NPDES program. Variances are only necessary for such dischargers, which would otherwise have </w:t>
      </w:r>
      <w:r w:rsidR="00D25A31">
        <w:rPr>
          <w:bCs/>
          <w:sz w:val="22"/>
          <w:szCs w:val="22"/>
        </w:rPr>
        <w:t xml:space="preserve">numeric water quality based </w:t>
      </w:r>
      <w:r w:rsidRPr="00DD02CB">
        <w:rPr>
          <w:bCs/>
          <w:sz w:val="22"/>
          <w:szCs w:val="22"/>
        </w:rPr>
        <w:t>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NWPPA has consistently advocated for and supported “implementation tools” for facilities holding National Pollution Discharge Elimination System water permits – issued 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343FB1C1" w14:textId="3594E8E2" w:rsidR="007E438C" w:rsidRPr="00DD02CB" w:rsidRDefault="004D6736" w:rsidP="00AF21CF">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has revised the rationale for the 20-year term in its support documentation 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0628A5F2"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w:t>
      </w:r>
      <w:r w:rsidR="007B1D3B">
        <w:rPr>
          <w:rFonts w:eastAsiaTheme="minorHAnsi"/>
          <w:sz w:val="22"/>
          <w:szCs w:val="22"/>
        </w:rPr>
        <w:t>in</w:t>
      </w:r>
      <w:r w:rsidR="007B1D3B" w:rsidRPr="00DD02CB">
        <w:rPr>
          <w:rFonts w:eastAsiaTheme="minorHAnsi"/>
          <w:sz w:val="22"/>
          <w:szCs w:val="22"/>
        </w:rPr>
        <w:t xml:space="preserve"> </w:t>
      </w:r>
      <w:r w:rsidR="00D015C5" w:rsidRPr="00DD02CB">
        <w:rPr>
          <w:rFonts w:eastAsiaTheme="minorHAnsi"/>
          <w:sz w:val="22"/>
          <w:szCs w:val="22"/>
        </w:rPr>
        <w:t>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3727D25F"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r w:rsidR="00C92E0B">
        <w:rPr>
          <w:rFonts w:eastAsiaTheme="minorHAnsi"/>
          <w:sz w:val="22"/>
          <w:szCs w:val="22"/>
        </w:rPr>
        <w:t>.</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1E0CAB2F"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404F0" w:rsidRPr="003C6D8B">
        <w:rPr>
          <w:bCs/>
          <w:color w:val="000000" w:themeColor="text1"/>
        </w:rPr>
        <w:t xml:space="preserve">DEQ closes the comment period at 4 p.m. because DEQ staff </w:t>
      </w:r>
      <w:r w:rsidR="00AD27C1">
        <w:rPr>
          <w:bCs/>
          <w:color w:val="000000" w:themeColor="text1"/>
        </w:rPr>
        <w:t xml:space="preserve">members must </w:t>
      </w:r>
      <w:r w:rsidR="00AD27C1" w:rsidRPr="00AD27C1">
        <w:rPr>
          <w:bCs/>
          <w:color w:val="000000" w:themeColor="text1"/>
        </w:rPr>
        <w:t>manually close the comment</w:t>
      </w:r>
      <w:r w:rsidR="00AD27C1">
        <w:rPr>
          <w:bCs/>
          <w:color w:val="000000" w:themeColor="text1"/>
        </w:rPr>
        <w:t xml:space="preserve"> system</w:t>
      </w:r>
      <w:r w:rsidR="00A404F0" w:rsidRPr="003C6D8B">
        <w:rPr>
          <w:bCs/>
          <w:color w:val="000000" w:themeColor="text1"/>
        </w:rPr>
        <w:t xml:space="preserve">. </w:t>
      </w:r>
      <w:r w:rsidR="00A404F0" w:rsidRPr="003C6D8B">
        <w:rPr>
          <w:bCs/>
        </w:rPr>
        <w:t xml:space="preserve">Closing the comment period at 4 p.m. ensures that </w:t>
      </w:r>
      <w:r w:rsidR="00A404F0" w:rsidRPr="003C6D8B">
        <w:t>DEQ can always close the comment period without staffing issues.</w:t>
      </w:r>
      <w:r w:rsidR="00AD27C1" w:rsidRPr="003C6D8B">
        <w:t xml:space="preserve"> DEQ made no changes in response to this comment.</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2C815247"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w:t>
      </w:r>
      <w:r w:rsidR="00C739F7">
        <w:rPr>
          <w:sz w:val="22"/>
          <w:szCs w:val="22"/>
        </w:rPr>
        <w:t>’s definition of a variance is consistent with the federal definition of a variance at 40CFR 131.3 (o).</w:t>
      </w:r>
      <w:r w:rsidR="00717F64" w:rsidRPr="00DD02CB">
        <w:rPr>
          <w:sz w:val="22"/>
          <w:szCs w:val="22"/>
        </w:rPr>
        <w:t xml:space="preserve"> </w:t>
      </w:r>
      <w:r w:rsidR="00C739F7">
        <w:rPr>
          <w:sz w:val="22"/>
          <w:szCs w:val="22"/>
        </w:rPr>
        <w:t xml:space="preserve">In addition, </w:t>
      </w:r>
      <w:r w:rsidR="000923B2">
        <w:rPr>
          <w:sz w:val="22"/>
          <w:szCs w:val="22"/>
        </w:rPr>
        <w:t xml:space="preserve">per </w:t>
      </w:r>
      <w:r w:rsidR="00CF5F25">
        <w:rPr>
          <w:sz w:val="22"/>
          <w:szCs w:val="22"/>
        </w:rPr>
        <w:t xml:space="preserve">40 </w:t>
      </w:r>
      <w:r w:rsidR="000923B2">
        <w:rPr>
          <w:sz w:val="22"/>
          <w:szCs w:val="22"/>
        </w:rPr>
        <w:t xml:space="preserve">CFR 131.14 (a)(3), DEQ will clarify in </w:t>
      </w:r>
      <w:r w:rsidR="00717F64" w:rsidRPr="00DD02CB">
        <w:rPr>
          <w:sz w:val="22"/>
          <w:szCs w:val="22"/>
        </w:rPr>
        <w:t xml:space="preserve">the variance authorization rule </w:t>
      </w:r>
      <w:r w:rsidR="00C739F7">
        <w:rPr>
          <w:sz w:val="22"/>
          <w:szCs w:val="22"/>
        </w:rPr>
        <w:t>at</w:t>
      </w:r>
      <w:r w:rsidR="00717F64" w:rsidRPr="00DD02CB">
        <w:rPr>
          <w:sz w:val="22"/>
          <w:szCs w:val="22"/>
        </w:rPr>
        <w:t xml:space="preserve"> OAR 340-041-0059(1)(a) </w:t>
      </w:r>
      <w:r w:rsidR="000923B2">
        <w:rPr>
          <w:sz w:val="22"/>
          <w:szCs w:val="22"/>
        </w:rPr>
        <w:t xml:space="preserve">that the variance applies only for the purpose of developing NPDES permit limits and requirements under CWA section 301(b)(1)(C), or for issuing certifications under CWA section 401. For all other CWA purposes, </w:t>
      </w:r>
      <w:r w:rsidR="00717F64" w:rsidRPr="00DD02CB">
        <w:rPr>
          <w:sz w:val="22"/>
          <w:szCs w:val="22"/>
        </w:rPr>
        <w:t xml:space="preserve">the underlying designated use and criterion remain in effect. </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2E631F3E"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674A47">
        <w:rPr>
          <w:bCs/>
          <w:color w:val="000000" w:themeColor="text1"/>
          <w:sz w:val="22"/>
          <w:szCs w:val="22"/>
        </w:rPr>
        <w:t xml:space="preserve">DEQ is revising Oregon’s variance rules to </w:t>
      </w:r>
      <w:r w:rsidR="008B59E5">
        <w:rPr>
          <w:bCs/>
          <w:color w:val="000000" w:themeColor="text1"/>
          <w:sz w:val="22"/>
          <w:szCs w:val="22"/>
        </w:rPr>
        <w:t>ensure they are</w:t>
      </w:r>
      <w:r w:rsidR="00674A47">
        <w:rPr>
          <w:bCs/>
          <w:color w:val="000000" w:themeColor="text1"/>
          <w:sz w:val="22"/>
          <w:szCs w:val="22"/>
        </w:rPr>
        <w:t xml:space="preserve"> consistent with new federal regulations adopted in 2015, and to make the use of this CWA tool efficient where it is appropriate. </w:t>
      </w:r>
      <w:r w:rsidR="00A93CA9" w:rsidRPr="00DD02CB">
        <w:rPr>
          <w:bCs/>
          <w:color w:val="000000" w:themeColor="text1"/>
          <w:sz w:val="22"/>
          <w:szCs w:val="22"/>
        </w:rPr>
        <w:t>Commenter does not specify what 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0B19B642" w14:textId="36821DEB" w:rsidR="00AD7968" w:rsidRDefault="004D6736" w:rsidP="009012F7">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 xml:space="preserve">he federal variance rule (40 CFR 131.14(b)(1)(i)) </w:t>
      </w:r>
      <w:r w:rsidR="009012F7">
        <w:rPr>
          <w:color w:val="000000"/>
          <w:sz w:val="22"/>
          <w:szCs w:val="22"/>
        </w:rPr>
        <w:t>state</w:t>
      </w:r>
      <w:r w:rsidR="00717F64" w:rsidRPr="00DD02CB">
        <w:rPr>
          <w:color w:val="000000"/>
          <w:sz w:val="22"/>
          <w:szCs w:val="22"/>
        </w:rPr>
        <w:t xml:space="preserve">s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include eligibility requirements. </w:t>
      </w:r>
    </w:p>
    <w:p w14:paraId="31B504BB" w14:textId="77777777" w:rsidR="00AD7968" w:rsidRDefault="00AD7968" w:rsidP="009012F7">
      <w:pPr>
        <w:ind w:left="0"/>
        <w:rPr>
          <w:color w:val="000000"/>
          <w:sz w:val="22"/>
          <w:szCs w:val="22"/>
        </w:rPr>
      </w:pPr>
    </w:p>
    <w:p w14:paraId="22A54B75" w14:textId="4C70C3F0" w:rsidR="002D5DD3" w:rsidRPr="00DD02CB" w:rsidRDefault="00BC3987" w:rsidP="009012F7">
      <w:pPr>
        <w:ind w:left="0"/>
        <w:rPr>
          <w:bCs/>
          <w:color w:val="000000" w:themeColor="text1"/>
          <w:sz w:val="22"/>
          <w:szCs w:val="22"/>
        </w:rPr>
      </w:pPr>
      <w:r>
        <w:rPr>
          <w:color w:val="000000"/>
          <w:sz w:val="22"/>
          <w:szCs w:val="22"/>
        </w:rPr>
        <w:t>DEQ did not make changes to OAR 340-041-0059 in response to this comment. See response to Comment #78 related to the Willamette Basin Mercury MDV.</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3391B89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AD7968">
        <w:rPr>
          <w:bCs/>
          <w:color w:val="000000" w:themeColor="text1"/>
          <w:sz w:val="22"/>
          <w:szCs w:val="22"/>
        </w:rPr>
        <w:t xml:space="preserve">Multiple discharger and waterbody variances are rulemakings that </w:t>
      </w:r>
      <w:r w:rsidR="001E7912">
        <w:rPr>
          <w:bCs/>
          <w:color w:val="000000" w:themeColor="text1"/>
          <w:sz w:val="22"/>
          <w:szCs w:val="22"/>
        </w:rPr>
        <w:t>amend</w:t>
      </w:r>
      <w:r w:rsidR="00AD7968">
        <w:rPr>
          <w:bCs/>
          <w:color w:val="000000" w:themeColor="text1"/>
          <w:sz w:val="22"/>
          <w:szCs w:val="22"/>
        </w:rPr>
        <w:t xml:space="preserve"> </w:t>
      </w:r>
      <w:r w:rsidR="0004393E">
        <w:rPr>
          <w:bCs/>
          <w:color w:val="000000" w:themeColor="text1"/>
          <w:sz w:val="22"/>
          <w:szCs w:val="22"/>
        </w:rPr>
        <w:t xml:space="preserve">Oregon Administrative Rules. </w:t>
      </w:r>
      <w:r w:rsidR="001E7912">
        <w:rPr>
          <w:bCs/>
          <w:color w:val="000000" w:themeColor="text1"/>
          <w:sz w:val="22"/>
          <w:szCs w:val="22"/>
        </w:rPr>
        <w:t xml:space="preserve">The type of variance and the requirements of the variance will be clearly stated in the adopted rule language. In addition, </w:t>
      </w:r>
      <w:r w:rsidR="0004393E">
        <w:rPr>
          <w:bCs/>
          <w:color w:val="000000" w:themeColor="text1"/>
          <w:sz w:val="22"/>
          <w:szCs w:val="22"/>
        </w:rPr>
        <w:t>DEQ will publish a list of all variances</w:t>
      </w:r>
      <w:r w:rsidR="001E7912">
        <w:rPr>
          <w:bCs/>
          <w:color w:val="000000" w:themeColor="text1"/>
          <w:sz w:val="22"/>
          <w:szCs w:val="22"/>
        </w:rPr>
        <w:t xml:space="preserve">, including individual discharger variances, </w:t>
      </w:r>
      <w:r w:rsidR="0004393E">
        <w:rPr>
          <w:bCs/>
          <w:color w:val="000000" w:themeColor="text1"/>
          <w:sz w:val="22"/>
          <w:szCs w:val="22"/>
        </w:rPr>
        <w:t>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r w:rsidRPr="00DD02CB">
        <w:rPr>
          <w:b/>
          <w:bCs/>
          <w:sz w:val="22"/>
          <w:szCs w:val="22"/>
        </w:rPr>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2898D92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C6D8B">
        <w:rPr>
          <w:b/>
          <w:bCs/>
          <w:color w:val="000000" w:themeColor="text1"/>
          <w:sz w:val="22"/>
          <w:szCs w:val="22"/>
        </w:rPr>
        <w:t xml:space="preserve"> </w:t>
      </w:r>
      <w:r w:rsidR="003C6D8B">
        <w:rPr>
          <w:bCs/>
          <w:color w:val="000000" w:themeColor="text1"/>
          <w:sz w:val="22"/>
          <w:szCs w:val="22"/>
        </w:rPr>
        <w:t xml:space="preserve">DEQ </w:t>
      </w:r>
      <w:r w:rsidR="00AF21CF">
        <w:rPr>
          <w:bCs/>
          <w:color w:val="000000" w:themeColor="text1"/>
          <w:sz w:val="22"/>
          <w:szCs w:val="22"/>
        </w:rPr>
        <w:t>has amended this provision to state that a waterbody variance applies to all facilities that discharge to the waterbody</w:t>
      </w:r>
      <w:r w:rsidR="00DD7653">
        <w:rPr>
          <w:color w:val="000000"/>
          <w:sz w:val="22"/>
          <w:szCs w:val="22"/>
        </w:rPr>
        <w:t>.</w:t>
      </w:r>
      <w:r w:rsidR="005E39B6">
        <w:rPr>
          <w:color w:val="000000"/>
          <w:sz w:val="22"/>
          <w:szCs w:val="22"/>
        </w:rPr>
        <w:t xml:space="preserve"> </w:t>
      </w:r>
      <w:r w:rsidR="007F6A0E">
        <w:rPr>
          <w:color w:val="000000"/>
          <w:sz w:val="22"/>
          <w:szCs w:val="22"/>
        </w:rPr>
        <w:t>DEQ made changes in response to this comment.</w:t>
      </w:r>
      <w:r w:rsidR="007F6A0E">
        <w:rPr>
          <w:bCs/>
          <w:color w:val="000000" w:themeColor="text1"/>
          <w:sz w:val="22"/>
          <w:szCs w:val="22"/>
        </w:rPr>
        <w:t xml:space="preserve"> </w:t>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588C635B" w:rsidR="00AC41B1" w:rsidRDefault="004D6736" w:rsidP="004D6736">
      <w:pPr>
        <w:ind w:left="0" w:right="630"/>
        <w:rPr>
          <w:bCs/>
          <w:color w:val="000000" w:themeColor="text1"/>
          <w:sz w:val="22"/>
          <w:szCs w:val="22"/>
        </w:rPr>
      </w:pPr>
      <w:r w:rsidRPr="00DD02CB">
        <w:rPr>
          <w:b/>
          <w:bCs/>
          <w:color w:val="000000" w:themeColor="text1"/>
          <w:sz w:val="22"/>
          <w:szCs w:val="22"/>
        </w:rPr>
        <w:t>Response.</w:t>
      </w:r>
      <w:r w:rsidR="00EA587B" w:rsidRPr="00DD02CB">
        <w:rPr>
          <w:bCs/>
          <w:color w:val="000000" w:themeColor="text1"/>
          <w:sz w:val="22"/>
          <w:szCs w:val="22"/>
        </w:rPr>
        <w:t xml:space="preserve"> </w:t>
      </w:r>
      <w:r w:rsidR="00AC41B1">
        <w:rPr>
          <w:bCs/>
          <w:color w:val="000000" w:themeColor="text1"/>
          <w:sz w:val="22"/>
          <w:szCs w:val="22"/>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p>
    <w:p w14:paraId="11466148" w14:textId="77777777" w:rsidR="00AC41B1" w:rsidRDefault="00AC41B1" w:rsidP="004D6736">
      <w:pPr>
        <w:ind w:left="0" w:right="630"/>
        <w:rPr>
          <w:bCs/>
          <w:color w:val="000000" w:themeColor="text1"/>
          <w:sz w:val="22"/>
          <w:szCs w:val="22"/>
        </w:rPr>
      </w:pPr>
    </w:p>
    <w:p w14:paraId="71BD5715" w14:textId="21E21AAC" w:rsidR="004D6736" w:rsidRPr="00DD02CB" w:rsidRDefault="00EA587B" w:rsidP="004D6736">
      <w:pPr>
        <w:ind w:left="0" w:right="630"/>
        <w:rPr>
          <w:bCs/>
          <w:color w:val="000000" w:themeColor="text1"/>
          <w:sz w:val="22"/>
          <w:szCs w:val="22"/>
        </w:rPr>
      </w:pPr>
      <w:r w:rsidRPr="00DD02CB">
        <w:rPr>
          <w:bCs/>
          <w:color w:val="000000" w:themeColor="text1"/>
          <w:sz w:val="22"/>
          <w:szCs w:val="22"/>
        </w:rPr>
        <w:t>DEQ disagrees that a variance removes an existing use on a temporary basis</w:t>
      </w:r>
      <w:r w:rsidR="00721811">
        <w:rPr>
          <w:bCs/>
          <w:color w:val="000000" w:themeColor="text1"/>
          <w:sz w:val="22"/>
          <w:szCs w:val="22"/>
        </w:rPr>
        <w:t>. EPA guidance clarifies that an existing use means, “</w:t>
      </w:r>
      <w:r w:rsidR="00721811">
        <w:t>the use and water quality necessary to support the use that have been achieved in the waterbody on or after November 28, 1975.”</w:t>
      </w:r>
      <w:r w:rsidR="00721811">
        <w:rPr>
          <w:rStyle w:val="FootnoteReference"/>
        </w:rPr>
        <w:footnoteReference w:id="1"/>
      </w:r>
      <w:r w:rsidR="00721811">
        <w:t xml:space="preserve"> A</w:t>
      </w:r>
      <w:r w:rsidR="002D5DD3">
        <w:rPr>
          <w:bCs/>
          <w:color w:val="000000" w:themeColor="text1"/>
          <w:sz w:val="22"/>
          <w:szCs w:val="22"/>
        </w:rPr>
        <w:t xml:space="preserve"> variance </w:t>
      </w:r>
      <w:r w:rsidR="00721811">
        <w:rPr>
          <w:bCs/>
          <w:color w:val="000000" w:themeColor="text1"/>
          <w:sz w:val="22"/>
          <w:szCs w:val="22"/>
        </w:rPr>
        <w:t>sets a floor on water quality, because pollutant</w:t>
      </w:r>
      <w:r w:rsidR="00ED3C90">
        <w:rPr>
          <w:bCs/>
          <w:color w:val="000000" w:themeColor="text1"/>
          <w:sz w:val="22"/>
          <w:szCs w:val="22"/>
        </w:rPr>
        <w:t xml:space="preserve"> levels in the dischargers cannot increase</w:t>
      </w:r>
      <w:r w:rsidR="00721811">
        <w:rPr>
          <w:bCs/>
          <w:color w:val="000000" w:themeColor="text1"/>
          <w:sz w:val="22"/>
          <w:szCs w:val="22"/>
        </w:rPr>
        <w:t xml:space="preserve"> as a result of the variance. Those levels are expected to decrease during the variance</w:t>
      </w:r>
      <w:r w:rsidR="005C1798" w:rsidRPr="00DD02CB">
        <w:rPr>
          <w:bCs/>
          <w:color w:val="000000" w:themeColor="text1"/>
          <w:sz w:val="22"/>
          <w:szCs w:val="22"/>
        </w:rPr>
        <w:t xml:space="preserve"> </w:t>
      </w:r>
      <w:r w:rsidR="00721811">
        <w:rPr>
          <w:bCs/>
          <w:color w:val="000000" w:themeColor="text1"/>
          <w:sz w:val="22"/>
          <w:szCs w:val="22"/>
        </w:rPr>
        <w:t>based on the requirements in the variance.</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7854B0E1"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w:t>
      </w:r>
      <w:r w:rsidR="00607E51">
        <w:rPr>
          <w:bCs/>
          <w:color w:val="000000" w:themeColor="text1"/>
          <w:sz w:val="22"/>
          <w:szCs w:val="22"/>
        </w:rPr>
        <w:t xml:space="preserve">permit </w:t>
      </w:r>
      <w:r w:rsidR="006F02E5">
        <w:rPr>
          <w:bCs/>
          <w:color w:val="000000" w:themeColor="text1"/>
          <w:sz w:val="22"/>
          <w:szCs w:val="22"/>
        </w:rPr>
        <w:t xml:space="preserve">limits based on the underlying water quality standard are </w:t>
      </w:r>
      <w:r w:rsidR="00607E51">
        <w:rPr>
          <w:bCs/>
          <w:color w:val="000000" w:themeColor="text1"/>
          <w:sz w:val="22"/>
          <w:szCs w:val="22"/>
        </w:rPr>
        <w:t>not feasibly achievable</w:t>
      </w:r>
      <w:r w:rsidR="006F02E5">
        <w:rPr>
          <w:bCs/>
          <w:color w:val="000000" w:themeColor="text1"/>
          <w:sz w:val="22"/>
          <w:szCs w:val="22"/>
        </w:rPr>
        <w:t xml:space="preserve">. At a minimum, any discharger </w:t>
      </w:r>
      <w:r w:rsidR="006F02E5">
        <w:rPr>
          <w:bCs/>
          <w:color w:val="000000" w:themeColor="text1"/>
          <w:sz w:val="22"/>
          <w:szCs w:val="22"/>
        </w:rPr>
        <w:lastRenderedPageBreak/>
        <w:t xml:space="preserve">must meet technology-based effluent limits. </w:t>
      </w:r>
      <w:r w:rsidR="006F02E5" w:rsidRPr="007F6A0E">
        <w:rPr>
          <w:bCs/>
          <w:color w:val="000000" w:themeColor="text1"/>
          <w:sz w:val="22"/>
          <w:szCs w:val="22"/>
        </w:rPr>
        <w:t xml:space="preserve">Moreover, any variance </w:t>
      </w:r>
      <w:r w:rsidR="00AF194B" w:rsidRPr="007F6A0E">
        <w:rPr>
          <w:bCs/>
          <w:color w:val="000000" w:themeColor="text1"/>
          <w:sz w:val="22"/>
          <w:szCs w:val="22"/>
        </w:rPr>
        <w:t>cannot</w:t>
      </w:r>
      <w:r w:rsidR="006F02E5" w:rsidRPr="007F6A0E">
        <w:rPr>
          <w:bCs/>
          <w:color w:val="000000" w:themeColor="text1"/>
          <w:sz w:val="22"/>
          <w:szCs w:val="22"/>
        </w:rPr>
        <w:t xml:space="preserve"> result in a lowering of the currently attained water quality.</w:t>
      </w:r>
      <w:r w:rsidR="006F02E5">
        <w:rPr>
          <w:bCs/>
          <w:color w:val="000000" w:themeColor="text1"/>
          <w:sz w:val="22"/>
          <w:szCs w:val="22"/>
        </w:rPr>
        <w:t xml:space="preserve"> Finally, conditions in the variance must result in the highest attainable condition by the end of the variance. </w:t>
      </w:r>
      <w:r w:rsidR="00607E51">
        <w:rPr>
          <w:bCs/>
          <w:color w:val="000000" w:themeColor="text1"/>
          <w:sz w:val="22"/>
          <w:szCs w:val="22"/>
        </w:rPr>
        <w:t>This limitation is not required by federal variance regulations</w:t>
      </w:r>
      <w:r w:rsidR="007536A1">
        <w:rPr>
          <w:bCs/>
          <w:color w:val="000000" w:themeColor="text1"/>
          <w:sz w:val="22"/>
          <w:szCs w:val="22"/>
        </w:rPr>
        <w:t>,</w:t>
      </w:r>
      <w:r w:rsidR="00607E51">
        <w:rPr>
          <w:bCs/>
          <w:color w:val="000000" w:themeColor="text1"/>
          <w:sz w:val="22"/>
          <w:szCs w:val="22"/>
        </w:rPr>
        <w:t xml:space="preserve"> </w:t>
      </w:r>
      <w:r w:rsidR="007536A1">
        <w:rPr>
          <w:bCs/>
          <w:color w:val="000000" w:themeColor="text1"/>
          <w:sz w:val="22"/>
          <w:szCs w:val="22"/>
        </w:rPr>
        <w:t xml:space="preserve">it </w:t>
      </w:r>
      <w:r w:rsidR="00607E51">
        <w:rPr>
          <w:bCs/>
          <w:color w:val="000000" w:themeColor="text1"/>
          <w:sz w:val="22"/>
          <w:szCs w:val="22"/>
        </w:rPr>
        <w:t>is un</w:t>
      </w:r>
      <w:r w:rsidR="007536A1">
        <w:rPr>
          <w:bCs/>
          <w:color w:val="000000" w:themeColor="text1"/>
          <w:sz w:val="22"/>
          <w:szCs w:val="22"/>
        </w:rPr>
        <w:t>-n</w:t>
      </w:r>
      <w:r w:rsidR="00607E51">
        <w:rPr>
          <w:bCs/>
          <w:color w:val="000000" w:themeColor="text1"/>
          <w:sz w:val="22"/>
          <w:szCs w:val="22"/>
        </w:rPr>
        <w:t>ecessary</w:t>
      </w:r>
      <w:r w:rsidR="007536A1">
        <w:rPr>
          <w:bCs/>
          <w:color w:val="000000" w:themeColor="text1"/>
          <w:sz w:val="22"/>
          <w:szCs w:val="22"/>
        </w:rPr>
        <w:t xml:space="preserve"> and it adds ambiguity </w:t>
      </w:r>
      <w:r w:rsidR="00726CE0">
        <w:rPr>
          <w:bCs/>
          <w:color w:val="000000" w:themeColor="text1"/>
          <w:sz w:val="22"/>
          <w:szCs w:val="22"/>
        </w:rPr>
        <w:t xml:space="preserve">to the rule because it is unclear. </w:t>
      </w:r>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5245A431"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w:t>
      </w:r>
      <w:r w:rsidR="00726CE0">
        <w:rPr>
          <w:sz w:val="22"/>
          <w:szCs w:val="22"/>
        </w:rPr>
        <w:t>s</w:t>
      </w:r>
      <w:r w:rsidR="00041954" w:rsidRPr="00DD02CB">
        <w:rPr>
          <w:sz w:val="22"/>
          <w:szCs w:val="22"/>
        </w:rPr>
        <w:t xml:space="preserve"> the underlying </w:t>
      </w:r>
      <w:r w:rsidR="00D37753">
        <w:rPr>
          <w:sz w:val="22"/>
          <w:szCs w:val="22"/>
        </w:rPr>
        <w:t xml:space="preserve">designated </w:t>
      </w:r>
      <w:r w:rsidR="00041954" w:rsidRPr="00DD02CB">
        <w:rPr>
          <w:sz w:val="22"/>
          <w:szCs w:val="22"/>
        </w:rPr>
        <w:t xml:space="preserve">use and criterion for a waterbody. </w:t>
      </w:r>
      <w:r w:rsidR="006F6315">
        <w:rPr>
          <w:sz w:val="22"/>
          <w:szCs w:val="22"/>
        </w:rPr>
        <w:t>Variances are regulated by 40 CFR 131.14 and do</w:t>
      </w:r>
      <w:r w:rsidR="00D37753">
        <w:rPr>
          <w:sz w:val="22"/>
          <w:szCs w:val="22"/>
        </w:rPr>
        <w:t xml:space="preserve"> not </w:t>
      </w:r>
      <w:r w:rsidR="00CF0DFF">
        <w:rPr>
          <w:sz w:val="22"/>
          <w:szCs w:val="22"/>
        </w:rPr>
        <w:t xml:space="preserve">change or </w:t>
      </w:r>
      <w:r w:rsidR="00D37753">
        <w:rPr>
          <w:sz w:val="22"/>
          <w:szCs w:val="22"/>
        </w:rPr>
        <w:t>remove the underlying designated use.</w:t>
      </w:r>
      <w:r w:rsidR="00CF0DFF">
        <w:rPr>
          <w:sz w:val="22"/>
          <w:szCs w:val="22"/>
        </w:rPr>
        <w:t xml:space="preserve"> </w:t>
      </w:r>
      <w:r w:rsidR="006F6315">
        <w:rPr>
          <w:sz w:val="22"/>
          <w:szCs w:val="22"/>
        </w:rPr>
        <w:t xml:space="preserve">Existing uses are considered in the variance because the existing water quality/existing use must be maintained, with an exception for restoration work. </w:t>
      </w:r>
      <w:r w:rsidR="007F6A0E">
        <w:rPr>
          <w:sz w:val="22"/>
          <w:szCs w:val="22"/>
        </w:rPr>
        <w:t>In addition</w:t>
      </w:r>
      <w:r w:rsidR="006F6315">
        <w:rPr>
          <w:sz w:val="22"/>
          <w:szCs w:val="22"/>
        </w:rPr>
        <w:t>, under a variance, permit requirements must make progress toward the underlying standard by achieving the highest attainable conditions during the term of the variance.</w:t>
      </w:r>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21D0775F"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compliance monitoring</w:t>
      </w:r>
      <w:r w:rsidR="00D03F45" w:rsidRPr="00DD02CB">
        <w:rPr>
          <w:sz w:val="22"/>
          <w:szCs w:val="22"/>
        </w:rPr>
        <w:t xml:space="preserve">. Such data </w:t>
      </w:r>
      <w:r w:rsidR="00DD7653">
        <w:rPr>
          <w:sz w:val="22"/>
          <w:szCs w:val="22"/>
        </w:rPr>
        <w:t xml:space="preserve">also </w:t>
      </w:r>
      <w:r w:rsidR="00D03F45" w:rsidRPr="00DD02CB">
        <w:rPr>
          <w:sz w:val="22"/>
          <w:szCs w:val="22"/>
        </w:rPr>
        <w:t xml:space="preserve">will be utilized to determine whether a variance is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1</w:t>
      </w:r>
      <w:r w:rsidRPr="00DD02CB">
        <w:rPr>
          <w:b/>
          <w:bCs/>
          <w:sz w:val="22"/>
          <w:szCs w:val="22"/>
        </w:rPr>
        <w:t xml:space="preserve">. </w:t>
      </w:r>
      <w:r w:rsidR="00F05B03">
        <w:rPr>
          <w:sz w:val="22"/>
          <w:szCs w:val="22"/>
        </w:rPr>
        <w:t>The provisions regarding the variance duration and the process for re-evaluation should be placed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t xml:space="preserve">DEQ should clarify the provision regarding re-evaluation to state, </w:t>
      </w:r>
      <w:r w:rsidR="005928C4" w:rsidRPr="00DD02CB">
        <w:rPr>
          <w:sz w:val="22"/>
          <w:szCs w:val="22"/>
        </w:rPr>
        <w:t>“For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63019C02"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xml:space="preserve">” This provision is consistent with federal language. </w:t>
      </w:r>
      <w:r w:rsidR="003F6BA1">
        <w:rPr>
          <w:sz w:val="22"/>
          <w:szCs w:val="22"/>
        </w:rPr>
        <w:t xml:space="preserve">DEQ intends to complete the re-evaluation and submit it to EPA on time. In case this does not happen and </w:t>
      </w:r>
      <w:r w:rsidR="00AC41B1">
        <w:rPr>
          <w:sz w:val="22"/>
          <w:szCs w:val="22"/>
        </w:rPr>
        <w:t>a permit has conditions related to the variance, those conditions will remain until the permit expires</w:t>
      </w:r>
      <w:r w:rsidR="00CE1BEC">
        <w:rPr>
          <w:sz w:val="22"/>
          <w:szCs w:val="22"/>
        </w:rPr>
        <w:t xml:space="preserve"> or DEQ completes the re-evaluation and submit</w:t>
      </w:r>
      <w:r w:rsidR="00EC6E34">
        <w:rPr>
          <w:sz w:val="22"/>
          <w:szCs w:val="22"/>
        </w:rPr>
        <w:t>s</w:t>
      </w:r>
      <w:r w:rsidR="00CE1BEC">
        <w:rPr>
          <w:sz w:val="22"/>
          <w:szCs w:val="22"/>
        </w:rPr>
        <w:t xml:space="preserve"> it to EPA</w:t>
      </w:r>
      <w:r w:rsidR="00AC41B1">
        <w:rPr>
          <w:sz w:val="22"/>
          <w:szCs w:val="22"/>
        </w:rPr>
        <w:t xml:space="preserve">. If the variance is no longer the applicable water quality standard and the permit expires, the discharger has the option to apply for a new variance, if </w:t>
      </w:r>
      <w:r w:rsidR="003F6BA1">
        <w:rPr>
          <w:sz w:val="22"/>
          <w:szCs w:val="22"/>
        </w:rPr>
        <w:t xml:space="preserve">it </w:t>
      </w:r>
      <w:r w:rsidR="00AC41B1">
        <w:rPr>
          <w:sz w:val="22"/>
          <w:szCs w:val="22"/>
        </w:rPr>
        <w:t>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0A337107"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757C570C"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3C6C15">
        <w:rPr>
          <w:sz w:val="22"/>
          <w:szCs w:val="22"/>
        </w:rPr>
        <w:t xml:space="preserve"> (See the proposed variance rule section 6)</w:t>
      </w:r>
      <w:r w:rsidR="00DD7653">
        <w:rPr>
          <w:sz w:val="22"/>
          <w:szCs w:val="22"/>
        </w:rPr>
        <w:t>.</w:t>
      </w:r>
      <w:r w:rsidR="00D03F45" w:rsidRPr="00DD02CB">
        <w:rPr>
          <w:sz w:val="22"/>
          <w:szCs w:val="22"/>
        </w:rPr>
        <w:t xml:space="preserve"> </w:t>
      </w:r>
      <w:r w:rsidR="00DD7653">
        <w:rPr>
          <w:sz w:val="22"/>
          <w:szCs w:val="22"/>
        </w:rPr>
        <w:t>DEQ will utilize such data</w:t>
      </w:r>
      <w:r w:rsidR="00D03F45" w:rsidRPr="00DD02CB">
        <w:rPr>
          <w:sz w:val="22"/>
          <w:szCs w:val="22"/>
        </w:rPr>
        <w:t xml:space="preserve"> to reevaluate the highest attainable condition at least every five years. For waterbody variances, DEQ will use </w:t>
      </w:r>
      <w:r w:rsidR="00CE1BEC">
        <w:rPr>
          <w:sz w:val="22"/>
          <w:szCs w:val="22"/>
        </w:rPr>
        <w:t xml:space="preserve">all available data including the data collected by the discharger, </w:t>
      </w:r>
      <w:r w:rsidR="00DD7653">
        <w:rPr>
          <w:sz w:val="22"/>
          <w:szCs w:val="22"/>
        </w:rPr>
        <w:t>and</w:t>
      </w:r>
      <w:r w:rsidR="00DD7653" w:rsidRPr="00DD02CB">
        <w:rPr>
          <w:sz w:val="22"/>
          <w:szCs w:val="22"/>
        </w:rPr>
        <w:t xml:space="preserve"> any</w:t>
      </w:r>
      <w:r w:rsidR="00D03F45" w:rsidRPr="00DD02CB">
        <w:rPr>
          <w:sz w:val="22"/>
          <w:szCs w:val="22"/>
        </w:rPr>
        <w:t xml:space="preserve">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variance expires. This is a situation in which a compliance schedule seems like the more appropriate tool.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FF230F3"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227AF6">
        <w:rPr>
          <w:bCs/>
          <w:color w:val="000000" w:themeColor="text1"/>
          <w:sz w:val="22"/>
          <w:szCs w:val="22"/>
        </w:rPr>
        <w:t xml:space="preserve">DEQ agrees that compliance schedules are one tool to use in the case that a permittee cannot meet effluent limits during part of a permit term, but will at some point in the future of the term. </w:t>
      </w:r>
      <w:r w:rsidR="00227AF6">
        <w:rPr>
          <w:bCs/>
          <w:color w:val="000000" w:themeColor="text1"/>
          <w:sz w:val="22"/>
          <w:szCs w:val="22"/>
        </w:rPr>
        <w:t xml:space="preserve">However, there may be instances in which a variance is the appropriate tool at the permit writer’s discretion. </w:t>
      </w:r>
      <w:r w:rsidR="004A1ADF" w:rsidRPr="00227AF6">
        <w:rPr>
          <w:bCs/>
          <w:color w:val="000000" w:themeColor="text1"/>
          <w:sz w:val="22"/>
          <w:szCs w:val="22"/>
        </w:rPr>
        <w:t>DEQ is proposing to keep this language, if there is any case where a variance is a more appropriate tool.</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r w:rsidR="005928C4" w:rsidRPr="00DD02CB">
        <w:rPr>
          <w:sz w:val="22"/>
          <w:szCs w:val="22"/>
        </w:rPr>
        <w:t xml:space="preserve">ACWA suggests revising the language </w:t>
      </w:r>
      <w:r w:rsidR="00AF194B">
        <w:rPr>
          <w:sz w:val="22"/>
          <w:szCs w:val="22"/>
        </w:rPr>
        <w:t xml:space="preserve">in section (3)(b) </w:t>
      </w:r>
      <w:r w:rsidR="005928C4" w:rsidRPr="00DD02CB">
        <w:rPr>
          <w:sz w:val="22"/>
          <w:szCs w:val="22"/>
        </w:rPr>
        <w:t>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p w14:paraId="55169AF7" w14:textId="77777777" w:rsidR="004D6736" w:rsidRPr="00DD02CB" w:rsidRDefault="004D6736" w:rsidP="004D6736">
      <w:pPr>
        <w:tabs>
          <w:tab w:val="left" w:pos="1080"/>
        </w:tabs>
        <w:ind w:left="0" w:right="634"/>
        <w:rPr>
          <w:b/>
          <w:bCs/>
          <w:sz w:val="22"/>
          <w:szCs w:val="22"/>
        </w:rPr>
      </w:pPr>
    </w:p>
    <w:p w14:paraId="5F43DACF" w14:textId="7ADD05E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xml:space="preserve">. </w:t>
      </w:r>
      <w:r w:rsidR="001749D0">
        <w:rPr>
          <w:bCs/>
          <w:color w:val="000000" w:themeColor="text1"/>
          <w:sz w:val="22"/>
          <w:szCs w:val="22"/>
        </w:rPr>
        <w:t xml:space="preserve">The variance rule language does not preclude the use of compliance schedule. </w:t>
      </w:r>
      <w:r w:rsidR="000D6596">
        <w:rPr>
          <w:bCs/>
          <w:color w:val="000000" w:themeColor="text1"/>
          <w:sz w:val="22"/>
          <w:szCs w:val="22"/>
        </w:rPr>
        <w:t xml:space="preserve">If a compliance schedule is necessary at the date the variance expires, DEQ will </w:t>
      </w:r>
      <w:r w:rsidR="001749D0">
        <w:rPr>
          <w:bCs/>
          <w:color w:val="000000" w:themeColor="text1"/>
          <w:sz w:val="22"/>
          <w:szCs w:val="22"/>
        </w:rPr>
        <w:t xml:space="preserve">impose a compliance schedule that is </w:t>
      </w:r>
      <w:r w:rsidR="000D6596">
        <w:rPr>
          <w:bCs/>
          <w:color w:val="000000" w:themeColor="text1"/>
          <w:sz w:val="22"/>
          <w:szCs w:val="22"/>
        </w:rPr>
        <w:t>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46D1020D"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r w:rsidR="005928C4" w:rsidRPr="00DD02CB">
        <w:rPr>
          <w:color w:val="000000"/>
          <w:sz w:val="22"/>
          <w:szCs w:val="22"/>
        </w:rPr>
        <w:t xml:space="preserve">We support </w:t>
      </w:r>
      <w:r w:rsidR="00D84DC9">
        <w:rPr>
          <w:color w:val="000000"/>
          <w:sz w:val="22"/>
          <w:szCs w:val="22"/>
        </w:rPr>
        <w:t xml:space="preserve">the proposed addition in section (3)(a) requiring </w:t>
      </w:r>
      <w:r w:rsidR="005928C4" w:rsidRPr="00DD02CB">
        <w:rPr>
          <w:color w:val="000000"/>
          <w:sz w:val="22"/>
          <w:szCs w:val="22"/>
        </w:rPr>
        <w:t xml:space="preserve">permits </w:t>
      </w:r>
      <w:r w:rsidR="00D84DC9">
        <w:rPr>
          <w:color w:val="000000"/>
          <w:sz w:val="22"/>
          <w:szCs w:val="22"/>
        </w:rPr>
        <w:t xml:space="preserve">to </w:t>
      </w:r>
      <w:r w:rsidR="005928C4" w:rsidRPr="00DD02CB">
        <w:rPr>
          <w:color w:val="000000"/>
          <w:sz w:val="22"/>
          <w:szCs w:val="22"/>
        </w:rPr>
        <w:t>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2863AFB8"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w:t>
      </w:r>
      <w:r w:rsidR="00E7779F">
        <w:rPr>
          <w:sz w:val="22"/>
          <w:szCs w:val="22"/>
        </w:rPr>
        <w:t>’s</w:t>
      </w:r>
      <w:r w:rsidR="004700B5" w:rsidRPr="00DD02CB">
        <w:rPr>
          <w:sz w:val="22"/>
          <w:szCs w:val="22"/>
        </w:rPr>
        <w:t xml:space="preserve"> approval</w:t>
      </w:r>
      <w:r w:rsidR="00E7779F">
        <w:rPr>
          <w:sz w:val="22"/>
          <w:szCs w:val="22"/>
        </w:rPr>
        <w:t xml:space="preserve"> date</w:t>
      </w:r>
      <w:r w:rsidR="004700B5" w:rsidRPr="00DD02CB">
        <w:rPr>
          <w:sz w:val="22"/>
          <w:szCs w:val="22"/>
        </w:rPr>
        <w:t xml:space="preserve">. DEQ will provide the effective date and expiration date on the list of all approved variances that is required by 340-041-0059(7)(b).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lastRenderedPageBreak/>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5EBA0CE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 xml:space="preserve">The required content of a pollutant minimization plan will differ depending on the pollutant, circumstances of the discharger and other factors. </w:t>
      </w:r>
      <w:r w:rsidR="00D84DC9">
        <w:rPr>
          <w:color w:val="000000"/>
          <w:sz w:val="22"/>
          <w:szCs w:val="22"/>
        </w:rPr>
        <w:t xml:space="preserve">If a PMP is a requirement of the variance, DEQ will submit a PMP targeted to the unique circumstances of the pollutant and discharger(s) or water body/water body segment(s) to EPA for approval. </w:t>
      </w:r>
      <w:r w:rsidR="004700B5" w:rsidRPr="00DD02CB">
        <w:rPr>
          <w:color w:val="000000"/>
          <w:sz w:val="22"/>
          <w:szCs w:val="22"/>
        </w:rPr>
        <w:t xml:space="preserve">In some cases, pre-treatment programs may relate to a variance and DEQ </w:t>
      </w:r>
      <w:r w:rsidR="00E7779F">
        <w:rPr>
          <w:color w:val="000000"/>
          <w:sz w:val="22"/>
          <w:szCs w:val="22"/>
        </w:rPr>
        <w:t>will</w:t>
      </w:r>
      <w:r w:rsidR="00E7779F" w:rsidRPr="00DD02CB">
        <w:rPr>
          <w:color w:val="000000"/>
          <w:sz w:val="22"/>
          <w:szCs w:val="22"/>
        </w:rPr>
        <w:t xml:space="preserve"> </w:t>
      </w:r>
      <w:r w:rsidR="004700B5" w:rsidRPr="00DD02CB">
        <w:rPr>
          <w:color w:val="000000"/>
          <w:sz w:val="22"/>
          <w:szCs w:val="22"/>
        </w:rPr>
        <w:t>incorporate pre-treatment measures into PMP requirements. In other cases, a pre-treatment program may have less relevance.</w:t>
      </w:r>
      <w:r w:rsidR="00D37753">
        <w:rPr>
          <w:color w:val="000000"/>
          <w:sz w:val="22"/>
          <w:szCs w:val="22"/>
        </w:rPr>
        <w:t xml:space="preserve"> </w:t>
      </w:r>
    </w:p>
    <w:p w14:paraId="1A4FDE56" w14:textId="6C042402" w:rsidR="004D6736" w:rsidRPr="00DD02CB" w:rsidRDefault="004D6736" w:rsidP="004D6736">
      <w:pPr>
        <w:ind w:left="0" w:right="630"/>
        <w:rPr>
          <w:bCs/>
          <w:color w:val="000000" w:themeColor="text1"/>
          <w:sz w:val="22"/>
          <w:szCs w:val="22"/>
        </w:rPr>
      </w:pPr>
    </w:p>
    <w:p w14:paraId="0116D33C" w14:textId="277A8A2E"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The language in (4)(b) is inconsistent with federal regulations</w:t>
      </w:r>
      <w:r w:rsidR="00D57C91">
        <w:rPr>
          <w:color w:val="000000"/>
          <w:sz w:val="22"/>
          <w:szCs w:val="22"/>
        </w:rPr>
        <w:t>, because it anticipates EPA approving a variance and DEQ accepting applicants for coverage.</w:t>
      </w:r>
    </w:p>
    <w:p w14:paraId="63B261A3" w14:textId="77777777" w:rsidR="004D6736" w:rsidRPr="00DD02CB" w:rsidRDefault="004D6736" w:rsidP="004D6736">
      <w:pPr>
        <w:tabs>
          <w:tab w:val="left" w:pos="1080"/>
        </w:tabs>
        <w:ind w:left="0" w:right="634"/>
        <w:rPr>
          <w:b/>
          <w:bCs/>
          <w:sz w:val="22"/>
          <w:szCs w:val="22"/>
        </w:rPr>
      </w:pPr>
    </w:p>
    <w:p w14:paraId="055892DD" w14:textId="2FF019F2" w:rsidR="00C576E3" w:rsidRPr="00C576E3" w:rsidRDefault="004D6736" w:rsidP="004D6736">
      <w:pPr>
        <w:ind w:left="0" w:right="63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acknowledges this comment, but notes that it d</w:t>
      </w:r>
      <w:r w:rsidR="00AF194B">
        <w:rPr>
          <w:color w:val="000000"/>
          <w:sz w:val="22"/>
          <w:szCs w:val="22"/>
        </w:rPr>
        <w:t>id</w:t>
      </w:r>
      <w:r w:rsidR="004700B5" w:rsidRPr="00DD02CB">
        <w:rPr>
          <w:color w:val="000000"/>
          <w:sz w:val="22"/>
          <w:szCs w:val="22"/>
        </w:rPr>
        <w:t xml:space="preserve"> not include a discussion of how this requirement is inconsistent with federal regulations. </w:t>
      </w:r>
      <w:r w:rsidR="00D57C91">
        <w:rPr>
          <w:color w:val="000000"/>
          <w:sz w:val="22"/>
          <w:szCs w:val="22"/>
        </w:rPr>
        <w:t>The preamble to the federal variance rule states, “A</w:t>
      </w:r>
      <w:r w:rsidR="00D57C91" w:rsidRPr="00DD02CB">
        <w:rPr>
          <w:color w:val="000000"/>
          <w:sz w:val="22"/>
          <w:szCs w:val="22"/>
        </w:rPr>
        <w:t xml:space="preserve">s an alternative to identifying the specific dischargers at the time of adoption of a WQS variance for multiple dischargers, states and authorized tribes may adopt specific eligibility requirements in the WQS variance.” (80 Fed. Reg. 162, p. 51036). </w:t>
      </w:r>
      <w:r w:rsidR="00D57C91">
        <w:rPr>
          <w:color w:val="000000"/>
          <w:sz w:val="22"/>
          <w:szCs w:val="22"/>
        </w:rPr>
        <w:t xml:space="preserve">EPA’s variance guidance also indicates that this is a possibility. However, Provision (4)(b) simply stated that a permittee subject to a multiple discharger variance, must submit all information required in the rule for the specific variance. It does not presume whether the multiple discharger variance lists each permittee subject to the variance or whether the multiple discharger variance includes eligibility requirements. </w:t>
      </w:r>
      <w:r w:rsidR="00C576E3">
        <w:rPr>
          <w:color w:val="000000"/>
          <w:sz w:val="22"/>
          <w:szCs w:val="22"/>
        </w:rPr>
        <w:t xml:space="preserve"> DEQ has not made changes in response to this comment.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t>Comment #4</w:t>
      </w:r>
      <w:r w:rsidR="006F02E5">
        <w:rPr>
          <w:b/>
          <w:bCs/>
          <w:sz w:val="22"/>
          <w:szCs w:val="22"/>
        </w:rPr>
        <w:t>4</w:t>
      </w:r>
      <w:r w:rsidRPr="00DD02CB">
        <w:rPr>
          <w:b/>
          <w:bCs/>
          <w:sz w:val="22"/>
          <w:szCs w:val="22"/>
        </w:rPr>
        <w:t xml:space="preserve">. </w:t>
      </w:r>
      <w:r w:rsidRPr="00DD02CB">
        <w:rPr>
          <w:color w:val="000000"/>
          <w:sz w:val="22"/>
          <w:szCs w:val="22"/>
        </w:rPr>
        <w:t>The language in (4)(c)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5683423B" w:rsidR="00844A26" w:rsidRPr="00DD02CB" w:rsidRDefault="00844A26" w:rsidP="00844A26">
      <w:pPr>
        <w:ind w:left="0"/>
        <w:rPr>
          <w:sz w:val="22"/>
          <w:szCs w:val="22"/>
        </w:rPr>
      </w:pPr>
      <w:r w:rsidRPr="00DD02CB">
        <w:rPr>
          <w:b/>
          <w:bCs/>
          <w:color w:val="000000" w:themeColor="text1"/>
          <w:sz w:val="22"/>
          <w:szCs w:val="22"/>
        </w:rPr>
        <w:lastRenderedPageBreak/>
        <w:t xml:space="preserve">Response. </w:t>
      </w:r>
      <w:r w:rsidRPr="00DD02CB">
        <w:rPr>
          <w:color w:val="000000"/>
          <w:sz w:val="22"/>
          <w:szCs w:val="22"/>
        </w:rPr>
        <w:t>DEQ agrees with this comment and has removed the rule language in (4)(c) accordingly</w:t>
      </w:r>
      <w:r w:rsidR="00AF194B">
        <w:rPr>
          <w:color w:val="000000"/>
          <w:sz w:val="22"/>
          <w:szCs w:val="22"/>
        </w:rPr>
        <w:t xml:space="preserve"> and clarified in section (5) that DEQ is required to submit this information to EPA</w:t>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 xml:space="preserve">in section (4)(c)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07E2EC52"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w:t>
      </w:r>
      <w:r w:rsidR="00F04295">
        <w:rPr>
          <w:bCs/>
          <w:color w:val="000000" w:themeColor="text1"/>
          <w:sz w:val="22"/>
          <w:szCs w:val="22"/>
        </w:rPr>
        <w:t>4</w:t>
      </w:r>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xml:space="preserve">. </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6198D543"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 xml:space="preserve">The proposed language </w:t>
      </w:r>
      <w:r w:rsidR="00C576E3">
        <w:rPr>
          <w:sz w:val="22"/>
          <w:szCs w:val="22"/>
        </w:rPr>
        <w:t xml:space="preserve">in Section (5) </w:t>
      </w:r>
      <w:r w:rsidR="00C33213" w:rsidRPr="00DD02CB">
        <w:rPr>
          <w:sz w:val="22"/>
          <w:szCs w:val="22"/>
        </w:rPr>
        <w:t>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in response to this comment</w:t>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t>Comment #5</w:t>
      </w:r>
      <w:r w:rsidR="006F02E5">
        <w:rPr>
          <w:b/>
          <w:bCs/>
          <w:sz w:val="22"/>
          <w:szCs w:val="22"/>
        </w:rPr>
        <w:t>1</w:t>
      </w:r>
      <w:r w:rsidRPr="00DD02CB">
        <w:rPr>
          <w:b/>
          <w:bCs/>
          <w:sz w:val="22"/>
          <w:szCs w:val="22"/>
        </w:rPr>
        <w:t xml:space="preserve">. </w:t>
      </w:r>
      <w:r w:rsidR="00844A26">
        <w:rPr>
          <w:sz w:val="22"/>
          <w:szCs w:val="22"/>
        </w:rPr>
        <w:t>Section (6)</w:t>
      </w:r>
      <w:r w:rsidR="007F7F8C" w:rsidRPr="00DD02CB">
        <w:rPr>
          <w:sz w:val="22"/>
          <w:szCs w:val="22"/>
        </w:rPr>
        <w:t xml:space="preserve">(b) requires the permit to include a requirement to implement any pollutant reduction actions approved as part of a pollutant minimization plan "adopted in the applicable variance." A PMP is not adopted in a variance so it would be better to express this permit </w:t>
      </w:r>
      <w:r w:rsidR="007F7F8C" w:rsidRPr="00DD02CB">
        <w:rPr>
          <w:sz w:val="22"/>
          <w:szCs w:val="22"/>
        </w:rPr>
        <w:lastRenderedPageBreak/>
        <w:t>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328F9860"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C576E3" w:rsidRPr="00C576E3">
        <w:rPr>
          <w:bCs/>
          <w:color w:val="000000" w:themeColor="text1"/>
          <w:sz w:val="22"/>
          <w:szCs w:val="22"/>
        </w:rPr>
        <w:t>The</w:t>
      </w:r>
      <w:r w:rsidR="00C576E3">
        <w:rPr>
          <w:b/>
          <w:bCs/>
          <w:color w:val="000000" w:themeColor="text1"/>
          <w:sz w:val="22"/>
          <w:szCs w:val="22"/>
        </w:rPr>
        <w:t xml:space="preserve"> </w:t>
      </w:r>
      <w:r w:rsidR="00C576E3">
        <w:rPr>
          <w:bCs/>
          <w:color w:val="000000" w:themeColor="text1"/>
          <w:sz w:val="22"/>
          <w:szCs w:val="22"/>
        </w:rPr>
        <w:t>f</w:t>
      </w:r>
      <w:r w:rsidR="00237FE1" w:rsidRPr="00237FE1">
        <w:rPr>
          <w:bCs/>
          <w:color w:val="000000" w:themeColor="text1"/>
          <w:sz w:val="22"/>
          <w:szCs w:val="22"/>
        </w:rPr>
        <w:t xml:space="preserve">ederal variance </w:t>
      </w:r>
      <w:r w:rsidR="00A82C25">
        <w:rPr>
          <w:bCs/>
          <w:color w:val="000000" w:themeColor="text1"/>
          <w:sz w:val="22"/>
          <w:szCs w:val="22"/>
        </w:rPr>
        <w:t>regulation</w:t>
      </w:r>
      <w:r w:rsidR="00A82C25" w:rsidRPr="00237FE1">
        <w:rPr>
          <w:bCs/>
          <w:color w:val="000000" w:themeColor="text1"/>
          <w:sz w:val="22"/>
          <w:szCs w:val="22"/>
        </w:rPr>
        <w:t xml:space="preserve"> </w:t>
      </w:r>
      <w:r w:rsidR="00A82C25">
        <w:rPr>
          <w:bCs/>
          <w:color w:val="000000" w:themeColor="text1"/>
          <w:sz w:val="22"/>
          <w:szCs w:val="22"/>
        </w:rPr>
        <w:t xml:space="preserve">in </w:t>
      </w:r>
      <w:r w:rsidR="00237FE1" w:rsidRPr="00237FE1">
        <w:rPr>
          <w:bCs/>
          <w:color w:val="000000" w:themeColor="text1"/>
          <w:sz w:val="22"/>
          <w:szCs w:val="22"/>
        </w:rPr>
        <w:t>40 CFR 131.14(b)(1)</w:t>
      </w:r>
      <w:r w:rsidR="00A82C25">
        <w:rPr>
          <w:bCs/>
          <w:color w:val="000000" w:themeColor="text1"/>
          <w:sz w:val="22"/>
          <w:szCs w:val="22"/>
        </w:rPr>
        <w:t>(ii)</w:t>
      </w:r>
      <w:r w:rsidR="00237FE1" w:rsidRPr="00237FE1">
        <w:rPr>
          <w:bCs/>
          <w:color w:val="000000" w:themeColor="text1"/>
          <w:sz w:val="22"/>
          <w:szCs w:val="22"/>
        </w:rPr>
        <w:t>(A)(3) and (b)(1)</w:t>
      </w:r>
      <w:r w:rsidR="00A82C25">
        <w:rPr>
          <w:bCs/>
          <w:color w:val="000000" w:themeColor="text1"/>
          <w:sz w:val="22"/>
          <w:szCs w:val="22"/>
        </w:rPr>
        <w:t>(ii)</w:t>
      </w:r>
      <w:r w:rsidR="00237FE1" w:rsidRPr="00237FE1">
        <w:rPr>
          <w:bCs/>
          <w:color w:val="000000" w:themeColor="text1"/>
          <w:sz w:val="22"/>
          <w:szCs w:val="22"/>
        </w:rPr>
        <w:t>(B)(2) require that a variance include adoption and implementation of a Pollutant Minimization Plan</w:t>
      </w:r>
      <w:r w:rsidR="00A82C25">
        <w:rPr>
          <w:bCs/>
          <w:color w:val="000000" w:themeColor="text1"/>
          <w:sz w:val="22"/>
          <w:szCs w:val="22"/>
        </w:rPr>
        <w:t xml:space="preserve"> </w:t>
      </w:r>
      <w:r w:rsidR="00A82C25" w:rsidRPr="00237FE1">
        <w:rPr>
          <w:bCs/>
          <w:color w:val="000000" w:themeColor="text1"/>
          <w:sz w:val="22"/>
          <w:szCs w:val="22"/>
        </w:rPr>
        <w:t>if no additional feasible pollutant control technology can be identified</w:t>
      </w:r>
      <w:r w:rsidR="00237FE1" w:rsidRPr="00237FE1">
        <w:rPr>
          <w:bCs/>
          <w:color w:val="000000" w:themeColor="text1"/>
          <w:sz w:val="22"/>
          <w:szCs w:val="22"/>
        </w:rPr>
        <w:t>.</w:t>
      </w:r>
      <w:r w:rsidR="00237FE1">
        <w:rPr>
          <w:bCs/>
          <w:color w:val="000000" w:themeColor="text1"/>
          <w:sz w:val="22"/>
          <w:szCs w:val="22"/>
        </w:rPr>
        <w:t xml:space="preserve"> EPA has clarified that this PMP is to be </w:t>
      </w:r>
      <w:r w:rsidR="008C4A1B">
        <w:rPr>
          <w:bCs/>
          <w:color w:val="000000" w:themeColor="text1"/>
          <w:sz w:val="22"/>
          <w:szCs w:val="22"/>
        </w:rPr>
        <w:t xml:space="preserve">included </w:t>
      </w:r>
      <w:r w:rsidR="00237FE1">
        <w:rPr>
          <w:bCs/>
          <w:color w:val="000000" w:themeColor="text1"/>
          <w:sz w:val="22"/>
          <w:szCs w:val="22"/>
        </w:rPr>
        <w:t xml:space="preserve">in the variance. DEQ </w:t>
      </w:r>
      <w:r w:rsidR="00844A26">
        <w:rPr>
          <w:bCs/>
          <w:color w:val="000000" w:themeColor="text1"/>
          <w:sz w:val="22"/>
          <w:szCs w:val="22"/>
        </w:rPr>
        <w:t xml:space="preserve">is </w:t>
      </w:r>
      <w:r w:rsidR="00A82C25">
        <w:rPr>
          <w:bCs/>
          <w:color w:val="000000" w:themeColor="text1"/>
          <w:sz w:val="22"/>
          <w:szCs w:val="22"/>
        </w:rPr>
        <w:t xml:space="preserve">revising </w:t>
      </w:r>
      <w:r w:rsidR="00844A26">
        <w:rPr>
          <w:bCs/>
          <w:color w:val="000000" w:themeColor="text1"/>
          <w:sz w:val="22"/>
          <w:szCs w:val="22"/>
        </w:rPr>
        <w:t xml:space="preserve">section (6)(b)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397D0535"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3E9D6CF9"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w:t>
      </w:r>
      <w:r w:rsidR="00BA176F">
        <w:rPr>
          <w:color w:val="000000"/>
          <w:sz w:val="22"/>
          <w:szCs w:val="22"/>
        </w:rPr>
        <w:t xml:space="preserve">cost-effective and reasonable </w:t>
      </w:r>
      <w:r w:rsidR="00F31F43" w:rsidRPr="00DD02CB">
        <w:rPr>
          <w:color w:val="000000"/>
          <w:sz w:val="22"/>
          <w:szCs w:val="22"/>
        </w:rPr>
        <w:t xml:space="preserve">non-point source BMPs </w:t>
      </w:r>
      <w:r w:rsidR="00BA176F">
        <w:rPr>
          <w:color w:val="000000"/>
          <w:sz w:val="22"/>
          <w:szCs w:val="22"/>
        </w:rPr>
        <w:t xml:space="preserve">in the supporting documentation </w:t>
      </w:r>
      <w:r w:rsidR="00F31F43" w:rsidRPr="00DD02CB">
        <w:rPr>
          <w:color w:val="000000"/>
          <w:sz w:val="22"/>
          <w:szCs w:val="22"/>
        </w:rPr>
        <w:t xml:space="preserve">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21C9B3DC"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D55BA2">
        <w:rPr>
          <w:bCs/>
          <w:color w:val="000000" w:themeColor="text1"/>
          <w:sz w:val="22"/>
          <w:szCs w:val="22"/>
        </w:rPr>
        <w:t xml:space="preserve">The federal variance rule does not require that </w:t>
      </w:r>
      <w:r w:rsidR="007F4D23">
        <w:rPr>
          <w:bCs/>
          <w:color w:val="000000" w:themeColor="text1"/>
          <w:sz w:val="22"/>
          <w:szCs w:val="22"/>
        </w:rPr>
        <w:t>PMPs</w:t>
      </w:r>
      <w:r w:rsidR="00D55BA2">
        <w:rPr>
          <w:bCs/>
          <w:color w:val="000000" w:themeColor="text1"/>
          <w:sz w:val="22"/>
          <w:szCs w:val="22"/>
        </w:rPr>
        <w:t xml:space="preserve"> developed under a waterbody variance conform to BMPs that are identified in supporting documentation for that variance</w:t>
      </w:r>
      <w:r w:rsidR="005F3C7B" w:rsidRPr="005F3C7B">
        <w:rPr>
          <w:bCs/>
          <w:color w:val="000000" w:themeColor="text1"/>
          <w:sz w:val="22"/>
          <w:szCs w:val="22"/>
        </w:rPr>
        <w:t>.</w:t>
      </w:r>
      <w:r w:rsidR="00D55BA2">
        <w:rPr>
          <w:bCs/>
          <w:color w:val="000000" w:themeColor="text1"/>
          <w:sz w:val="22"/>
          <w:szCs w:val="22"/>
        </w:rPr>
        <w:t xml:space="preserve"> </w:t>
      </w:r>
      <w:r w:rsidR="007F4D23">
        <w:rPr>
          <w:bCs/>
          <w:color w:val="000000" w:themeColor="text1"/>
          <w:sz w:val="22"/>
          <w:szCs w:val="22"/>
        </w:rPr>
        <w:t>As such conformity is not required by the federal rule, DEQ has concluded that the decision as to whether to require such conformity should be based on the specific</w:t>
      </w:r>
      <w:r w:rsidR="004025EE">
        <w:rPr>
          <w:bCs/>
          <w:color w:val="000000" w:themeColor="text1"/>
          <w:sz w:val="22"/>
          <w:szCs w:val="22"/>
        </w:rPr>
        <w:t xml:space="preserve"> situation</w:t>
      </w:r>
      <w:bookmarkStart w:id="14" w:name="_GoBack"/>
      <w:bookmarkEnd w:id="14"/>
      <w:r w:rsidR="007F4D23">
        <w:rPr>
          <w:bCs/>
          <w:color w:val="000000" w:themeColor="text1"/>
          <w:sz w:val="22"/>
          <w:szCs w:val="22"/>
        </w:rPr>
        <w:t xml:space="preserve"> of each waterbody variance.</w:t>
      </w:r>
      <w:r w:rsidR="00D55BA2">
        <w:rPr>
          <w:bCs/>
          <w:color w:val="000000" w:themeColor="text1"/>
          <w:sz w:val="22"/>
          <w:szCs w:val="22"/>
        </w:rPr>
        <w:t xml:space="preserve"> DEQ has not made changes to the rule language in response to this comment.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61A0AF09"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 xml:space="preserve">DEQ </w:t>
      </w:r>
      <w:r w:rsidR="00844A26">
        <w:rPr>
          <w:sz w:val="22"/>
          <w:szCs w:val="22"/>
        </w:rPr>
        <w:t>has revised rule language in</w:t>
      </w:r>
      <w:r w:rsidR="008C3E27" w:rsidRPr="00DD02CB">
        <w:rPr>
          <w:sz w:val="22"/>
          <w:szCs w:val="22"/>
        </w:rPr>
        <w:t xml:space="preserve"> </w:t>
      </w:r>
      <w:r w:rsidR="00844A26">
        <w:rPr>
          <w:sz w:val="22"/>
          <w:szCs w:val="22"/>
        </w:rPr>
        <w:t xml:space="preserve">section 6 </w:t>
      </w:r>
      <w:r w:rsidR="008C3E27" w:rsidRPr="00DD02CB">
        <w:rPr>
          <w:sz w:val="22"/>
          <w:szCs w:val="22"/>
        </w:rPr>
        <w:t>accordingly.</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5F48B2F3"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 xml:space="preserve">All monitoring done under the proposed rule must be included in the annual report as required in (6)(d). These reports are available to the public. Therefore, </w:t>
      </w:r>
      <w:r w:rsidR="00DA1A52">
        <w:rPr>
          <w:bCs/>
          <w:color w:val="000000" w:themeColor="text1"/>
          <w:sz w:val="22"/>
          <w:szCs w:val="22"/>
        </w:rPr>
        <w:t>it is not necessary</w:t>
      </w:r>
      <w:r w:rsidR="003A36DF">
        <w:rPr>
          <w:bCs/>
          <w:color w:val="000000" w:themeColor="text1"/>
          <w:sz w:val="22"/>
          <w:szCs w:val="22"/>
        </w:rPr>
        <w:t xml:space="preserve"> to </w:t>
      </w:r>
      <w:r w:rsidR="003A36DF">
        <w:rPr>
          <w:bCs/>
          <w:color w:val="000000" w:themeColor="text1"/>
          <w:sz w:val="22"/>
          <w:szCs w:val="22"/>
        </w:rPr>
        <w:lastRenderedPageBreak/>
        <w:t xml:space="preserve">add “public reporting” </w:t>
      </w:r>
      <w:r w:rsidR="00A465A0">
        <w:rPr>
          <w:bCs/>
          <w:color w:val="000000" w:themeColor="text1"/>
          <w:sz w:val="22"/>
          <w:szCs w:val="22"/>
        </w:rPr>
        <w:t>to the language in (6)(c)</w:t>
      </w:r>
      <w:r w:rsidR="003A36DF">
        <w:rPr>
          <w:bCs/>
          <w:color w:val="000000" w:themeColor="text1"/>
          <w:sz w:val="22"/>
          <w:szCs w:val="22"/>
        </w:rPr>
        <w:t>.</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5602B806"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w:t>
      </w:r>
      <w:r w:rsidR="00744E74">
        <w:rPr>
          <w:sz w:val="22"/>
          <w:szCs w:val="22"/>
        </w:rPr>
        <w:t xml:space="preserve">in section (6)(d) </w:t>
      </w:r>
      <w:r w:rsidR="003A36DF">
        <w:rPr>
          <w:sz w:val="22"/>
          <w:szCs w:val="22"/>
        </w:rPr>
        <w:t xml:space="preserve">already includes the language “Any impediments to reaching any specific milestones.” This language </w:t>
      </w:r>
      <w:r w:rsidR="002F12D5">
        <w:rPr>
          <w:sz w:val="22"/>
          <w:szCs w:val="22"/>
        </w:rPr>
        <w:t xml:space="preserve">requires dischargers to state 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0C250F5F"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w:t>
      </w:r>
      <w:r w:rsidR="0068373B">
        <w:rPr>
          <w:bCs/>
          <w:color w:val="000000" w:themeColor="text1"/>
          <w:sz w:val="22"/>
          <w:szCs w:val="22"/>
        </w:rPr>
        <w:t>, which is available to the public</w:t>
      </w:r>
      <w:r w:rsidR="003A53CF" w:rsidRPr="00DD02CB">
        <w:rPr>
          <w:bCs/>
          <w:color w:val="000000" w:themeColor="text1"/>
          <w:sz w:val="22"/>
          <w:szCs w:val="22"/>
        </w:rPr>
        <w:t xml:space="preserve">. </w:t>
      </w:r>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DEQ has added a new section under OAR 340-041-0059(7)(b) in response to this comment.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 xml:space="preserve">in section (7)(c)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can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6F89A910"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340-041-0059(7)(c)</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r w:rsidR="003B784C">
        <w:rPr>
          <w:bCs/>
          <w:color w:val="000000" w:themeColor="text1"/>
          <w:sz w:val="22"/>
          <w:szCs w:val="22"/>
        </w:rPr>
        <w:t xml:space="preserve"> to specify where and what information is published in DEQ website</w:t>
      </w:r>
      <w:r w:rsidR="00A8413C">
        <w:rPr>
          <w:bCs/>
          <w:color w:val="000000" w:themeColor="text1"/>
          <w:sz w:val="22"/>
          <w:szCs w:val="22"/>
        </w:rPr>
        <w:t>.</w:t>
      </w:r>
      <w:r w:rsidR="002F12D5">
        <w:rPr>
          <w:bCs/>
          <w:color w:val="000000" w:themeColor="text1"/>
          <w:sz w:val="22"/>
          <w:szCs w:val="22"/>
        </w:rPr>
        <w:t xml:space="preserve"> DEQ also has deleted proposed language in section 8 in response to this comment.</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r w:rsidR="007F7F8C" w:rsidRPr="00DD02CB">
        <w:rPr>
          <w:sz w:val="22"/>
          <w:szCs w:val="22"/>
        </w:rPr>
        <w:t>should be spelled out.</w:t>
      </w:r>
    </w:p>
    <w:p w14:paraId="29A81634" w14:textId="77777777" w:rsidR="004D6736" w:rsidRPr="00DD02CB" w:rsidRDefault="004D6736" w:rsidP="004D6736">
      <w:pPr>
        <w:tabs>
          <w:tab w:val="left" w:pos="1080"/>
        </w:tabs>
        <w:ind w:left="0" w:right="634"/>
        <w:rPr>
          <w:b/>
          <w:bCs/>
          <w:sz w:val="22"/>
          <w:szCs w:val="22"/>
        </w:rPr>
      </w:pPr>
    </w:p>
    <w:p w14:paraId="06C7AD46" w14:textId="50F2D10A"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is proposing to delete proposed language at OAR 340-041-0059(8</w:t>
      </w:r>
      <w:r w:rsidR="00613F84">
        <w:rPr>
          <w:bCs/>
          <w:color w:val="000000" w:themeColor="text1"/>
          <w:sz w:val="22"/>
          <w:szCs w:val="22"/>
        </w:rPr>
        <w:t>). S</w:t>
      </w:r>
      <w:r w:rsidR="002F12D5">
        <w:rPr>
          <w:bCs/>
          <w:color w:val="000000" w:themeColor="text1"/>
          <w:sz w:val="22"/>
          <w:szCs w:val="22"/>
        </w:rPr>
        <w:t xml:space="preserve">ee </w:t>
      </w:r>
      <w:r w:rsidR="00613F84">
        <w:rPr>
          <w:bCs/>
          <w:color w:val="000000" w:themeColor="text1"/>
          <w:sz w:val="22"/>
          <w:szCs w:val="22"/>
        </w:rPr>
        <w:t xml:space="preserve">the </w:t>
      </w:r>
      <w:r w:rsidR="002F12D5">
        <w:rPr>
          <w:bCs/>
          <w:color w:val="000000" w:themeColor="text1"/>
          <w:sz w:val="22"/>
          <w:szCs w:val="22"/>
        </w:rPr>
        <w:t>response to Comment #6</w:t>
      </w:r>
      <w:r w:rsidR="007C7DC0">
        <w:rPr>
          <w:bCs/>
          <w:color w:val="000000" w:themeColor="text1"/>
          <w:sz w:val="22"/>
          <w:szCs w:val="22"/>
        </w:rPr>
        <w:t>3</w:t>
      </w:r>
      <w:r w:rsidR="0019048F">
        <w:rPr>
          <w:bCs/>
          <w:color w:val="000000" w:themeColor="text1"/>
          <w:sz w:val="22"/>
          <w:szCs w:val="22"/>
        </w:rPr>
        <w:t xml:space="preserve">. </w:t>
      </w:r>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0EF4DD9A"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 xml:space="preserve">DEQ agrees </w:t>
      </w:r>
      <w:r w:rsidR="00613F84">
        <w:rPr>
          <w:sz w:val="22"/>
          <w:szCs w:val="22"/>
        </w:rPr>
        <w:t>that</w:t>
      </w:r>
      <w:r w:rsidR="00613F84" w:rsidRPr="00DD02CB">
        <w:rPr>
          <w:sz w:val="22"/>
          <w:szCs w:val="22"/>
        </w:rPr>
        <w:t xml:space="preserve"> </w:t>
      </w:r>
      <w:r w:rsidR="00DD02CB" w:rsidRPr="00DD02CB">
        <w:rPr>
          <w:sz w:val="22"/>
          <w:szCs w:val="22"/>
        </w:rPr>
        <w:t xml:space="preserve">this </w:t>
      </w:r>
      <w:r w:rsidR="00613F84">
        <w:rPr>
          <w:sz w:val="22"/>
          <w:szCs w:val="22"/>
        </w:rPr>
        <w:t>comment is consistent with the federal regulations</w:t>
      </w:r>
      <w:r w:rsidR="00DD02CB" w:rsidRPr="00DD02CB">
        <w:rPr>
          <w:sz w:val="22"/>
          <w:szCs w:val="22"/>
        </w:rPr>
        <w:t xml:space="preserve"> and has </w:t>
      </w:r>
      <w:r w:rsidR="00DD02CB">
        <w:rPr>
          <w:sz w:val="22"/>
          <w:szCs w:val="22"/>
        </w:rPr>
        <w:t>made changes to proposed rule language at OAR 340-041-0059(5)</w:t>
      </w:r>
      <w:r w:rsidR="005D2010">
        <w:rPr>
          <w:sz w:val="22"/>
          <w:szCs w:val="22"/>
        </w:rPr>
        <w:t>(C))</w:t>
      </w:r>
      <w:r w:rsidR="00DD02CB">
        <w:rPr>
          <w:sz w:val="22"/>
          <w:szCs w:val="22"/>
        </w:rPr>
        <w:t xml:space="preserve">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6F5060FC"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w:t>
      </w:r>
      <w:r w:rsidR="005D2010">
        <w:rPr>
          <w:bCs/>
          <w:color w:val="000000" w:themeColor="text1"/>
          <w:sz w:val="22"/>
          <w:szCs w:val="22"/>
        </w:rPr>
        <w:t xml:space="preserve">also </w:t>
      </w:r>
      <w:r w:rsidR="00613F84">
        <w:rPr>
          <w:bCs/>
          <w:color w:val="000000" w:themeColor="text1"/>
          <w:sz w:val="22"/>
          <w:szCs w:val="22"/>
        </w:rPr>
        <w:t>revise</w:t>
      </w:r>
      <w:r w:rsidR="005D2010">
        <w:rPr>
          <w:bCs/>
          <w:color w:val="000000" w:themeColor="text1"/>
          <w:sz w:val="22"/>
          <w:szCs w:val="22"/>
        </w:rPr>
        <w:t>d</w:t>
      </w:r>
      <w:r w:rsidR="00613F84">
        <w:rPr>
          <w:bCs/>
          <w:color w:val="000000" w:themeColor="text1"/>
          <w:sz w:val="22"/>
          <w:szCs w:val="22"/>
        </w:rPr>
        <w:t xml:space="preserve"> the </w:t>
      </w:r>
      <w:r w:rsidR="002F12D5">
        <w:rPr>
          <w:bCs/>
          <w:color w:val="000000" w:themeColor="text1"/>
          <w:sz w:val="22"/>
          <w:szCs w:val="22"/>
        </w:rPr>
        <w:t xml:space="preserve">language in </w:t>
      </w:r>
      <w:r w:rsidR="001969C2">
        <w:rPr>
          <w:bCs/>
          <w:color w:val="000000" w:themeColor="text1"/>
          <w:sz w:val="22"/>
          <w:szCs w:val="22"/>
        </w:rPr>
        <w:t xml:space="preserve">the lead paragraph in OAR 340-041-0345(6) </w:t>
      </w:r>
      <w:r w:rsidR="005D2010">
        <w:rPr>
          <w:bCs/>
          <w:color w:val="000000" w:themeColor="text1"/>
          <w:sz w:val="22"/>
          <w:szCs w:val="22"/>
        </w:rPr>
        <w:t xml:space="preserve">to </w:t>
      </w:r>
      <w:r w:rsidR="008B09A6">
        <w:rPr>
          <w:bCs/>
          <w:color w:val="000000" w:themeColor="text1"/>
          <w:sz w:val="22"/>
          <w:szCs w:val="22"/>
        </w:rPr>
        <w:t>state clearly</w:t>
      </w:r>
      <w:r w:rsidR="005D2010">
        <w:rPr>
          <w:bCs/>
          <w:color w:val="000000" w:themeColor="text1"/>
          <w:sz w:val="22"/>
          <w:szCs w:val="22"/>
        </w:rPr>
        <w:t xml:space="preserve"> that it is a multiple discharger variance </w:t>
      </w:r>
      <w:r w:rsidR="001969C2">
        <w:rPr>
          <w:bCs/>
          <w:color w:val="000000" w:themeColor="text1"/>
          <w:sz w:val="22"/>
          <w:szCs w:val="22"/>
        </w:rPr>
        <w:t>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01F53A2"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w:t>
      </w:r>
      <w:r w:rsidR="002F12D5">
        <w:rPr>
          <w:bCs/>
          <w:color w:val="000000" w:themeColor="text1"/>
          <w:sz w:val="22"/>
          <w:szCs w:val="22"/>
        </w:rPr>
        <w:t xml:space="preserve">is proposing to change </w:t>
      </w:r>
      <w:r w:rsidR="001969C2">
        <w:rPr>
          <w:bCs/>
          <w:color w:val="000000" w:themeColor="text1"/>
          <w:sz w:val="22"/>
          <w:szCs w:val="22"/>
        </w:rPr>
        <w:t>340-041-0345(6)(a)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6297F2CE"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 xml:space="preserve">DEQ’s finding that “the fishing use and associated human health criterion for mercury cannot be </w:t>
      </w:r>
      <w:r w:rsidR="005D2010">
        <w:rPr>
          <w:color w:val="000000"/>
          <w:sz w:val="22"/>
          <w:szCs w:val="22"/>
        </w:rPr>
        <w:t>attained</w:t>
      </w:r>
      <w:r w:rsidR="005D2010" w:rsidRPr="00DD02CB">
        <w:rPr>
          <w:color w:val="000000"/>
          <w:sz w:val="22"/>
          <w:szCs w:val="22"/>
        </w:rPr>
        <w:t xml:space="preserve"> </w:t>
      </w:r>
      <w:r w:rsidR="007F7F8C" w:rsidRPr="00DD02CB">
        <w:rPr>
          <w:color w:val="000000"/>
          <w:sz w:val="22"/>
          <w:szCs w:val="22"/>
        </w:rPr>
        <w:t xml:space="preserve">in the waters of the </w:t>
      </w:r>
      <w:r w:rsidR="00F54965">
        <w:rPr>
          <w:color w:val="000000"/>
          <w:sz w:val="22"/>
          <w:szCs w:val="22"/>
        </w:rPr>
        <w:t xml:space="preserve">Willamette </w:t>
      </w:r>
      <w:r w:rsidR="005D2010">
        <w:rPr>
          <w:color w:val="000000"/>
          <w:sz w:val="22"/>
          <w:szCs w:val="22"/>
        </w:rPr>
        <w:t>B</w:t>
      </w:r>
      <w:r w:rsidR="005D2010" w:rsidRPr="00DD02CB">
        <w:rPr>
          <w:color w:val="000000"/>
          <w:sz w:val="22"/>
          <w:szCs w:val="22"/>
        </w:rPr>
        <w:t xml:space="preserve">asin </w:t>
      </w:r>
      <w:r w:rsidR="007F7F8C" w:rsidRPr="00DD02CB">
        <w:rPr>
          <w:color w:val="000000"/>
          <w:sz w:val="22"/>
          <w:szCs w:val="22"/>
        </w:rPr>
        <w:t>in the next 20 years” is flawed. Without nonpoint source controls, the underl</w:t>
      </w:r>
      <w:r w:rsidR="00AF6875">
        <w:rPr>
          <w:color w:val="000000"/>
          <w:sz w:val="22"/>
          <w:szCs w:val="22"/>
        </w:rPr>
        <w:t>y</w:t>
      </w:r>
      <w:r w:rsidR="007F7F8C" w:rsidRPr="00DD02CB">
        <w:rPr>
          <w:color w:val="000000"/>
          <w:sz w:val="22"/>
          <w:szCs w:val="22"/>
        </w:rPr>
        <w:t>in</w:t>
      </w:r>
      <w:r w:rsidR="00AF6875">
        <w:rPr>
          <w:color w:val="000000"/>
          <w:sz w:val="22"/>
          <w:szCs w:val="22"/>
        </w:rPr>
        <w:t>g</w:t>
      </w:r>
      <w:r w:rsidR="007F7F8C" w:rsidRPr="00DD02CB">
        <w:rPr>
          <w:color w:val="000000"/>
          <w:sz w:val="22"/>
          <w:szCs w:val="22"/>
        </w:rPr>
        <w:t xml:space="preserve"> uses and criteria will never be met.</w:t>
      </w:r>
    </w:p>
    <w:p w14:paraId="3034856C" w14:textId="77777777" w:rsidR="004D6736" w:rsidRPr="00DD02CB" w:rsidRDefault="004D6736" w:rsidP="004D6736">
      <w:pPr>
        <w:tabs>
          <w:tab w:val="left" w:pos="1080"/>
        </w:tabs>
        <w:ind w:left="0" w:right="634"/>
        <w:rPr>
          <w:b/>
          <w:bCs/>
          <w:sz w:val="22"/>
          <w:szCs w:val="22"/>
        </w:rPr>
      </w:pPr>
    </w:p>
    <w:p w14:paraId="2B09D2DD" w14:textId="45F3EDE0" w:rsidR="00AA7C0E"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w:t>
      </w:r>
      <w:r w:rsidR="00AF6875">
        <w:rPr>
          <w:bCs/>
          <w:color w:val="000000" w:themeColor="text1"/>
          <w:sz w:val="22"/>
          <w:szCs w:val="22"/>
        </w:rPr>
        <w:t xml:space="preserve">the </w:t>
      </w:r>
      <w:r w:rsidR="001969C2">
        <w:rPr>
          <w:bCs/>
          <w:color w:val="000000" w:themeColor="text1"/>
          <w:sz w:val="22"/>
          <w:szCs w:val="22"/>
        </w:rPr>
        <w:t xml:space="preserve">supporting documentation that the human health criterion for methyl-mercury </w:t>
      </w:r>
      <w:r w:rsidR="00F54965">
        <w:rPr>
          <w:bCs/>
          <w:color w:val="000000" w:themeColor="text1"/>
          <w:sz w:val="22"/>
          <w:szCs w:val="22"/>
        </w:rPr>
        <w:t>cannot</w:t>
      </w:r>
      <w:r w:rsidR="001969C2">
        <w:rPr>
          <w:bCs/>
          <w:color w:val="000000" w:themeColor="text1"/>
          <w:sz w:val="22"/>
          <w:szCs w:val="22"/>
        </w:rPr>
        <w:t xml:space="preserve"> be remedied </w:t>
      </w:r>
      <w:r w:rsidR="005D2010">
        <w:rPr>
          <w:bCs/>
          <w:color w:val="000000" w:themeColor="text1"/>
          <w:sz w:val="22"/>
          <w:szCs w:val="22"/>
        </w:rPr>
        <w:t>with</w:t>
      </w:r>
      <w:r w:rsidR="001969C2">
        <w:rPr>
          <w:bCs/>
          <w:color w:val="000000" w:themeColor="text1"/>
          <w:sz w:val="22"/>
          <w:szCs w:val="22"/>
        </w:rPr>
        <w:t>in the next 20 years</w:t>
      </w:r>
      <w:r w:rsidR="005D2010">
        <w:rPr>
          <w:bCs/>
          <w:color w:val="000000" w:themeColor="text1"/>
          <w:sz w:val="22"/>
          <w:szCs w:val="22"/>
        </w:rPr>
        <w:t>, which is the term of the</w:t>
      </w:r>
      <w:r w:rsidR="002C1E6D">
        <w:rPr>
          <w:bCs/>
          <w:color w:val="000000" w:themeColor="text1"/>
          <w:sz w:val="22"/>
          <w:szCs w:val="22"/>
        </w:rPr>
        <w:t xml:space="preserve"> variance.</w:t>
      </w:r>
      <w:r w:rsidR="001969C2">
        <w:rPr>
          <w:bCs/>
          <w:color w:val="000000" w:themeColor="text1"/>
          <w:sz w:val="22"/>
          <w:szCs w:val="22"/>
        </w:rPr>
        <w:t xml:space="preserve"> </w:t>
      </w:r>
      <w:r w:rsidR="002C1E6D">
        <w:rPr>
          <w:bCs/>
          <w:color w:val="000000" w:themeColor="text1"/>
          <w:sz w:val="22"/>
          <w:szCs w:val="22"/>
        </w:rPr>
        <w:t>B</w:t>
      </w:r>
      <w:r w:rsidR="001969C2">
        <w:rPr>
          <w:bCs/>
          <w:color w:val="000000" w:themeColor="text1"/>
          <w:sz w:val="22"/>
          <w:szCs w:val="22"/>
        </w:rPr>
        <w:t xml:space="preserve">ased on findings in the </w:t>
      </w:r>
      <w:r w:rsidR="002F12D5">
        <w:rPr>
          <w:bCs/>
          <w:color w:val="000000" w:themeColor="text1"/>
          <w:sz w:val="22"/>
          <w:szCs w:val="22"/>
        </w:rPr>
        <w:t>updated</w:t>
      </w:r>
      <w:r w:rsidR="001969C2">
        <w:rPr>
          <w:bCs/>
          <w:color w:val="000000" w:themeColor="text1"/>
          <w:sz w:val="22"/>
          <w:szCs w:val="22"/>
        </w:rPr>
        <w:t xml:space="preserve"> TMDL</w:t>
      </w:r>
      <w:r w:rsidR="005D2010">
        <w:rPr>
          <w:bCs/>
          <w:color w:val="000000" w:themeColor="text1"/>
          <w:sz w:val="22"/>
          <w:szCs w:val="22"/>
        </w:rPr>
        <w:t xml:space="preserve"> and </w:t>
      </w:r>
      <w:r w:rsidR="002C1E6D">
        <w:rPr>
          <w:bCs/>
          <w:color w:val="000000" w:themeColor="text1"/>
          <w:sz w:val="22"/>
          <w:szCs w:val="22"/>
        </w:rPr>
        <w:t xml:space="preserve">additional </w:t>
      </w:r>
      <w:r w:rsidR="005D2010">
        <w:rPr>
          <w:bCs/>
          <w:color w:val="000000" w:themeColor="text1"/>
          <w:sz w:val="22"/>
          <w:szCs w:val="22"/>
        </w:rPr>
        <w:t>information</w:t>
      </w:r>
      <w:r w:rsidR="002C1E6D">
        <w:rPr>
          <w:bCs/>
          <w:color w:val="000000" w:themeColor="text1"/>
          <w:sz w:val="22"/>
          <w:szCs w:val="22"/>
        </w:rPr>
        <w:t xml:space="preserve"> cited in the </w:t>
      </w:r>
      <w:r w:rsidR="00AF6875">
        <w:rPr>
          <w:bCs/>
          <w:color w:val="000000" w:themeColor="text1"/>
          <w:sz w:val="22"/>
          <w:szCs w:val="22"/>
        </w:rPr>
        <w:t xml:space="preserve">variance </w:t>
      </w:r>
      <w:r w:rsidR="002C1E6D">
        <w:rPr>
          <w:bCs/>
          <w:color w:val="000000" w:themeColor="text1"/>
          <w:sz w:val="22"/>
          <w:szCs w:val="22"/>
        </w:rPr>
        <w:t xml:space="preserve">support document, </w:t>
      </w:r>
      <w:r w:rsidR="005D2010">
        <w:rPr>
          <w:bCs/>
          <w:color w:val="000000" w:themeColor="text1"/>
          <w:sz w:val="22"/>
          <w:szCs w:val="22"/>
        </w:rPr>
        <w:t>it will take a very long time to meet the underlying criterion</w:t>
      </w:r>
      <w:r w:rsidR="00F54965">
        <w:rPr>
          <w:bCs/>
          <w:color w:val="000000" w:themeColor="text1"/>
          <w:sz w:val="22"/>
          <w:szCs w:val="22"/>
        </w:rPr>
        <w:t xml:space="preserve">. </w:t>
      </w:r>
      <w:r w:rsidR="00525B37">
        <w:rPr>
          <w:bCs/>
          <w:color w:val="000000" w:themeColor="text1"/>
          <w:sz w:val="22"/>
          <w:szCs w:val="22"/>
        </w:rPr>
        <w:t>The Willamette Basin mercury TMDL submitted to EPA indicates that it will take decades to implement needed activities (including nonpoint source controls) and see reduced levels of mercury in fish tissue sufficient to meet load allocations under the TMDL.</w:t>
      </w:r>
      <w:r w:rsidR="002F12D5">
        <w:rPr>
          <w:bCs/>
          <w:color w:val="000000" w:themeColor="text1"/>
          <w:sz w:val="22"/>
          <w:szCs w:val="22"/>
        </w:rPr>
        <w:t xml:space="preserve"> </w:t>
      </w:r>
      <w:r w:rsidR="00F54965">
        <w:rPr>
          <w:bCs/>
          <w:color w:val="000000" w:themeColor="text1"/>
          <w:sz w:val="22"/>
          <w:szCs w:val="22"/>
        </w:rPr>
        <w:t xml:space="preserve">Nonpoint source controls are addressed in the TMDL. </w:t>
      </w:r>
    </w:p>
    <w:p w14:paraId="2AC021E4" w14:textId="77777777" w:rsidR="00AA7C0E" w:rsidRDefault="00AA7C0E" w:rsidP="004D6736">
      <w:pPr>
        <w:ind w:left="0" w:right="630"/>
        <w:rPr>
          <w:bCs/>
          <w:color w:val="000000" w:themeColor="text1"/>
          <w:sz w:val="22"/>
          <w:szCs w:val="22"/>
        </w:rPr>
      </w:pPr>
    </w:p>
    <w:p w14:paraId="4DF3ECB6" w14:textId="5705155C" w:rsidR="001969C2" w:rsidRPr="00DD02CB" w:rsidRDefault="00AF6875" w:rsidP="004D6736">
      <w:pPr>
        <w:ind w:left="0" w:right="630"/>
        <w:rPr>
          <w:bCs/>
          <w:color w:val="000000" w:themeColor="text1"/>
          <w:sz w:val="22"/>
          <w:szCs w:val="22"/>
        </w:rPr>
      </w:pPr>
      <w:r>
        <w:rPr>
          <w:bCs/>
          <w:color w:val="000000" w:themeColor="text1"/>
          <w:sz w:val="22"/>
          <w:szCs w:val="22"/>
        </w:rPr>
        <w:t xml:space="preserve">In addition, the runoff of precipitation and snowmelt into streams and some level of erosion and sediment transport into and by streams are also natural process upon which </w:t>
      </w:r>
      <w:r w:rsidR="00AA7C0E">
        <w:rPr>
          <w:bCs/>
          <w:color w:val="000000" w:themeColor="text1"/>
          <w:sz w:val="22"/>
          <w:szCs w:val="22"/>
        </w:rPr>
        <w:t xml:space="preserve">flowing streams and </w:t>
      </w:r>
      <w:r>
        <w:rPr>
          <w:bCs/>
          <w:color w:val="000000" w:themeColor="text1"/>
          <w:sz w:val="22"/>
          <w:szCs w:val="22"/>
        </w:rPr>
        <w:t xml:space="preserve">stable channels depend. Therefore, </w:t>
      </w:r>
      <w:r w:rsidR="00AA7C0E">
        <w:rPr>
          <w:bCs/>
          <w:color w:val="000000" w:themeColor="text1"/>
          <w:sz w:val="22"/>
          <w:szCs w:val="22"/>
        </w:rPr>
        <w:t xml:space="preserve">it may not be possible to achieve the underlying criterion until </w:t>
      </w:r>
      <w:r>
        <w:rPr>
          <w:bCs/>
          <w:color w:val="000000" w:themeColor="text1"/>
          <w:sz w:val="22"/>
          <w:szCs w:val="22"/>
        </w:rPr>
        <w:t xml:space="preserve">dry and wet deposition of mercury from the atmosphere </w:t>
      </w:r>
      <w:r w:rsidR="00AA7C0E">
        <w:rPr>
          <w:bCs/>
          <w:color w:val="000000" w:themeColor="text1"/>
          <w:sz w:val="22"/>
          <w:szCs w:val="22"/>
        </w:rPr>
        <w:t>is also significantly reduced.</w:t>
      </w:r>
      <w:r>
        <w:rPr>
          <w:bCs/>
          <w:color w:val="000000" w:themeColor="text1"/>
          <w:sz w:val="22"/>
          <w:szCs w:val="22"/>
        </w:rPr>
        <w:t xml:space="preserve"> </w:t>
      </w:r>
      <w:r w:rsidR="00AA7C0E">
        <w:rPr>
          <w:bCs/>
          <w:color w:val="000000" w:themeColor="text1"/>
          <w:sz w:val="22"/>
          <w:szCs w:val="22"/>
        </w:rPr>
        <w:t xml:space="preserve">This is expected to be a very long term process. </w:t>
      </w:r>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lastRenderedPageBreak/>
        <w:t>Comment #</w:t>
      </w:r>
      <w:r w:rsidR="006F02E5">
        <w:rPr>
          <w:b/>
          <w:bCs/>
          <w:sz w:val="22"/>
          <w:szCs w:val="22"/>
        </w:rPr>
        <w:t>69</w:t>
      </w:r>
      <w:r w:rsidRPr="00DD02CB">
        <w:rPr>
          <w:b/>
          <w:bCs/>
          <w:sz w:val="22"/>
          <w:szCs w:val="22"/>
        </w:rPr>
        <w:t xml:space="preserve">. </w:t>
      </w:r>
      <w:r w:rsidR="007F7F8C" w:rsidRPr="00DD02CB">
        <w:rPr>
          <w:color w:val="000000"/>
          <w:sz w:val="22"/>
          <w:szCs w:val="22"/>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206E833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FB3186">
        <w:rPr>
          <w:bCs/>
          <w:color w:val="000000" w:themeColor="text1"/>
          <w:sz w:val="22"/>
          <w:szCs w:val="22"/>
        </w:rPr>
        <w:t>Please see response to comment #68</w:t>
      </w:r>
      <w:r w:rsidR="001969C2">
        <w:rPr>
          <w:bCs/>
          <w:color w:val="000000" w:themeColor="text1"/>
          <w:sz w:val="22"/>
          <w:szCs w:val="22"/>
        </w:rPr>
        <w: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4ED9D982" w:rsidR="004D5CAC" w:rsidRPr="004D5CAC" w:rsidRDefault="004D5CAC" w:rsidP="007F7F8C">
      <w:pPr>
        <w:ind w:left="0" w:right="0"/>
        <w:rPr>
          <w:sz w:val="22"/>
          <w:szCs w:val="22"/>
        </w:rPr>
      </w:pPr>
      <w:r>
        <w:rPr>
          <w:b/>
          <w:sz w:val="22"/>
          <w:szCs w:val="22"/>
        </w:rPr>
        <w:t xml:space="preserve">Response. </w:t>
      </w:r>
      <w:r>
        <w:rPr>
          <w:sz w:val="22"/>
          <w:szCs w:val="22"/>
        </w:rPr>
        <w:t xml:space="preserve">DEQ has </w:t>
      </w:r>
      <w:r w:rsidR="008E3F74">
        <w:rPr>
          <w:sz w:val="22"/>
          <w:szCs w:val="22"/>
        </w:rPr>
        <w:t xml:space="preserve">added a </w:t>
      </w:r>
      <w:r w:rsidR="00E11EA8">
        <w:rPr>
          <w:sz w:val="22"/>
          <w:szCs w:val="22"/>
        </w:rPr>
        <w:t>statement</w:t>
      </w:r>
      <w:r>
        <w:rPr>
          <w:sz w:val="22"/>
          <w:szCs w:val="22"/>
        </w:rPr>
        <w:t xml:space="preserve"> to OAR 340-041-0345(6)(a)(C) </w:t>
      </w:r>
      <w:r w:rsidR="00E11EA8">
        <w:rPr>
          <w:sz w:val="22"/>
          <w:szCs w:val="22"/>
        </w:rPr>
        <w:t xml:space="preserve">that is consistent with CFR 131.14(b)(1)(ii) </w:t>
      </w:r>
      <w:r>
        <w:rPr>
          <w:sz w:val="22"/>
          <w:szCs w:val="22"/>
        </w:rPr>
        <w:t>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15816AC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 xml:space="preserve">DEQ has </w:t>
      </w:r>
      <w:r w:rsidR="00DC593D">
        <w:rPr>
          <w:bCs/>
          <w:color w:val="000000" w:themeColor="text1"/>
          <w:sz w:val="22"/>
          <w:szCs w:val="22"/>
        </w:rPr>
        <w:t>removed the provision in 340-041-0345(6)(a)(C)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clarify that “erosion of native soils”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in the findings at OAR 340-041-0345(a) accordingly</w:t>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 xml:space="preserve">at OAR 340-041-0345(6)(a)(A)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NWPPA supports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 xml:space="preserve">in the finding at OAR 340-041-0345(6)(a)(C)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712DEE1E"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w:t>
      </w:r>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1857C39D"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w:t>
      </w:r>
      <w:r w:rsidR="00C201CA">
        <w:rPr>
          <w:bCs/>
          <w:color w:val="000000" w:themeColor="text1"/>
          <w:sz w:val="22"/>
          <w:szCs w:val="22"/>
        </w:rPr>
        <w:t xml:space="preserve">2010 </w:t>
      </w:r>
      <w:r w:rsidR="00A67FE8">
        <w:rPr>
          <w:bCs/>
          <w:color w:val="000000" w:themeColor="text1"/>
          <w:sz w:val="22"/>
          <w:szCs w:val="22"/>
        </w:rPr>
        <w:t xml:space="preserve">guidance </w:t>
      </w:r>
      <w:r w:rsidR="00C201CA">
        <w:rPr>
          <w:bCs/>
          <w:color w:val="000000" w:themeColor="text1"/>
          <w:sz w:val="22"/>
          <w:szCs w:val="22"/>
        </w:rPr>
        <w:t xml:space="preserve">conducted a thorough analysis and </w:t>
      </w:r>
      <w:r w:rsidR="00A67FE8">
        <w:rPr>
          <w:bCs/>
          <w:color w:val="000000" w:themeColor="text1"/>
          <w:sz w:val="22"/>
          <w:szCs w:val="22"/>
        </w:rPr>
        <w:t xml:space="preserve">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340-041-0345(6)(f).</w:t>
      </w:r>
    </w:p>
    <w:p w14:paraId="21EF74DC" w14:textId="77777777" w:rsidR="004D6736" w:rsidRPr="00DD02CB" w:rsidRDefault="004D6736" w:rsidP="004D6736">
      <w:pPr>
        <w:tabs>
          <w:tab w:val="left" w:pos="1080"/>
        </w:tabs>
        <w:ind w:left="0" w:right="634"/>
        <w:rPr>
          <w:b/>
          <w:bCs/>
          <w:sz w:val="22"/>
          <w:szCs w:val="22"/>
        </w:rPr>
      </w:pPr>
    </w:p>
    <w:p w14:paraId="05C34792" w14:textId="5EEB40DB"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C3987" w:rsidRPr="00BC3987">
        <w:rPr>
          <w:bCs/>
          <w:color w:val="000000" w:themeColor="text1"/>
          <w:sz w:val="22"/>
          <w:szCs w:val="22"/>
        </w:rPr>
        <w:t>See response to Comment #78. DEQ has removed section (c), “Eligibility requirements, as DEQ has listed all possible permittees to which the variance may apply. In addition, DEQ has revised the section on “Application requirements” to clarify that this information is required in order for DEQ to incorporate variance-related requirements into permits.</w:t>
      </w:r>
      <w:r w:rsidR="00BC3987">
        <w:rPr>
          <w:b/>
          <w:bCs/>
          <w:color w:val="000000" w:themeColor="text1"/>
          <w:sz w:val="22"/>
          <w:szCs w:val="22"/>
        </w:rPr>
        <w:t xml:space="preserve">  </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05107BF1"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 xml:space="preserve">he federal variance rule (40 CFR 131.14(b)(1)(i))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don’t know </w:t>
      </w:r>
      <w:r w:rsidR="00DC593D">
        <w:rPr>
          <w:color w:val="000000"/>
          <w:sz w:val="22"/>
          <w:szCs w:val="22"/>
        </w:rPr>
        <w:t>which</w:t>
      </w:r>
      <w:r w:rsidR="00BE6B9A">
        <w:rPr>
          <w:color w:val="000000"/>
          <w:sz w:val="22"/>
          <w:szCs w:val="22"/>
        </w:rPr>
        <w:t xml:space="preserve"> dischargers qualify for the variance to include eligibility requirements. </w:t>
      </w:r>
      <w:r w:rsidR="001E63DA">
        <w:rPr>
          <w:color w:val="000000"/>
          <w:sz w:val="22"/>
          <w:szCs w:val="22"/>
        </w:rPr>
        <w:t xml:space="preserve">However, for clarity, </w:t>
      </w:r>
      <w:r w:rsidR="00BE6B9A">
        <w:rPr>
          <w:color w:val="000000"/>
          <w:sz w:val="22"/>
          <w:szCs w:val="22"/>
        </w:rPr>
        <w:t xml:space="preserve">DEQ </w:t>
      </w:r>
      <w:r w:rsidR="001E63DA">
        <w:rPr>
          <w:color w:val="000000"/>
          <w:sz w:val="22"/>
          <w:szCs w:val="22"/>
        </w:rPr>
        <w:t>has incorporated</w:t>
      </w:r>
      <w:r w:rsidR="00471ECD">
        <w:rPr>
          <w:color w:val="000000"/>
          <w:sz w:val="22"/>
          <w:szCs w:val="22"/>
        </w:rPr>
        <w:t xml:space="preserve"> in the variance rule language a list of dischargers that qualify for a variance under this rule.</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 xml:space="preserve">Regarding enforcement of the LCA, the supporting document at 4.2.1 (page 31), states that DEQ will include permit limits based on quarterly average concentrations and proposes to </w:t>
      </w:r>
      <w:r w:rsidRPr="00DD02CB">
        <w:rPr>
          <w:sz w:val="22"/>
          <w:szCs w:val="22"/>
        </w:rPr>
        <w:lastRenderedPageBreak/>
        <w:t>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604C7179"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w:t>
      </w:r>
      <w:r w:rsidR="006806DC">
        <w:rPr>
          <w:bCs/>
          <w:color w:val="000000" w:themeColor="text1"/>
          <w:sz w:val="22"/>
          <w:szCs w:val="22"/>
        </w:rPr>
        <w:t>4</w:t>
      </w:r>
      <w:r w:rsidR="002E7541">
        <w:rPr>
          <w:bCs/>
          <w:color w:val="000000" w:themeColor="text1"/>
          <w:sz w:val="22"/>
          <w:szCs w:val="22"/>
        </w:rPr>
        <w:t>.2.1 of the supporting document. DEQ made changes to OAR 340-041-0345(6)(f)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7DEC78FE"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w:t>
      </w:r>
      <w:r w:rsidR="00393E62">
        <w:rPr>
          <w:bCs/>
          <w:color w:val="000000" w:themeColor="text1"/>
          <w:sz w:val="22"/>
          <w:szCs w:val="22"/>
        </w:rPr>
        <w:t xml:space="preserve"> to clarify that the level currently achievable applies to all facilities covered by the variance.  </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r w:rsidR="007F7F8C" w:rsidRPr="00DD02CB">
        <w:rPr>
          <w:rFonts w:eastAsiaTheme="minorHAnsi"/>
          <w:sz w:val="22"/>
          <w:szCs w:val="22"/>
        </w:rPr>
        <w:t xml:space="preserve">at (C) and (D), and outreach to such dischargers, </w:t>
      </w:r>
      <w:r w:rsidR="007F7F8C" w:rsidRPr="00DD02CB">
        <w:rPr>
          <w:rFonts w:eastAsiaTheme="minorHAnsi"/>
          <w:i/>
          <w:iCs/>
          <w:sz w:val="22"/>
          <w:szCs w:val="22"/>
        </w:rPr>
        <w:t>id</w:t>
      </w:r>
      <w:r w:rsidR="007F7F8C" w:rsidRPr="00DD02CB">
        <w:rPr>
          <w:rFonts w:eastAsiaTheme="minorHAnsi"/>
          <w:sz w:val="22"/>
          <w:szCs w:val="22"/>
        </w:rPr>
        <w:t>. at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290500DC"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C70CCF">
        <w:rPr>
          <w:bCs/>
          <w:color w:val="000000" w:themeColor="text1"/>
          <w:sz w:val="22"/>
          <w:szCs w:val="22"/>
        </w:rPr>
        <w:t xml:space="preserve">Outreach, education, research and other volunteer activities are allowed </w:t>
      </w:r>
      <w:r w:rsidR="008206CF">
        <w:rPr>
          <w:bCs/>
          <w:color w:val="000000" w:themeColor="text1"/>
          <w:sz w:val="22"/>
          <w:szCs w:val="22"/>
        </w:rPr>
        <w:t xml:space="preserve">and typically included </w:t>
      </w:r>
      <w:r w:rsidR="00C70CCF">
        <w:rPr>
          <w:bCs/>
          <w:color w:val="000000" w:themeColor="text1"/>
          <w:sz w:val="22"/>
          <w:szCs w:val="22"/>
        </w:rPr>
        <w:t>in PMPs</w:t>
      </w:r>
      <w:r w:rsidR="00B7486E">
        <w:rPr>
          <w:bCs/>
          <w:color w:val="000000" w:themeColor="text1"/>
          <w:sz w:val="22"/>
          <w:szCs w:val="22"/>
        </w:rPr>
        <w:t xml:space="preserve">. </w:t>
      </w:r>
      <w:r w:rsidR="008206CF">
        <w:rPr>
          <w:bCs/>
          <w:color w:val="000000" w:themeColor="text1"/>
          <w:sz w:val="22"/>
          <w:szCs w:val="22"/>
        </w:rPr>
        <w:t>DEQ also incorporated additional language in provision (g)(B) and (g)(F) to be consistent with pre-treatment requirements</w:t>
      </w:r>
      <w:r w:rsidR="00B7486E">
        <w:rPr>
          <w:bCs/>
          <w:color w:val="000000" w:themeColor="text1"/>
          <w:sz w:val="22"/>
          <w:szCs w:val="22"/>
        </w:rPr>
        <w:t>.</w:t>
      </w:r>
      <w:r w:rsidR="008E3F74">
        <w:rPr>
          <w:bCs/>
          <w:color w:val="000000" w:themeColor="text1"/>
          <w:sz w:val="22"/>
          <w:szCs w:val="22"/>
        </w:rPr>
        <w:t xml:space="preserve"> </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(6)(i)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702B78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r w:rsidR="006341EE">
        <w:rPr>
          <w:bCs/>
          <w:color w:val="000000" w:themeColor="text1"/>
          <w:sz w:val="22"/>
          <w:szCs w:val="22"/>
        </w:rPr>
        <w:t>is</w:t>
      </w:r>
      <w:r w:rsidR="00BF28C8">
        <w:rPr>
          <w:bCs/>
          <w:color w:val="000000" w:themeColor="text1"/>
          <w:sz w:val="22"/>
          <w:szCs w:val="22"/>
        </w:rPr>
        <w:t xml:space="preserve"> done through water quality assessment and TMDL processes. To the extent that dischargers are required to collect ambient mercury data, DEQ will utilize that data in documenting progress toward achieving the criteria.</w:t>
      </w:r>
      <w:r w:rsidR="00AE53CB">
        <w:rPr>
          <w:bCs/>
          <w:color w:val="000000" w:themeColor="text1"/>
          <w:sz w:val="22"/>
          <w:szCs w:val="22"/>
        </w:rPr>
        <w:t xml:space="preserve"> DEQ did not make changes in response to this comment.</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to be satisfied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lastRenderedPageBreak/>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68A91BE5"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were identified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 xml:space="preserve">TMDL and to focus </w:t>
      </w:r>
      <w:r w:rsidR="00D80605">
        <w:rPr>
          <w:bCs/>
          <w:color w:val="000000" w:themeColor="text1"/>
          <w:sz w:val="22"/>
          <w:szCs w:val="22"/>
        </w:rPr>
        <w:t xml:space="preserve">MMP </w:t>
      </w:r>
      <w:r w:rsidR="00550F9E">
        <w:rPr>
          <w:bCs/>
          <w:color w:val="000000" w:themeColor="text1"/>
          <w:sz w:val="22"/>
          <w:szCs w:val="22"/>
        </w:rPr>
        <w:t xml:space="preserve">efforts </w:t>
      </w:r>
      <w:r w:rsidR="00AE53CB">
        <w:rPr>
          <w:bCs/>
          <w:color w:val="000000" w:themeColor="text1"/>
          <w:sz w:val="22"/>
          <w:szCs w:val="22"/>
        </w:rPr>
        <w:t xml:space="preserve">to </w:t>
      </w:r>
      <w:r w:rsidR="00550F9E">
        <w:rPr>
          <w:bCs/>
          <w:color w:val="000000" w:themeColor="text1"/>
          <w:sz w:val="22"/>
          <w:szCs w:val="22"/>
        </w:rPr>
        <w:t>those industries.</w:t>
      </w:r>
      <w:r w:rsidR="006341EE">
        <w:rPr>
          <w:bCs/>
          <w:color w:val="000000" w:themeColor="text1"/>
          <w:sz w:val="22"/>
          <w:szCs w:val="22"/>
        </w:rPr>
        <w:t xml:space="preserve"> DEQ has not made any </w:t>
      </w:r>
      <w:r w:rsidR="00550F9E">
        <w:rPr>
          <w:bCs/>
          <w:color w:val="000000" w:themeColor="text1"/>
          <w:sz w:val="22"/>
          <w:szCs w:val="22"/>
        </w:rPr>
        <w:t>changes in response to this comment.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extent 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r w:rsidR="004E344C">
        <w:rPr>
          <w:sz w:val="22"/>
          <w:szCs w:val="22"/>
        </w:rPr>
        <w:t xml:space="preserve">should </w:t>
      </w:r>
      <w:r w:rsidR="007F7F8C" w:rsidRPr="00DD02CB">
        <w:rPr>
          <w:sz w:val="22"/>
          <w:szCs w:val="22"/>
        </w:rPr>
        <w:t>be structured to allow trading.</w:t>
      </w:r>
    </w:p>
    <w:p w14:paraId="1C2339DE" w14:textId="77777777" w:rsidR="004D6736" w:rsidRPr="00DD02CB" w:rsidRDefault="004D6736" w:rsidP="004D6736">
      <w:pPr>
        <w:tabs>
          <w:tab w:val="left" w:pos="1080"/>
        </w:tabs>
        <w:ind w:left="0" w:right="634"/>
        <w:rPr>
          <w:b/>
          <w:bCs/>
          <w:sz w:val="22"/>
          <w:szCs w:val="22"/>
        </w:rPr>
      </w:pPr>
    </w:p>
    <w:p w14:paraId="38C75278" w14:textId="6B4E7FD0"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AE53CB" w:rsidRPr="00AE53CB">
        <w:rPr>
          <w:bCs/>
          <w:color w:val="000000" w:themeColor="text1"/>
          <w:sz w:val="22"/>
          <w:szCs w:val="22"/>
        </w:rPr>
        <w:t xml:space="preserve">The </w:t>
      </w:r>
      <w:r w:rsidR="00D8318E" w:rsidRPr="00AE53CB">
        <w:rPr>
          <w:bCs/>
          <w:color w:val="000000" w:themeColor="text1"/>
          <w:sz w:val="22"/>
          <w:szCs w:val="22"/>
        </w:rPr>
        <w:t xml:space="preserve">Multiple Discharger Variance rulemaking is </w:t>
      </w:r>
      <w:r w:rsidR="00AE53CB">
        <w:rPr>
          <w:bCs/>
          <w:color w:val="000000" w:themeColor="text1"/>
          <w:sz w:val="22"/>
          <w:szCs w:val="22"/>
        </w:rPr>
        <w:t>complex</w:t>
      </w:r>
      <w:r w:rsidR="00D8318E" w:rsidRPr="00AE53CB">
        <w:rPr>
          <w:bCs/>
          <w:color w:val="000000" w:themeColor="text1"/>
          <w:sz w:val="22"/>
          <w:szCs w:val="22"/>
        </w:rPr>
        <w:t>. Adding trading will complicate the rule further. Thus,</w:t>
      </w:r>
      <w:r w:rsidR="00D8318E">
        <w:rPr>
          <w:b/>
          <w:bCs/>
          <w:color w:val="000000" w:themeColor="text1"/>
          <w:sz w:val="22"/>
          <w:szCs w:val="22"/>
        </w:rPr>
        <w:t xml:space="preserve"> </w:t>
      </w:r>
      <w:r w:rsidR="004E344C">
        <w:rPr>
          <w:bCs/>
          <w:color w:val="000000" w:themeColor="text1"/>
          <w:sz w:val="22"/>
          <w:szCs w:val="22"/>
        </w:rPr>
        <w:t xml:space="preserve">DEQ has opted to </w:t>
      </w:r>
      <w:r w:rsidR="007338CD">
        <w:rPr>
          <w:bCs/>
          <w:color w:val="000000" w:themeColor="text1"/>
          <w:sz w:val="22"/>
          <w:szCs w:val="22"/>
        </w:rPr>
        <w:t xml:space="preserve">not include </w:t>
      </w:r>
      <w:r w:rsidR="004E344C">
        <w:rPr>
          <w:bCs/>
          <w:color w:val="000000" w:themeColor="text1"/>
          <w:sz w:val="22"/>
          <w:szCs w:val="22"/>
        </w:rPr>
        <w:t>trading</w:t>
      </w:r>
      <w:r w:rsidR="007F5F78">
        <w:rPr>
          <w:bCs/>
          <w:color w:val="000000" w:themeColor="text1"/>
          <w:sz w:val="22"/>
          <w:szCs w:val="22"/>
        </w:rPr>
        <w:t xml:space="preserve"> in this variance</w:t>
      </w:r>
      <w:r w:rsidR="00D8318E">
        <w:rPr>
          <w:bCs/>
          <w:color w:val="000000" w:themeColor="text1"/>
          <w:sz w:val="22"/>
          <w:szCs w:val="22"/>
        </w:rPr>
        <w:t xml:space="preserve"> rulemaking. However, trading may be a topic to be explored in the future. </w:t>
      </w:r>
      <w:r w:rsidR="006341EE">
        <w:rPr>
          <w:bCs/>
          <w:color w:val="000000" w:themeColor="text1"/>
          <w:sz w:val="22"/>
          <w:szCs w:val="22"/>
        </w:rPr>
        <w:t>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(comment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made revisions to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 xml:space="preserve">DEQ should commit to posting the reevaluation and all previous reevaluations on its website. Particularly given that DEQ intends to offer a minimum of a 30-day comment period, potential commenters should not have to request copies of previous </w:t>
      </w:r>
      <w:r w:rsidR="007F7F8C" w:rsidRPr="00DD02CB">
        <w:rPr>
          <w:rFonts w:eastAsiaTheme="minorHAnsi"/>
          <w:sz w:val="22"/>
          <w:szCs w:val="22"/>
        </w:rPr>
        <w:lastRenderedPageBreak/>
        <w:t>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7FA9B2FF"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w:t>
      </w:r>
      <w:r w:rsidR="003B4220">
        <w:rPr>
          <w:bCs/>
          <w:color w:val="000000" w:themeColor="text1"/>
          <w:sz w:val="22"/>
          <w:szCs w:val="22"/>
        </w:rPr>
        <w:t>.</w:t>
      </w:r>
      <w:r w:rsidR="006341EE" w:rsidRPr="006341EE">
        <w:rPr>
          <w:bCs/>
          <w:color w:val="000000" w:themeColor="text1"/>
          <w:sz w:val="22"/>
          <w:szCs w:val="22"/>
        </w:rPr>
        <w:t xml:space="preserve"> </w:t>
      </w:r>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should only be requested if necessary. </w:t>
      </w:r>
      <w:r w:rsidR="003D4392">
        <w:rPr>
          <w:sz w:val="22"/>
          <w:szCs w:val="22"/>
        </w:rPr>
        <w:t xml:space="preserve">Rule language at (6)(i)(C)(ii)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7BDB6E2F"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r w:rsidR="007F7F8C" w:rsidRPr="00DD02CB">
        <w:rPr>
          <w:sz w:val="22"/>
          <w:szCs w:val="22"/>
        </w:rPr>
        <w:t xml:space="preserve">The list of permittees </w:t>
      </w:r>
      <w:r w:rsidR="00761654">
        <w:rPr>
          <w:sz w:val="22"/>
          <w:szCs w:val="22"/>
        </w:rPr>
        <w:t xml:space="preserve">in Section 1.4 </w:t>
      </w:r>
      <w:r w:rsidR="007F7F8C" w:rsidRPr="00DD02CB">
        <w:rPr>
          <w:sz w:val="22"/>
          <w:szCs w:val="22"/>
        </w:rPr>
        <w:t xml:space="preserve">does not include </w:t>
      </w:r>
      <w:r w:rsidR="00761654">
        <w:rPr>
          <w:sz w:val="22"/>
          <w:szCs w:val="22"/>
        </w:rPr>
        <w:t>Clean Water Services’</w:t>
      </w:r>
      <w:r w:rsidR="007F7F8C" w:rsidRPr="00DD02CB">
        <w:rPr>
          <w:sz w:val="22"/>
          <w:szCs w:val="22"/>
        </w:rPr>
        <w:t xml:space="preserve">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p>
    <w:p w14:paraId="36D94952" w14:textId="77777777" w:rsidR="004D6736" w:rsidRPr="00DD02CB" w:rsidRDefault="004D6736" w:rsidP="004D6736">
      <w:pPr>
        <w:tabs>
          <w:tab w:val="left" w:pos="1080"/>
        </w:tabs>
        <w:ind w:left="0" w:right="634"/>
        <w:rPr>
          <w:b/>
          <w:bCs/>
          <w:sz w:val="22"/>
          <w:szCs w:val="22"/>
        </w:rPr>
      </w:pPr>
    </w:p>
    <w:p w14:paraId="48DEABDA" w14:textId="2F2C0304"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w:t>
      </w:r>
    </w:p>
    <w:p w14:paraId="2173949A" w14:textId="77777777" w:rsidR="004D6736" w:rsidRPr="00DD02CB" w:rsidRDefault="004D6736" w:rsidP="004D6736">
      <w:pPr>
        <w:ind w:left="0" w:right="630"/>
        <w:rPr>
          <w:bCs/>
          <w:color w:val="000000" w:themeColor="text1"/>
          <w:sz w:val="22"/>
          <w:szCs w:val="22"/>
        </w:rPr>
      </w:pPr>
    </w:p>
    <w:p w14:paraId="6A189995" w14:textId="73027F3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 xml:space="preserve">.1.2.1. The analysis leading to this conclusion is not particularly rigorous and is unnecessary. Since it has already been made clear in section 3.1.2 that source reduction is preferred over advanced treatment, comparing the two further is not needed to support that approach. </w:t>
      </w:r>
    </w:p>
    <w:p w14:paraId="4CC8C777" w14:textId="77777777" w:rsidR="004D6736" w:rsidRPr="00DD02CB" w:rsidRDefault="004D6736" w:rsidP="004D6736">
      <w:pPr>
        <w:tabs>
          <w:tab w:val="left" w:pos="1080"/>
        </w:tabs>
        <w:ind w:left="0" w:right="634"/>
        <w:rPr>
          <w:b/>
          <w:bCs/>
          <w:sz w:val="22"/>
          <w:szCs w:val="22"/>
        </w:rPr>
      </w:pPr>
    </w:p>
    <w:p w14:paraId="4D98EE01" w14:textId="5D84620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A60806">
        <w:rPr>
          <w:bCs/>
          <w:color w:val="000000" w:themeColor="text1"/>
          <w:sz w:val="22"/>
          <w:szCs w:val="22"/>
        </w:rPr>
        <w:t>See response to Comment #94</w:t>
      </w:r>
      <w:r w:rsidR="001053DB">
        <w:rPr>
          <w:bCs/>
          <w:color w:val="000000" w:themeColor="text1"/>
          <w:sz w:val="22"/>
          <w:szCs w:val="22"/>
        </w:rPr>
        <w:t>.</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efer to facility-specific information that will be provided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55B87DB0"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 xml:space="preserve">DEQ has made </w:t>
      </w:r>
      <w:r w:rsidR="00FC7A9F">
        <w:rPr>
          <w:bCs/>
          <w:color w:val="000000" w:themeColor="text1"/>
          <w:sz w:val="22"/>
          <w:szCs w:val="22"/>
        </w:rPr>
        <w:t>clarifications</w:t>
      </w:r>
      <w:r w:rsidR="008D5EDD" w:rsidRPr="008D5EDD">
        <w:rPr>
          <w:bCs/>
          <w:color w:val="000000" w:themeColor="text1"/>
          <w:sz w:val="22"/>
          <w:szCs w:val="22"/>
        </w:rPr>
        <w:t xml:space="preserve"> to </w:t>
      </w:r>
      <w:r w:rsidR="00FC7A9F">
        <w:rPr>
          <w:bCs/>
          <w:color w:val="000000" w:themeColor="text1"/>
          <w:sz w:val="22"/>
          <w:szCs w:val="22"/>
        </w:rPr>
        <w:t xml:space="preserve">the </w:t>
      </w:r>
      <w:r w:rsidR="008D5EDD" w:rsidRPr="008D5EDD">
        <w:rPr>
          <w:bCs/>
          <w:color w:val="000000" w:themeColor="text1"/>
          <w:sz w:val="22"/>
          <w:szCs w:val="22"/>
        </w:rPr>
        <w:t>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The variance must identify how other sources, beyond point sources, of mercury can be remedied and include those activities. (for example, this could include non-point source reductions; commitments under existing programs, etc)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58FCE9BC" w:rsidR="004D6736" w:rsidRPr="0082062C" w:rsidRDefault="004D6736" w:rsidP="004D6736">
      <w:pPr>
        <w:ind w:left="0" w:right="630"/>
        <w:rPr>
          <w:bCs/>
          <w:color w:val="000000" w:themeColor="text1"/>
          <w:sz w:val="22"/>
          <w:szCs w:val="22"/>
        </w:rPr>
      </w:pPr>
      <w:r w:rsidRPr="0082062C">
        <w:rPr>
          <w:b/>
          <w:bCs/>
          <w:color w:val="000000" w:themeColor="text1"/>
          <w:sz w:val="22"/>
          <w:szCs w:val="22"/>
        </w:rPr>
        <w:t>Response.</w:t>
      </w:r>
      <w:r w:rsidR="008D5EDD" w:rsidRPr="0082062C">
        <w:rPr>
          <w:b/>
          <w:bCs/>
          <w:color w:val="000000" w:themeColor="text1"/>
          <w:sz w:val="22"/>
          <w:szCs w:val="22"/>
        </w:rPr>
        <w:t xml:space="preserve"> </w:t>
      </w:r>
      <w:r w:rsidR="008D5EDD" w:rsidRPr="0082062C">
        <w:rPr>
          <w:bCs/>
          <w:color w:val="000000" w:themeColor="text1"/>
          <w:sz w:val="22"/>
          <w:szCs w:val="22"/>
        </w:rPr>
        <w:t xml:space="preserve">DEQ has </w:t>
      </w:r>
      <w:r w:rsidR="00341CFE" w:rsidRPr="0082062C">
        <w:rPr>
          <w:bCs/>
          <w:color w:val="000000" w:themeColor="text1"/>
          <w:sz w:val="22"/>
          <w:szCs w:val="22"/>
        </w:rPr>
        <w:t>revised its justification for the term of the variance</w:t>
      </w:r>
      <w:r w:rsidR="0082062C" w:rsidRPr="0082062C">
        <w:rPr>
          <w:bCs/>
          <w:color w:val="000000" w:themeColor="text1"/>
          <w:sz w:val="22"/>
          <w:szCs w:val="22"/>
        </w:rPr>
        <w:t xml:space="preserve">. In addition, </w:t>
      </w:r>
      <w:r w:rsidR="0082062C" w:rsidRPr="0082062C">
        <w:rPr>
          <w:sz w:val="22"/>
          <w:szCs w:val="22"/>
        </w:rPr>
        <w:t>DEQ has included additional discussion in Section 3.2.3 of the supporting documentation (Attachment 1) regarding regulatory and non-regulatory state programs that, over time, will reduce mercury loads. As discussed in the supporting documentation, DEQ’s November 2019 Willamette Mercury TMDL and Water Quality Management Plan indicates that it will take at least 20 years, for activities conducted through these programs to result in attainment of the fish-tissue based methylmercury criterion. At EPA’s request, DEQ also has included in section (i) of the rule an acknowledgement of state programs and activities that will result in mercury reductions over time.</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p w14:paraId="686A85CC" w14:textId="77777777" w:rsidR="004D6736" w:rsidRPr="00DD02CB" w:rsidRDefault="004D6736" w:rsidP="004D6736">
      <w:pPr>
        <w:tabs>
          <w:tab w:val="left" w:pos="1080"/>
        </w:tabs>
        <w:ind w:left="0" w:right="634"/>
        <w:rPr>
          <w:b/>
          <w:bCs/>
          <w:sz w:val="22"/>
          <w:szCs w:val="22"/>
        </w:rPr>
      </w:pPr>
    </w:p>
    <w:p w14:paraId="599BCA22" w14:textId="4EE3E6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61654">
        <w:rPr>
          <w:b/>
          <w:bCs/>
          <w:color w:val="000000" w:themeColor="text1"/>
          <w:sz w:val="22"/>
          <w:szCs w:val="22"/>
        </w:rPr>
        <w:t xml:space="preserve"> </w:t>
      </w:r>
      <w:r w:rsidR="00932004" w:rsidRPr="00932004">
        <w:rPr>
          <w:bCs/>
          <w:color w:val="000000" w:themeColor="text1"/>
          <w:sz w:val="22"/>
          <w:szCs w:val="22"/>
        </w:rPr>
        <w:t>DEQ</w:t>
      </w:r>
      <w:r w:rsidR="00DA3049">
        <w:rPr>
          <w:bCs/>
          <w:color w:val="000000" w:themeColor="text1"/>
          <w:sz w:val="22"/>
          <w:szCs w:val="22"/>
        </w:rPr>
        <w:t xml:space="preserve"> has revised Section 4.2.1 of the supporting documentation to allow for alternate methods to develop permit limits if a discharger provides data to DEQ showing that the measured effluent data do not match a log-normal distribution</w:t>
      </w:r>
      <w:r w:rsidR="00932004">
        <w:rPr>
          <w:bCs/>
          <w:color w:val="000000" w:themeColor="text1"/>
          <w:sz w:val="22"/>
          <w:szCs w:val="22"/>
        </w:rPr>
        <w:t>.</w:t>
      </w:r>
      <w:r w:rsidR="00DA3049">
        <w:rPr>
          <w:bCs/>
          <w:color w:val="000000" w:themeColor="text1"/>
          <w:sz w:val="22"/>
          <w:szCs w:val="22"/>
        </w:rPr>
        <w:t xml:space="preserve"> Any alternate method for developing effluent limits should be consistent with EPA’s guidance.</w:t>
      </w:r>
      <w:r w:rsidR="00932004">
        <w:rPr>
          <w:bCs/>
          <w:color w:val="000000" w:themeColor="text1"/>
          <w:sz w:val="22"/>
          <w:szCs w:val="22"/>
        </w:rPr>
        <w:t xml:space="preserve"> </w:t>
      </w:r>
    </w:p>
    <w:p w14:paraId="48A67130" w14:textId="77777777" w:rsidR="004D6736" w:rsidRPr="00DD02CB" w:rsidRDefault="004D6736" w:rsidP="004D6736">
      <w:pPr>
        <w:ind w:left="0" w:right="630"/>
        <w:rPr>
          <w:bCs/>
          <w:color w:val="000000" w:themeColor="text1"/>
          <w:sz w:val="22"/>
          <w:szCs w:val="22"/>
        </w:rPr>
      </w:pPr>
    </w:p>
    <w:p w14:paraId="36F31B94" w14:textId="74154F35"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 xml:space="preserve">be added </w:t>
      </w:r>
      <w:r w:rsidR="00761654">
        <w:rPr>
          <w:rFonts w:eastAsiaTheme="minorHAnsi"/>
          <w:sz w:val="22"/>
          <w:szCs w:val="22"/>
        </w:rPr>
        <w:t xml:space="preserve">to </w:t>
      </w:r>
      <w:r w:rsidR="00DE38FD" w:rsidRPr="00DD02CB">
        <w:rPr>
          <w:rFonts w:eastAsiaTheme="minorHAnsi"/>
          <w:sz w:val="22"/>
          <w:szCs w:val="22"/>
        </w:rPr>
        <w:t>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5F41AF9B"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932004" w:rsidRPr="00932004">
        <w:rPr>
          <w:bCs/>
          <w:color w:val="000000" w:themeColor="text1"/>
          <w:sz w:val="22"/>
          <w:szCs w:val="22"/>
        </w:rPr>
        <w:t>See response to Comment #99.</w:t>
      </w:r>
      <w:r w:rsidR="00932004">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r w:rsidR="00D50697">
        <w:rPr>
          <w:bCs/>
          <w:color w:val="000000" w:themeColor="text1"/>
          <w:sz w:val="22"/>
          <w:szCs w:val="22"/>
        </w:rPr>
        <w:t xml:space="preserve"> We </w:t>
      </w:r>
      <w:r w:rsidR="00761654">
        <w:rPr>
          <w:bCs/>
          <w:color w:val="000000" w:themeColor="text1"/>
          <w:sz w:val="22"/>
          <w:szCs w:val="22"/>
        </w:rPr>
        <w:t>strive</w:t>
      </w:r>
      <w:r w:rsidR="00D50697">
        <w:rPr>
          <w:bCs/>
          <w:color w:val="000000" w:themeColor="text1"/>
          <w:sz w:val="22"/>
          <w:szCs w:val="22"/>
        </w:rPr>
        <w:t xml:space="preserve"> to do better in the future.</w:t>
      </w:r>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lastRenderedPageBreak/>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635BB09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 xml:space="preserve">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w:t>
      </w:r>
      <w:r w:rsidR="00A60806">
        <w:rPr>
          <w:bCs/>
          <w:color w:val="000000" w:themeColor="text1"/>
          <w:sz w:val="22"/>
          <w:szCs w:val="22"/>
        </w:rPr>
        <w:t xml:space="preserve">any </w:t>
      </w:r>
      <w:r w:rsidR="003A11B1">
        <w:rPr>
          <w:bCs/>
          <w:color w:val="000000" w:themeColor="text1"/>
          <w:sz w:val="22"/>
          <w:szCs w:val="22"/>
        </w:rPr>
        <w:t>approved TMDL is implemented,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262EE85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r w:rsidR="004578E4">
        <w:rPr>
          <w:color w:val="000000"/>
          <w:sz w:val="22"/>
          <w:szCs w:val="22"/>
        </w:rPr>
        <w:t>, not a waterbody variance</w:t>
      </w:r>
      <w:r w:rsidR="00A60806">
        <w:rPr>
          <w:color w:val="000000"/>
          <w:sz w:val="22"/>
          <w:szCs w:val="22"/>
        </w:rPr>
        <w:t xml:space="preserve"> and supporting documentation is not </w:t>
      </w:r>
      <w:r w:rsidR="006510D0">
        <w:rPr>
          <w:color w:val="000000"/>
          <w:sz w:val="22"/>
          <w:szCs w:val="22"/>
        </w:rPr>
        <w:t xml:space="preserve">required to identify and document </w:t>
      </w:r>
      <w:r w:rsidR="00A44F76" w:rsidRPr="00DD02CB">
        <w:rPr>
          <w:color w:val="000000"/>
          <w:sz w:val="22"/>
          <w:szCs w:val="22"/>
        </w:rPr>
        <w:t>cost-effective and reasonable best management practices for nonpoint source controls.</w:t>
      </w:r>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6C92FE59"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A60806" w:rsidRPr="00DD02CB">
        <w:rPr>
          <w:color w:val="000000"/>
          <w:sz w:val="22"/>
          <w:szCs w:val="22"/>
        </w:rPr>
        <w:t>DEQ is adopting a multiple discharger variance that applies to point sources</w:t>
      </w:r>
      <w:r w:rsidR="00A60806">
        <w:rPr>
          <w:color w:val="000000"/>
          <w:sz w:val="22"/>
          <w:szCs w:val="22"/>
        </w:rPr>
        <w:t xml:space="preserve">, not a waterbody variance and supporting documentation is not required to identify and document </w:t>
      </w:r>
      <w:r w:rsidR="00A60806" w:rsidRPr="00DD02CB">
        <w:rPr>
          <w:color w:val="000000"/>
          <w:sz w:val="22"/>
          <w:szCs w:val="22"/>
        </w:rPr>
        <w:t>cost-effective and reasonable best management practices for nonpoint source controls.</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5" w:name="_Toc490121554"/>
            <w:r w:rsidRPr="00276752">
              <w:lastRenderedPageBreak/>
              <w:t>Commenters</w:t>
            </w:r>
            <w:bookmarkEnd w:id="15"/>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lastRenderedPageBreak/>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16" w:name="_Toc490121555"/>
            <w:r w:rsidRPr="00377FA3">
              <w:t>Implementation</w:t>
            </w:r>
            <w:bookmarkEnd w:id="16"/>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08A7B738" w:rsidR="00C961E7" w:rsidRDefault="00C961E7" w:rsidP="00C961E7">
      <w:pPr>
        <w:ind w:left="0" w:right="1008"/>
        <w:rPr>
          <w:color w:val="000000" w:themeColor="text1"/>
        </w:rPr>
      </w:pPr>
      <w:r w:rsidRPr="009A06A3">
        <w:rPr>
          <w:color w:val="000000" w:themeColor="text1"/>
        </w:rPr>
        <w:t xml:space="preserve">The proposed rules </w:t>
      </w:r>
      <w:r w:rsidR="00884794">
        <w:rPr>
          <w:color w:val="000000" w:themeColor="text1"/>
        </w:rPr>
        <w:t>will</w:t>
      </w:r>
      <w:r w:rsidR="00884794" w:rsidRPr="009A06A3">
        <w:rPr>
          <w:color w:val="000000" w:themeColor="text1"/>
        </w:rPr>
        <w:t xml:space="preserve"> </w:t>
      </w:r>
      <w:r w:rsidRPr="009A06A3">
        <w:rPr>
          <w:color w:val="000000" w:themeColor="text1"/>
        </w:rPr>
        <w:t xml:space="preserve">become effective </w:t>
      </w:r>
      <w:r w:rsidR="0070197A">
        <w:rPr>
          <w:color w:val="000000" w:themeColor="text1"/>
        </w:rPr>
        <w:t>after</w:t>
      </w:r>
      <w:r w:rsidR="0070197A" w:rsidRPr="009A06A3">
        <w:rPr>
          <w:color w:val="000000" w:themeColor="text1"/>
        </w:rPr>
        <w:t xml:space="preserve"> </w:t>
      </w:r>
      <w:r w:rsidR="00781BFB">
        <w:rPr>
          <w:color w:val="000000" w:themeColor="text1"/>
        </w:rPr>
        <w:t xml:space="preserve">filing on approximately January </w:t>
      </w:r>
      <w:r w:rsidR="0070197A">
        <w:rPr>
          <w:color w:val="000000" w:themeColor="text1"/>
        </w:rPr>
        <w:t>24</w:t>
      </w:r>
      <w:r w:rsidR="00781BFB">
        <w:rPr>
          <w:color w:val="000000" w:themeColor="text1"/>
        </w:rPr>
        <w:t xml:space="preserve">, 2020, and then after </w:t>
      </w:r>
      <w:r w:rsidR="00884794">
        <w:rPr>
          <w:color w:val="000000" w:themeColor="text1"/>
        </w:rPr>
        <w:t xml:space="preserve">DEQ submits and </w:t>
      </w:r>
      <w:r w:rsidR="00781BFB">
        <w:rPr>
          <w:color w:val="000000" w:themeColor="text1"/>
        </w:rPr>
        <w:t>EPA approves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17" w:name="_Toc490121556"/>
            <w:r w:rsidRPr="001D0308">
              <w:lastRenderedPageBreak/>
              <w:t>Five-year review</w:t>
            </w:r>
            <w:bookmarkEnd w:id="17"/>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18" w:name="_Toc490121557"/>
            <w:r>
              <w:lastRenderedPageBreak/>
              <w:t>Draft Rules – With Edits Highlighted</w:t>
            </w:r>
            <w:bookmarkEnd w:id="18"/>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19" w:name="_Toc490121558"/>
            <w:r>
              <w:lastRenderedPageBreak/>
              <w:t>Draft Rules – With Edits Included</w:t>
            </w:r>
            <w:bookmarkEnd w:id="19"/>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20" w:name="_Toc490121559"/>
            <w:r>
              <w:lastRenderedPageBreak/>
              <w:t>Supporting Documents</w:t>
            </w:r>
            <w:bookmarkEnd w:id="20"/>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721811" w:rsidRDefault="00721811" w:rsidP="002D6C99">
      <w:r>
        <w:separator/>
      </w:r>
    </w:p>
  </w:endnote>
  <w:endnote w:type="continuationSeparator" w:id="0">
    <w:p w14:paraId="3ABC5CD7" w14:textId="77777777" w:rsidR="00721811" w:rsidRDefault="00721811"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721811" w:rsidRDefault="00721811" w:rsidP="002D6C99">
    <w:pPr>
      <w:pStyle w:val="Footer"/>
    </w:pPr>
  </w:p>
  <w:p w14:paraId="3ABC5CD9" w14:textId="54A35D5C" w:rsidR="00721811" w:rsidRPr="002B4E71" w:rsidRDefault="00721811" w:rsidP="002D6C99">
    <w:pPr>
      <w:pStyle w:val="Footer"/>
    </w:pPr>
    <w:r>
      <w:t>Staff Report</w:t>
    </w:r>
    <w:r w:rsidRPr="002B4E71">
      <w:t xml:space="preserve"> page | </w:t>
    </w:r>
    <w:r>
      <w:fldChar w:fldCharType="begin"/>
    </w:r>
    <w:r>
      <w:instrText xml:space="preserve"> PAGE   \* MERGEFORMAT </w:instrText>
    </w:r>
    <w:r>
      <w:fldChar w:fldCharType="separate"/>
    </w:r>
    <w:r w:rsidR="004025EE">
      <w:rPr>
        <w:noProof/>
      </w:rPr>
      <w:t>55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721811" w:rsidRDefault="00721811" w:rsidP="002D6C99">
      <w:r>
        <w:separator/>
      </w:r>
    </w:p>
  </w:footnote>
  <w:footnote w:type="continuationSeparator" w:id="0">
    <w:p w14:paraId="3ABC5CD5" w14:textId="77777777" w:rsidR="00721811" w:rsidRDefault="00721811" w:rsidP="002D6C99">
      <w:r>
        <w:continuationSeparator/>
      </w:r>
    </w:p>
  </w:footnote>
  <w:footnote w:id="1">
    <w:p w14:paraId="1B7A075E" w14:textId="59DCF1D7" w:rsidR="00721811" w:rsidRPr="00721811" w:rsidRDefault="00721811">
      <w:pPr>
        <w:pStyle w:val="FootnoteText"/>
        <w:rPr>
          <w:rFonts w:ascii="Times New Roman" w:hAnsi="Times New Roman" w:cs="Times New Roman"/>
          <w:sz w:val="22"/>
          <w:szCs w:val="22"/>
        </w:rPr>
      </w:pPr>
      <w:r w:rsidRPr="00721811">
        <w:rPr>
          <w:rStyle w:val="FootnoteReference"/>
          <w:rFonts w:ascii="Times New Roman" w:hAnsi="Times New Roman" w:cs="Times New Roman"/>
          <w:sz w:val="22"/>
          <w:szCs w:val="22"/>
        </w:rPr>
        <w:footnoteRef/>
      </w:r>
      <w:r w:rsidRPr="00721811">
        <w:rPr>
          <w:rFonts w:ascii="Times New Roman" w:hAnsi="Times New Roman" w:cs="Times New Roman"/>
          <w:sz w:val="22"/>
          <w:szCs w:val="22"/>
        </w:rPr>
        <w:t xml:space="preserve"> See </w:t>
      </w:r>
      <w:r>
        <w:rPr>
          <w:rFonts w:ascii="Times New Roman" w:hAnsi="Times New Roman" w:cs="Times New Roman"/>
          <w:sz w:val="22"/>
          <w:szCs w:val="22"/>
        </w:rPr>
        <w:t xml:space="preserve">U.S. </w:t>
      </w:r>
      <w:r w:rsidRPr="00721811">
        <w:rPr>
          <w:rFonts w:ascii="Times New Roman" w:hAnsi="Times New Roman" w:cs="Times New Roman"/>
          <w:sz w:val="22"/>
          <w:szCs w:val="22"/>
        </w:rPr>
        <w:t>EPA corresp. w/ Derek Smithee, State of Oklahoma</w:t>
      </w:r>
      <w:r>
        <w:rPr>
          <w:rFonts w:ascii="Times New Roman" w:hAnsi="Times New Roman" w:cs="Times New Roman"/>
          <w:sz w:val="22"/>
          <w:szCs w:val="22"/>
        </w:rPr>
        <w:t xml:space="preserve"> Water Resources Board</w:t>
      </w:r>
      <w:r w:rsidRPr="00721811">
        <w:rPr>
          <w:rFonts w:ascii="Times New Roman" w:hAnsi="Times New Roman" w:cs="Times New Roman"/>
          <w:sz w:val="22"/>
          <w:szCs w:val="22"/>
        </w:rPr>
        <w:t xml:space="preserve">. </w:t>
      </w:r>
      <w:r>
        <w:rPr>
          <w:rFonts w:ascii="Times New Roman" w:hAnsi="Times New Roman" w:cs="Times New Roman"/>
          <w:sz w:val="22"/>
          <w:szCs w:val="22"/>
        </w:rPr>
        <w:t xml:space="preserve">September 5, </w:t>
      </w:r>
      <w:r w:rsidRPr="00721811">
        <w:rPr>
          <w:rFonts w:ascii="Times New Roman" w:hAnsi="Times New Roman" w:cs="Times New Roman"/>
          <w:sz w:val="22"/>
          <w:szCs w:val="22"/>
        </w:rPr>
        <w:t xml:space="preserve">2008. Available at: </w:t>
      </w:r>
      <w:hyperlink r:id="rId1" w:history="1">
        <w:r w:rsidRPr="00721811">
          <w:rPr>
            <w:rStyle w:val="Hyperlink"/>
            <w:rFonts w:ascii="Times New Roman" w:hAnsi="Times New Roman" w:cs="Times New Roman"/>
            <w:sz w:val="22"/>
            <w:szCs w:val="22"/>
          </w:rPr>
          <w:t>https://www.epa.gov/sites/production/files/2014-10/documents/existinguse-smithee-letter.pdf</w:t>
        </w:r>
      </w:hyperlink>
      <w:r w:rsidRPr="00721811">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27C5"/>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5C3"/>
    <w:rsid w:val="0009694C"/>
    <w:rsid w:val="00096DC5"/>
    <w:rsid w:val="000A3C5B"/>
    <w:rsid w:val="000A5647"/>
    <w:rsid w:val="000A5E18"/>
    <w:rsid w:val="000A759C"/>
    <w:rsid w:val="000A7DC1"/>
    <w:rsid w:val="000B1D5F"/>
    <w:rsid w:val="000B28C9"/>
    <w:rsid w:val="000B2D67"/>
    <w:rsid w:val="000B4D80"/>
    <w:rsid w:val="000B685A"/>
    <w:rsid w:val="000B6AA9"/>
    <w:rsid w:val="000B6D90"/>
    <w:rsid w:val="000B783F"/>
    <w:rsid w:val="000C1364"/>
    <w:rsid w:val="000C3C54"/>
    <w:rsid w:val="000C524D"/>
    <w:rsid w:val="000D07CA"/>
    <w:rsid w:val="000D0F4F"/>
    <w:rsid w:val="000D2401"/>
    <w:rsid w:val="000D2678"/>
    <w:rsid w:val="000D6596"/>
    <w:rsid w:val="000D707E"/>
    <w:rsid w:val="000E04C5"/>
    <w:rsid w:val="000E0C74"/>
    <w:rsid w:val="000E5208"/>
    <w:rsid w:val="000E5338"/>
    <w:rsid w:val="000E5ECC"/>
    <w:rsid w:val="000E6071"/>
    <w:rsid w:val="000E60A5"/>
    <w:rsid w:val="000E61F0"/>
    <w:rsid w:val="000F2916"/>
    <w:rsid w:val="000F37A6"/>
    <w:rsid w:val="000F5F2C"/>
    <w:rsid w:val="000F630B"/>
    <w:rsid w:val="001005C6"/>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12F0"/>
    <w:rsid w:val="001329E5"/>
    <w:rsid w:val="00132A89"/>
    <w:rsid w:val="001337AC"/>
    <w:rsid w:val="001340B3"/>
    <w:rsid w:val="001379AA"/>
    <w:rsid w:val="0014434D"/>
    <w:rsid w:val="00145942"/>
    <w:rsid w:val="001474B5"/>
    <w:rsid w:val="001547D2"/>
    <w:rsid w:val="00154DBC"/>
    <w:rsid w:val="00157C03"/>
    <w:rsid w:val="001602E5"/>
    <w:rsid w:val="00160C23"/>
    <w:rsid w:val="0016148C"/>
    <w:rsid w:val="00164210"/>
    <w:rsid w:val="001651F2"/>
    <w:rsid w:val="00167D7C"/>
    <w:rsid w:val="001708BB"/>
    <w:rsid w:val="001749D0"/>
    <w:rsid w:val="00174C57"/>
    <w:rsid w:val="0017571B"/>
    <w:rsid w:val="00176D61"/>
    <w:rsid w:val="00177E50"/>
    <w:rsid w:val="00180059"/>
    <w:rsid w:val="00181213"/>
    <w:rsid w:val="0018159F"/>
    <w:rsid w:val="00181758"/>
    <w:rsid w:val="00182C5A"/>
    <w:rsid w:val="00184DD2"/>
    <w:rsid w:val="00186295"/>
    <w:rsid w:val="00187781"/>
    <w:rsid w:val="0019048F"/>
    <w:rsid w:val="0019133B"/>
    <w:rsid w:val="0019385F"/>
    <w:rsid w:val="00193AA8"/>
    <w:rsid w:val="001969C2"/>
    <w:rsid w:val="001A2686"/>
    <w:rsid w:val="001A27EA"/>
    <w:rsid w:val="001B303C"/>
    <w:rsid w:val="001B50FB"/>
    <w:rsid w:val="001C0BC0"/>
    <w:rsid w:val="001C231D"/>
    <w:rsid w:val="001C24B3"/>
    <w:rsid w:val="001C3C72"/>
    <w:rsid w:val="001C3C9D"/>
    <w:rsid w:val="001C68C8"/>
    <w:rsid w:val="001C7274"/>
    <w:rsid w:val="001C7C84"/>
    <w:rsid w:val="001C7F4C"/>
    <w:rsid w:val="001D24C7"/>
    <w:rsid w:val="001D28B2"/>
    <w:rsid w:val="001D45E0"/>
    <w:rsid w:val="001D4C5F"/>
    <w:rsid w:val="001D6608"/>
    <w:rsid w:val="001E1BD3"/>
    <w:rsid w:val="001E2BD3"/>
    <w:rsid w:val="001E5431"/>
    <w:rsid w:val="001E63DA"/>
    <w:rsid w:val="001E6DCA"/>
    <w:rsid w:val="001E741B"/>
    <w:rsid w:val="001E7912"/>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27AF6"/>
    <w:rsid w:val="002319FD"/>
    <w:rsid w:val="00231FB8"/>
    <w:rsid w:val="00232062"/>
    <w:rsid w:val="00233537"/>
    <w:rsid w:val="002352F9"/>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0742"/>
    <w:rsid w:val="0027111E"/>
    <w:rsid w:val="00272490"/>
    <w:rsid w:val="002732DF"/>
    <w:rsid w:val="00274CD9"/>
    <w:rsid w:val="002759F7"/>
    <w:rsid w:val="002825AE"/>
    <w:rsid w:val="00284725"/>
    <w:rsid w:val="0028512B"/>
    <w:rsid w:val="00286118"/>
    <w:rsid w:val="00287EA4"/>
    <w:rsid w:val="00296D45"/>
    <w:rsid w:val="002A0C30"/>
    <w:rsid w:val="002A16D0"/>
    <w:rsid w:val="002A1E7F"/>
    <w:rsid w:val="002A5ACA"/>
    <w:rsid w:val="002A7E5B"/>
    <w:rsid w:val="002B0C9C"/>
    <w:rsid w:val="002B39A0"/>
    <w:rsid w:val="002B4E71"/>
    <w:rsid w:val="002B6D58"/>
    <w:rsid w:val="002C1E6D"/>
    <w:rsid w:val="002C3A6B"/>
    <w:rsid w:val="002C4F3A"/>
    <w:rsid w:val="002C5FDD"/>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1B67"/>
    <w:rsid w:val="00314A3C"/>
    <w:rsid w:val="00314FCB"/>
    <w:rsid w:val="0032078C"/>
    <w:rsid w:val="00322A9E"/>
    <w:rsid w:val="00322D30"/>
    <w:rsid w:val="00324289"/>
    <w:rsid w:val="003248CA"/>
    <w:rsid w:val="003256D0"/>
    <w:rsid w:val="00325AA6"/>
    <w:rsid w:val="0033279B"/>
    <w:rsid w:val="00333C3B"/>
    <w:rsid w:val="003347B2"/>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3E62"/>
    <w:rsid w:val="00394372"/>
    <w:rsid w:val="003970AB"/>
    <w:rsid w:val="00397D49"/>
    <w:rsid w:val="003A039C"/>
    <w:rsid w:val="003A11B1"/>
    <w:rsid w:val="003A1573"/>
    <w:rsid w:val="003A2B26"/>
    <w:rsid w:val="003A2F55"/>
    <w:rsid w:val="003A36DF"/>
    <w:rsid w:val="003A53CF"/>
    <w:rsid w:val="003A6A22"/>
    <w:rsid w:val="003B28BE"/>
    <w:rsid w:val="003B413F"/>
    <w:rsid w:val="003B4220"/>
    <w:rsid w:val="003B467D"/>
    <w:rsid w:val="003B4CCB"/>
    <w:rsid w:val="003B628A"/>
    <w:rsid w:val="003B7078"/>
    <w:rsid w:val="003B784C"/>
    <w:rsid w:val="003C0EEA"/>
    <w:rsid w:val="003C12DB"/>
    <w:rsid w:val="003C2409"/>
    <w:rsid w:val="003C325E"/>
    <w:rsid w:val="003C432C"/>
    <w:rsid w:val="003C60B9"/>
    <w:rsid w:val="003C6C15"/>
    <w:rsid w:val="003C6C7E"/>
    <w:rsid w:val="003C6D8B"/>
    <w:rsid w:val="003D03AB"/>
    <w:rsid w:val="003D06E9"/>
    <w:rsid w:val="003D3B3C"/>
    <w:rsid w:val="003D4392"/>
    <w:rsid w:val="003D6D98"/>
    <w:rsid w:val="003E0361"/>
    <w:rsid w:val="003E23CE"/>
    <w:rsid w:val="003F0606"/>
    <w:rsid w:val="003F0C47"/>
    <w:rsid w:val="003F2D2D"/>
    <w:rsid w:val="003F413E"/>
    <w:rsid w:val="003F45CC"/>
    <w:rsid w:val="003F6BA1"/>
    <w:rsid w:val="003F7283"/>
    <w:rsid w:val="004009BC"/>
    <w:rsid w:val="00401019"/>
    <w:rsid w:val="004025EE"/>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4AB"/>
    <w:rsid w:val="004577C0"/>
    <w:rsid w:val="004578E4"/>
    <w:rsid w:val="00457B9D"/>
    <w:rsid w:val="004669DF"/>
    <w:rsid w:val="00466F6A"/>
    <w:rsid w:val="00467A4F"/>
    <w:rsid w:val="004700B5"/>
    <w:rsid w:val="004706D5"/>
    <w:rsid w:val="00470AD8"/>
    <w:rsid w:val="00471D68"/>
    <w:rsid w:val="00471ECD"/>
    <w:rsid w:val="0047393E"/>
    <w:rsid w:val="0047545F"/>
    <w:rsid w:val="00476D38"/>
    <w:rsid w:val="004773A6"/>
    <w:rsid w:val="0048174F"/>
    <w:rsid w:val="004905F1"/>
    <w:rsid w:val="00492236"/>
    <w:rsid w:val="0049551A"/>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239"/>
    <w:rsid w:val="004B692D"/>
    <w:rsid w:val="004B6A20"/>
    <w:rsid w:val="004B7306"/>
    <w:rsid w:val="004B7FE8"/>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E7898"/>
    <w:rsid w:val="004F22E4"/>
    <w:rsid w:val="004F2D22"/>
    <w:rsid w:val="004F4493"/>
    <w:rsid w:val="004F4B6D"/>
    <w:rsid w:val="004F673A"/>
    <w:rsid w:val="004F7453"/>
    <w:rsid w:val="00501ABB"/>
    <w:rsid w:val="00504F15"/>
    <w:rsid w:val="005102CA"/>
    <w:rsid w:val="005115F8"/>
    <w:rsid w:val="0051405A"/>
    <w:rsid w:val="00516FBC"/>
    <w:rsid w:val="0052145B"/>
    <w:rsid w:val="0052167E"/>
    <w:rsid w:val="0052233E"/>
    <w:rsid w:val="00523309"/>
    <w:rsid w:val="00524C0F"/>
    <w:rsid w:val="00525B37"/>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0F7F"/>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B665D"/>
    <w:rsid w:val="005C10E3"/>
    <w:rsid w:val="005C1798"/>
    <w:rsid w:val="005C1EB1"/>
    <w:rsid w:val="005C304F"/>
    <w:rsid w:val="005C30D8"/>
    <w:rsid w:val="005C3793"/>
    <w:rsid w:val="005C6B99"/>
    <w:rsid w:val="005D0385"/>
    <w:rsid w:val="005D2010"/>
    <w:rsid w:val="005D428C"/>
    <w:rsid w:val="005D6E6D"/>
    <w:rsid w:val="005D7E79"/>
    <w:rsid w:val="005E06F4"/>
    <w:rsid w:val="005E0C47"/>
    <w:rsid w:val="005E374E"/>
    <w:rsid w:val="005E39B6"/>
    <w:rsid w:val="005E597B"/>
    <w:rsid w:val="005F0119"/>
    <w:rsid w:val="005F2796"/>
    <w:rsid w:val="005F2C0A"/>
    <w:rsid w:val="005F2FD4"/>
    <w:rsid w:val="005F3C7B"/>
    <w:rsid w:val="005F45A9"/>
    <w:rsid w:val="005F52BE"/>
    <w:rsid w:val="005F5C23"/>
    <w:rsid w:val="005F714F"/>
    <w:rsid w:val="00601CE4"/>
    <w:rsid w:val="006025A5"/>
    <w:rsid w:val="00602901"/>
    <w:rsid w:val="00602EF0"/>
    <w:rsid w:val="0060685A"/>
    <w:rsid w:val="00607E51"/>
    <w:rsid w:val="00610286"/>
    <w:rsid w:val="0061029F"/>
    <w:rsid w:val="00613F84"/>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6DC"/>
    <w:rsid w:val="006807BF"/>
    <w:rsid w:val="00680EF2"/>
    <w:rsid w:val="0068173F"/>
    <w:rsid w:val="00682518"/>
    <w:rsid w:val="00682E41"/>
    <w:rsid w:val="0068373B"/>
    <w:rsid w:val="0068472A"/>
    <w:rsid w:val="0068788A"/>
    <w:rsid w:val="006911BB"/>
    <w:rsid w:val="00693196"/>
    <w:rsid w:val="0069484A"/>
    <w:rsid w:val="00694E52"/>
    <w:rsid w:val="0069603F"/>
    <w:rsid w:val="006966E5"/>
    <w:rsid w:val="00696716"/>
    <w:rsid w:val="00697273"/>
    <w:rsid w:val="00697C07"/>
    <w:rsid w:val="006A0E65"/>
    <w:rsid w:val="006A2188"/>
    <w:rsid w:val="006A3E28"/>
    <w:rsid w:val="006A5496"/>
    <w:rsid w:val="006A6427"/>
    <w:rsid w:val="006B364B"/>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3FCA"/>
    <w:rsid w:val="006E54BF"/>
    <w:rsid w:val="006E68F8"/>
    <w:rsid w:val="006F02E5"/>
    <w:rsid w:val="006F02EB"/>
    <w:rsid w:val="006F0D97"/>
    <w:rsid w:val="006F1FBD"/>
    <w:rsid w:val="006F2C64"/>
    <w:rsid w:val="006F2E9F"/>
    <w:rsid w:val="006F3A8D"/>
    <w:rsid w:val="006F6315"/>
    <w:rsid w:val="006F6D85"/>
    <w:rsid w:val="006F7471"/>
    <w:rsid w:val="00700417"/>
    <w:rsid w:val="0070197A"/>
    <w:rsid w:val="0070371A"/>
    <w:rsid w:val="00705C22"/>
    <w:rsid w:val="00707371"/>
    <w:rsid w:val="00711098"/>
    <w:rsid w:val="007145F7"/>
    <w:rsid w:val="00715F63"/>
    <w:rsid w:val="00716114"/>
    <w:rsid w:val="00716292"/>
    <w:rsid w:val="00717F64"/>
    <w:rsid w:val="00720C29"/>
    <w:rsid w:val="00721811"/>
    <w:rsid w:val="0072191D"/>
    <w:rsid w:val="00721D94"/>
    <w:rsid w:val="00723DD6"/>
    <w:rsid w:val="00724CF1"/>
    <w:rsid w:val="00726CE0"/>
    <w:rsid w:val="00727622"/>
    <w:rsid w:val="00730121"/>
    <w:rsid w:val="00732601"/>
    <w:rsid w:val="007338CD"/>
    <w:rsid w:val="00733A49"/>
    <w:rsid w:val="007365A2"/>
    <w:rsid w:val="0074136B"/>
    <w:rsid w:val="00744E74"/>
    <w:rsid w:val="007450D6"/>
    <w:rsid w:val="007536A1"/>
    <w:rsid w:val="00753D13"/>
    <w:rsid w:val="007546FD"/>
    <w:rsid w:val="007552C5"/>
    <w:rsid w:val="00761654"/>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8154A"/>
    <w:rsid w:val="00781BFB"/>
    <w:rsid w:val="0078370D"/>
    <w:rsid w:val="00784148"/>
    <w:rsid w:val="0079043C"/>
    <w:rsid w:val="00794D8D"/>
    <w:rsid w:val="00797FC9"/>
    <w:rsid w:val="007A24BE"/>
    <w:rsid w:val="007A6681"/>
    <w:rsid w:val="007B080C"/>
    <w:rsid w:val="007B1D3B"/>
    <w:rsid w:val="007B7B80"/>
    <w:rsid w:val="007C0ACD"/>
    <w:rsid w:val="007C1C2D"/>
    <w:rsid w:val="007C1C74"/>
    <w:rsid w:val="007C591D"/>
    <w:rsid w:val="007C77AA"/>
    <w:rsid w:val="007C7DC0"/>
    <w:rsid w:val="007D1A36"/>
    <w:rsid w:val="007D2620"/>
    <w:rsid w:val="007D369A"/>
    <w:rsid w:val="007D3B78"/>
    <w:rsid w:val="007D3EB6"/>
    <w:rsid w:val="007D6004"/>
    <w:rsid w:val="007D60EA"/>
    <w:rsid w:val="007D6F88"/>
    <w:rsid w:val="007D703C"/>
    <w:rsid w:val="007D741D"/>
    <w:rsid w:val="007D74B2"/>
    <w:rsid w:val="007D777B"/>
    <w:rsid w:val="007E2602"/>
    <w:rsid w:val="007E438C"/>
    <w:rsid w:val="007E47D4"/>
    <w:rsid w:val="007E5070"/>
    <w:rsid w:val="007E7028"/>
    <w:rsid w:val="007E7651"/>
    <w:rsid w:val="007F0170"/>
    <w:rsid w:val="007F0CC6"/>
    <w:rsid w:val="007F0ED4"/>
    <w:rsid w:val="007F174D"/>
    <w:rsid w:val="007F4318"/>
    <w:rsid w:val="007F4633"/>
    <w:rsid w:val="007F47C6"/>
    <w:rsid w:val="007F4D23"/>
    <w:rsid w:val="007F5F78"/>
    <w:rsid w:val="007F6A0E"/>
    <w:rsid w:val="007F6FB0"/>
    <w:rsid w:val="007F7F8C"/>
    <w:rsid w:val="008013F0"/>
    <w:rsid w:val="008021EA"/>
    <w:rsid w:val="00803A21"/>
    <w:rsid w:val="00805C3F"/>
    <w:rsid w:val="0080610D"/>
    <w:rsid w:val="008116A2"/>
    <w:rsid w:val="00811EE1"/>
    <w:rsid w:val="00812394"/>
    <w:rsid w:val="0081400C"/>
    <w:rsid w:val="008141CD"/>
    <w:rsid w:val="00815E0F"/>
    <w:rsid w:val="008167F9"/>
    <w:rsid w:val="00817FE6"/>
    <w:rsid w:val="0082062C"/>
    <w:rsid w:val="008206CF"/>
    <w:rsid w:val="0082074B"/>
    <w:rsid w:val="00822721"/>
    <w:rsid w:val="00823C9D"/>
    <w:rsid w:val="00830C32"/>
    <w:rsid w:val="00832EB9"/>
    <w:rsid w:val="0083323F"/>
    <w:rsid w:val="00835C99"/>
    <w:rsid w:val="00840D76"/>
    <w:rsid w:val="00841659"/>
    <w:rsid w:val="00842188"/>
    <w:rsid w:val="00844845"/>
    <w:rsid w:val="00844A26"/>
    <w:rsid w:val="008510E6"/>
    <w:rsid w:val="0085122C"/>
    <w:rsid w:val="008520FC"/>
    <w:rsid w:val="0085438B"/>
    <w:rsid w:val="00854517"/>
    <w:rsid w:val="008603EC"/>
    <w:rsid w:val="008651DF"/>
    <w:rsid w:val="00865DD3"/>
    <w:rsid w:val="00866F57"/>
    <w:rsid w:val="00867C8C"/>
    <w:rsid w:val="00871BAE"/>
    <w:rsid w:val="00871DF7"/>
    <w:rsid w:val="0087213F"/>
    <w:rsid w:val="008721D5"/>
    <w:rsid w:val="00872DB7"/>
    <w:rsid w:val="00880965"/>
    <w:rsid w:val="00881EE0"/>
    <w:rsid w:val="00882392"/>
    <w:rsid w:val="00884683"/>
    <w:rsid w:val="00884794"/>
    <w:rsid w:val="008859BE"/>
    <w:rsid w:val="00891607"/>
    <w:rsid w:val="00894FEB"/>
    <w:rsid w:val="008971A4"/>
    <w:rsid w:val="008A154D"/>
    <w:rsid w:val="008A4E47"/>
    <w:rsid w:val="008A4FB1"/>
    <w:rsid w:val="008A5343"/>
    <w:rsid w:val="008A5348"/>
    <w:rsid w:val="008A5C06"/>
    <w:rsid w:val="008A6893"/>
    <w:rsid w:val="008A7A06"/>
    <w:rsid w:val="008B09A6"/>
    <w:rsid w:val="008B0B0B"/>
    <w:rsid w:val="008B13C8"/>
    <w:rsid w:val="008B21FF"/>
    <w:rsid w:val="008B2468"/>
    <w:rsid w:val="008B302E"/>
    <w:rsid w:val="008B364D"/>
    <w:rsid w:val="008B471D"/>
    <w:rsid w:val="008B4D87"/>
    <w:rsid w:val="008B59E5"/>
    <w:rsid w:val="008B7341"/>
    <w:rsid w:val="008C2AEB"/>
    <w:rsid w:val="008C3E27"/>
    <w:rsid w:val="008C4A1B"/>
    <w:rsid w:val="008C744F"/>
    <w:rsid w:val="008C7798"/>
    <w:rsid w:val="008D4AFC"/>
    <w:rsid w:val="008D52B1"/>
    <w:rsid w:val="008D5EDD"/>
    <w:rsid w:val="008E1462"/>
    <w:rsid w:val="008E2088"/>
    <w:rsid w:val="008E3F74"/>
    <w:rsid w:val="008F19E2"/>
    <w:rsid w:val="008F2AA3"/>
    <w:rsid w:val="008F5048"/>
    <w:rsid w:val="008F5CB1"/>
    <w:rsid w:val="00900A95"/>
    <w:rsid w:val="009012F7"/>
    <w:rsid w:val="0090211A"/>
    <w:rsid w:val="00902DAC"/>
    <w:rsid w:val="00905061"/>
    <w:rsid w:val="0090574E"/>
    <w:rsid w:val="00906139"/>
    <w:rsid w:val="00907DC4"/>
    <w:rsid w:val="00912E33"/>
    <w:rsid w:val="00913479"/>
    <w:rsid w:val="00916A60"/>
    <w:rsid w:val="0091792B"/>
    <w:rsid w:val="00922AA4"/>
    <w:rsid w:val="00926652"/>
    <w:rsid w:val="009300CE"/>
    <w:rsid w:val="00930372"/>
    <w:rsid w:val="0093182A"/>
    <w:rsid w:val="00932004"/>
    <w:rsid w:val="009322D3"/>
    <w:rsid w:val="0093757E"/>
    <w:rsid w:val="0094060F"/>
    <w:rsid w:val="00941757"/>
    <w:rsid w:val="00943020"/>
    <w:rsid w:val="0094309D"/>
    <w:rsid w:val="00943673"/>
    <w:rsid w:val="0094397C"/>
    <w:rsid w:val="0095000E"/>
    <w:rsid w:val="00950D49"/>
    <w:rsid w:val="009534C2"/>
    <w:rsid w:val="0095365D"/>
    <w:rsid w:val="00954126"/>
    <w:rsid w:val="009572DD"/>
    <w:rsid w:val="00957A9E"/>
    <w:rsid w:val="00961003"/>
    <w:rsid w:val="0096185D"/>
    <w:rsid w:val="00962F6A"/>
    <w:rsid w:val="0096369D"/>
    <w:rsid w:val="009648CA"/>
    <w:rsid w:val="00964F57"/>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2AF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C6AA6"/>
    <w:rsid w:val="009D3EBB"/>
    <w:rsid w:val="009D4F89"/>
    <w:rsid w:val="009D5EB5"/>
    <w:rsid w:val="009D6003"/>
    <w:rsid w:val="009D7398"/>
    <w:rsid w:val="009E0E6A"/>
    <w:rsid w:val="009E148C"/>
    <w:rsid w:val="009E1691"/>
    <w:rsid w:val="009E5F55"/>
    <w:rsid w:val="009F03FE"/>
    <w:rsid w:val="009F1CFB"/>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04F0"/>
    <w:rsid w:val="00A44F76"/>
    <w:rsid w:val="00A46142"/>
    <w:rsid w:val="00A465A0"/>
    <w:rsid w:val="00A46F33"/>
    <w:rsid w:val="00A50464"/>
    <w:rsid w:val="00A53440"/>
    <w:rsid w:val="00A53488"/>
    <w:rsid w:val="00A56241"/>
    <w:rsid w:val="00A60806"/>
    <w:rsid w:val="00A61B18"/>
    <w:rsid w:val="00A652FB"/>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2C25"/>
    <w:rsid w:val="00A8413C"/>
    <w:rsid w:val="00A872BA"/>
    <w:rsid w:val="00A9276C"/>
    <w:rsid w:val="00A93CA9"/>
    <w:rsid w:val="00A94100"/>
    <w:rsid w:val="00A94E6E"/>
    <w:rsid w:val="00A95932"/>
    <w:rsid w:val="00AA15DD"/>
    <w:rsid w:val="00AA26D5"/>
    <w:rsid w:val="00AA354D"/>
    <w:rsid w:val="00AA42DD"/>
    <w:rsid w:val="00AA4C43"/>
    <w:rsid w:val="00AA62F7"/>
    <w:rsid w:val="00AA76CE"/>
    <w:rsid w:val="00AA7C0E"/>
    <w:rsid w:val="00AB1B3E"/>
    <w:rsid w:val="00AB26A9"/>
    <w:rsid w:val="00AB34D8"/>
    <w:rsid w:val="00AB46AA"/>
    <w:rsid w:val="00AB65D0"/>
    <w:rsid w:val="00AC1660"/>
    <w:rsid w:val="00AC41B1"/>
    <w:rsid w:val="00AC6224"/>
    <w:rsid w:val="00AC7AF2"/>
    <w:rsid w:val="00AD0243"/>
    <w:rsid w:val="00AD1BBA"/>
    <w:rsid w:val="00AD27C1"/>
    <w:rsid w:val="00AD33B5"/>
    <w:rsid w:val="00AD357E"/>
    <w:rsid w:val="00AD7968"/>
    <w:rsid w:val="00AD7DB9"/>
    <w:rsid w:val="00AE1EB7"/>
    <w:rsid w:val="00AE3390"/>
    <w:rsid w:val="00AE53CB"/>
    <w:rsid w:val="00AE67D5"/>
    <w:rsid w:val="00AF03DD"/>
    <w:rsid w:val="00AF15AD"/>
    <w:rsid w:val="00AF194B"/>
    <w:rsid w:val="00AF21CF"/>
    <w:rsid w:val="00AF509A"/>
    <w:rsid w:val="00AF6875"/>
    <w:rsid w:val="00AF6E2F"/>
    <w:rsid w:val="00B004B7"/>
    <w:rsid w:val="00B0210D"/>
    <w:rsid w:val="00B03B5B"/>
    <w:rsid w:val="00B041EC"/>
    <w:rsid w:val="00B1210C"/>
    <w:rsid w:val="00B12D5B"/>
    <w:rsid w:val="00B13B71"/>
    <w:rsid w:val="00B15DF7"/>
    <w:rsid w:val="00B2226B"/>
    <w:rsid w:val="00B22430"/>
    <w:rsid w:val="00B227C9"/>
    <w:rsid w:val="00B23408"/>
    <w:rsid w:val="00B24EF8"/>
    <w:rsid w:val="00B25A31"/>
    <w:rsid w:val="00B25EF1"/>
    <w:rsid w:val="00B26DA7"/>
    <w:rsid w:val="00B26F3D"/>
    <w:rsid w:val="00B31975"/>
    <w:rsid w:val="00B31C26"/>
    <w:rsid w:val="00B33923"/>
    <w:rsid w:val="00B33CBF"/>
    <w:rsid w:val="00B34CF8"/>
    <w:rsid w:val="00B356CF"/>
    <w:rsid w:val="00B35715"/>
    <w:rsid w:val="00B378D1"/>
    <w:rsid w:val="00B40B6F"/>
    <w:rsid w:val="00B40E01"/>
    <w:rsid w:val="00B41C9A"/>
    <w:rsid w:val="00B42EA7"/>
    <w:rsid w:val="00B43045"/>
    <w:rsid w:val="00B454BB"/>
    <w:rsid w:val="00B4574E"/>
    <w:rsid w:val="00B47789"/>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176F"/>
    <w:rsid w:val="00BA43E9"/>
    <w:rsid w:val="00BA466F"/>
    <w:rsid w:val="00BA5D44"/>
    <w:rsid w:val="00BA745B"/>
    <w:rsid w:val="00BA79BA"/>
    <w:rsid w:val="00BB12CA"/>
    <w:rsid w:val="00BB5516"/>
    <w:rsid w:val="00BB582F"/>
    <w:rsid w:val="00BB682F"/>
    <w:rsid w:val="00BB6CA4"/>
    <w:rsid w:val="00BC0F94"/>
    <w:rsid w:val="00BC178A"/>
    <w:rsid w:val="00BC19AB"/>
    <w:rsid w:val="00BC3987"/>
    <w:rsid w:val="00BC422F"/>
    <w:rsid w:val="00BC4802"/>
    <w:rsid w:val="00BC5A70"/>
    <w:rsid w:val="00BC5F50"/>
    <w:rsid w:val="00BC6D4E"/>
    <w:rsid w:val="00BC76B3"/>
    <w:rsid w:val="00BD0DC2"/>
    <w:rsid w:val="00BD3CBE"/>
    <w:rsid w:val="00BD4585"/>
    <w:rsid w:val="00BD464F"/>
    <w:rsid w:val="00BD6173"/>
    <w:rsid w:val="00BE1814"/>
    <w:rsid w:val="00BE2908"/>
    <w:rsid w:val="00BE2A1D"/>
    <w:rsid w:val="00BE6B9A"/>
    <w:rsid w:val="00BE7983"/>
    <w:rsid w:val="00BF0572"/>
    <w:rsid w:val="00BF0F29"/>
    <w:rsid w:val="00BF28C8"/>
    <w:rsid w:val="00BF2B38"/>
    <w:rsid w:val="00BF347E"/>
    <w:rsid w:val="00BF6308"/>
    <w:rsid w:val="00C02811"/>
    <w:rsid w:val="00C02F0F"/>
    <w:rsid w:val="00C046A4"/>
    <w:rsid w:val="00C06CBA"/>
    <w:rsid w:val="00C13D78"/>
    <w:rsid w:val="00C157A7"/>
    <w:rsid w:val="00C15DD4"/>
    <w:rsid w:val="00C163B2"/>
    <w:rsid w:val="00C175C0"/>
    <w:rsid w:val="00C201CA"/>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576E3"/>
    <w:rsid w:val="00C603D7"/>
    <w:rsid w:val="00C62ECC"/>
    <w:rsid w:val="00C65D06"/>
    <w:rsid w:val="00C66215"/>
    <w:rsid w:val="00C708DA"/>
    <w:rsid w:val="00C70CCF"/>
    <w:rsid w:val="00C739F7"/>
    <w:rsid w:val="00C7432A"/>
    <w:rsid w:val="00C74D58"/>
    <w:rsid w:val="00C76B21"/>
    <w:rsid w:val="00C776B8"/>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58B8"/>
    <w:rsid w:val="00CE6EA0"/>
    <w:rsid w:val="00CF0DFF"/>
    <w:rsid w:val="00CF5F25"/>
    <w:rsid w:val="00D005D1"/>
    <w:rsid w:val="00D015C5"/>
    <w:rsid w:val="00D01EC9"/>
    <w:rsid w:val="00D0274B"/>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08EC"/>
    <w:rsid w:val="00D210BC"/>
    <w:rsid w:val="00D25A31"/>
    <w:rsid w:val="00D27525"/>
    <w:rsid w:val="00D3083F"/>
    <w:rsid w:val="00D308C3"/>
    <w:rsid w:val="00D30BCF"/>
    <w:rsid w:val="00D34D18"/>
    <w:rsid w:val="00D35EC1"/>
    <w:rsid w:val="00D37753"/>
    <w:rsid w:val="00D40C0F"/>
    <w:rsid w:val="00D47FDF"/>
    <w:rsid w:val="00D50697"/>
    <w:rsid w:val="00D537F4"/>
    <w:rsid w:val="00D55BA2"/>
    <w:rsid w:val="00D574D7"/>
    <w:rsid w:val="00D57B1A"/>
    <w:rsid w:val="00D57C32"/>
    <w:rsid w:val="00D57C91"/>
    <w:rsid w:val="00D6060A"/>
    <w:rsid w:val="00D60BF9"/>
    <w:rsid w:val="00D61DA4"/>
    <w:rsid w:val="00D65F6D"/>
    <w:rsid w:val="00D67EF5"/>
    <w:rsid w:val="00D74378"/>
    <w:rsid w:val="00D80570"/>
    <w:rsid w:val="00D80605"/>
    <w:rsid w:val="00D8318E"/>
    <w:rsid w:val="00D84819"/>
    <w:rsid w:val="00D84DC9"/>
    <w:rsid w:val="00D87563"/>
    <w:rsid w:val="00D90062"/>
    <w:rsid w:val="00D9108B"/>
    <w:rsid w:val="00D936A0"/>
    <w:rsid w:val="00D96929"/>
    <w:rsid w:val="00DA0955"/>
    <w:rsid w:val="00DA1A52"/>
    <w:rsid w:val="00DA3049"/>
    <w:rsid w:val="00DA6B61"/>
    <w:rsid w:val="00DB0862"/>
    <w:rsid w:val="00DB4041"/>
    <w:rsid w:val="00DB6D3B"/>
    <w:rsid w:val="00DC0365"/>
    <w:rsid w:val="00DC04D1"/>
    <w:rsid w:val="00DC0637"/>
    <w:rsid w:val="00DC2FD5"/>
    <w:rsid w:val="00DC593D"/>
    <w:rsid w:val="00DC5FF4"/>
    <w:rsid w:val="00DC70F9"/>
    <w:rsid w:val="00DC74C6"/>
    <w:rsid w:val="00DD02CB"/>
    <w:rsid w:val="00DD11D4"/>
    <w:rsid w:val="00DD419A"/>
    <w:rsid w:val="00DD4819"/>
    <w:rsid w:val="00DD5959"/>
    <w:rsid w:val="00DD7653"/>
    <w:rsid w:val="00DE2FFA"/>
    <w:rsid w:val="00DE3326"/>
    <w:rsid w:val="00DE38FD"/>
    <w:rsid w:val="00DE3DF4"/>
    <w:rsid w:val="00DE4D04"/>
    <w:rsid w:val="00DE6FD3"/>
    <w:rsid w:val="00DF543F"/>
    <w:rsid w:val="00E01C52"/>
    <w:rsid w:val="00E02299"/>
    <w:rsid w:val="00E044EA"/>
    <w:rsid w:val="00E046C6"/>
    <w:rsid w:val="00E07FE1"/>
    <w:rsid w:val="00E11474"/>
    <w:rsid w:val="00E11787"/>
    <w:rsid w:val="00E11EA8"/>
    <w:rsid w:val="00E131C7"/>
    <w:rsid w:val="00E13C70"/>
    <w:rsid w:val="00E14392"/>
    <w:rsid w:val="00E1798C"/>
    <w:rsid w:val="00E17DC5"/>
    <w:rsid w:val="00E220F4"/>
    <w:rsid w:val="00E221D5"/>
    <w:rsid w:val="00E23CBC"/>
    <w:rsid w:val="00E2723D"/>
    <w:rsid w:val="00E278B9"/>
    <w:rsid w:val="00E33649"/>
    <w:rsid w:val="00E33B5C"/>
    <w:rsid w:val="00E34247"/>
    <w:rsid w:val="00E3565F"/>
    <w:rsid w:val="00E36109"/>
    <w:rsid w:val="00E364BC"/>
    <w:rsid w:val="00E368CA"/>
    <w:rsid w:val="00E36E8B"/>
    <w:rsid w:val="00E45717"/>
    <w:rsid w:val="00E46D41"/>
    <w:rsid w:val="00E47C63"/>
    <w:rsid w:val="00E51F15"/>
    <w:rsid w:val="00E53CF7"/>
    <w:rsid w:val="00E541B5"/>
    <w:rsid w:val="00E54670"/>
    <w:rsid w:val="00E55F16"/>
    <w:rsid w:val="00E56647"/>
    <w:rsid w:val="00E57EF7"/>
    <w:rsid w:val="00E60CBA"/>
    <w:rsid w:val="00E6175F"/>
    <w:rsid w:val="00E61A63"/>
    <w:rsid w:val="00E61C21"/>
    <w:rsid w:val="00E61FB6"/>
    <w:rsid w:val="00E626A9"/>
    <w:rsid w:val="00E64E1B"/>
    <w:rsid w:val="00E6528C"/>
    <w:rsid w:val="00E71C3C"/>
    <w:rsid w:val="00E730A8"/>
    <w:rsid w:val="00E7412E"/>
    <w:rsid w:val="00E74147"/>
    <w:rsid w:val="00E7779F"/>
    <w:rsid w:val="00E77F18"/>
    <w:rsid w:val="00E81381"/>
    <w:rsid w:val="00E82718"/>
    <w:rsid w:val="00E82D32"/>
    <w:rsid w:val="00E82FA7"/>
    <w:rsid w:val="00E8332D"/>
    <w:rsid w:val="00E84325"/>
    <w:rsid w:val="00E8584B"/>
    <w:rsid w:val="00E90978"/>
    <w:rsid w:val="00E93BBD"/>
    <w:rsid w:val="00E948B4"/>
    <w:rsid w:val="00EA4362"/>
    <w:rsid w:val="00EA49C9"/>
    <w:rsid w:val="00EA4AC5"/>
    <w:rsid w:val="00EA4AE2"/>
    <w:rsid w:val="00EA587B"/>
    <w:rsid w:val="00EA7ABC"/>
    <w:rsid w:val="00EA7F6B"/>
    <w:rsid w:val="00EB0EE9"/>
    <w:rsid w:val="00EB2CFC"/>
    <w:rsid w:val="00EB34DD"/>
    <w:rsid w:val="00EB4FE5"/>
    <w:rsid w:val="00EB69C7"/>
    <w:rsid w:val="00EB6A1D"/>
    <w:rsid w:val="00EB79B4"/>
    <w:rsid w:val="00EC1212"/>
    <w:rsid w:val="00EC1BF9"/>
    <w:rsid w:val="00EC2D21"/>
    <w:rsid w:val="00EC39DC"/>
    <w:rsid w:val="00EC6E34"/>
    <w:rsid w:val="00EC75F3"/>
    <w:rsid w:val="00ED099B"/>
    <w:rsid w:val="00ED22EB"/>
    <w:rsid w:val="00ED2663"/>
    <w:rsid w:val="00ED3C90"/>
    <w:rsid w:val="00ED49D2"/>
    <w:rsid w:val="00ED6186"/>
    <w:rsid w:val="00ED72B2"/>
    <w:rsid w:val="00ED74B7"/>
    <w:rsid w:val="00EE0B71"/>
    <w:rsid w:val="00EE0D40"/>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54965"/>
    <w:rsid w:val="00F60382"/>
    <w:rsid w:val="00F650B7"/>
    <w:rsid w:val="00F66EDE"/>
    <w:rsid w:val="00F70A18"/>
    <w:rsid w:val="00F7119B"/>
    <w:rsid w:val="00F72368"/>
    <w:rsid w:val="00F751BC"/>
    <w:rsid w:val="00F76387"/>
    <w:rsid w:val="00F80FBB"/>
    <w:rsid w:val="00F810EA"/>
    <w:rsid w:val="00F8126E"/>
    <w:rsid w:val="00F824B8"/>
    <w:rsid w:val="00F843D6"/>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186"/>
    <w:rsid w:val="00FB3480"/>
    <w:rsid w:val="00FB52F7"/>
    <w:rsid w:val="00FB6A86"/>
    <w:rsid w:val="00FB70A2"/>
    <w:rsid w:val="00FC1650"/>
    <w:rsid w:val="00FC1B0B"/>
    <w:rsid w:val="00FC2369"/>
    <w:rsid w:val="00FC28B7"/>
    <w:rsid w:val="00FC2EC7"/>
    <w:rsid w:val="00FC3CBB"/>
    <w:rsid w:val="00FC5C08"/>
    <w:rsid w:val="00FC7A9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 w:type="character" w:styleId="FootnoteReference">
    <w:name w:val="footnote reference"/>
    <w:basedOn w:val="DefaultParagraphFont"/>
    <w:uiPriority w:val="99"/>
    <w:semiHidden/>
    <w:unhideWhenUsed/>
    <w:rsid w:val="007218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sites/production/files/2014-10/documents/existinguse-smithee-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ListId:doc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B3962C66-85C4-4E8B-9908-0C38D03B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4002</TotalTime>
  <Pages>69</Pages>
  <Words>21712</Words>
  <Characters>123759</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BOROK Aron</cp:lastModifiedBy>
  <cp:revision>113</cp:revision>
  <cp:lastPrinted>2019-12-11T16:30:00Z</cp:lastPrinted>
  <dcterms:created xsi:type="dcterms:W3CDTF">2019-11-12T23:24:00Z</dcterms:created>
  <dcterms:modified xsi:type="dcterms:W3CDTF">2019-12-18T23:56:00Z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