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79A715" w:rsidR="00AF03DD" w:rsidRPr="006C645E" w:rsidRDefault="00AF03DD" w:rsidP="001337AC">
      <w:r>
        <w:rPr>
          <w:rFonts w:ascii="Arial" w:hAnsi="Arial" w:cs="Arial"/>
          <w:b/>
          <w:sz w:val="28"/>
          <w:szCs w:val="28"/>
        </w:rPr>
        <w:t xml:space="preserve">Rulemaking Name: Willamette </w:t>
      </w:r>
      <w:r w:rsidR="00B31C26">
        <w:rPr>
          <w:rFonts w:ascii="Arial" w:hAnsi="Arial" w:cs="Arial"/>
          <w:b/>
          <w:sz w:val="28"/>
          <w:szCs w:val="28"/>
        </w:rPr>
        <w:t>Basin</w:t>
      </w:r>
      <w:r>
        <w:rPr>
          <w:rFonts w:ascii="Arial" w:hAnsi="Arial" w:cs="Arial"/>
          <w:b/>
          <w:sz w:val="28"/>
          <w:szCs w:val="28"/>
        </w:rPr>
        <w:t xml:space="preserve"> Mercury </w:t>
      </w:r>
      <w:r w:rsidR="00B31C26">
        <w:rPr>
          <w:rFonts w:ascii="Arial" w:hAnsi="Arial" w:cs="Arial"/>
          <w:b/>
          <w:sz w:val="28"/>
          <w:szCs w:val="28"/>
        </w:rPr>
        <w:t xml:space="preserve">Multiple Discharger </w:t>
      </w:r>
      <w:r>
        <w:rPr>
          <w:rFonts w:ascii="Arial" w:hAnsi="Arial" w:cs="Arial"/>
          <w:b/>
          <w:sz w:val="28"/>
          <w:szCs w:val="28"/>
        </w:rPr>
        <w:t>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078"/>
        <w:gridCol w:w="1650"/>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548105DF" w:rsidR="00AF03DD" w:rsidRDefault="00777724" w:rsidP="001337AC">
            <w:pPr>
              <w:jc w:val="center"/>
            </w:pPr>
            <w:r>
              <w:t>Esteve</w:t>
            </w:r>
          </w:p>
        </w:tc>
        <w:tc>
          <w:tcPr>
            <w:tcW w:w="1375" w:type="dxa"/>
            <w:vAlign w:val="center"/>
          </w:tcPr>
          <w:p w14:paraId="470DF607" w14:textId="5735BCD0" w:rsidR="00AF03DD" w:rsidRDefault="00777724" w:rsidP="001337AC">
            <w:pPr>
              <w:jc w:val="center"/>
            </w:pPr>
            <w:r>
              <w:t>12/19/19</w:t>
            </w: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02C1BF05"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B31C26">
          <w:rPr>
            <w:noProof/>
            <w:webHidden/>
          </w:rPr>
          <w:t>4</w:t>
        </w:r>
        <w:r w:rsidR="0064316E">
          <w:rPr>
            <w:noProof/>
            <w:webHidden/>
          </w:rPr>
          <w:fldChar w:fldCharType="end"/>
        </w:r>
      </w:hyperlink>
    </w:p>
    <w:p w14:paraId="3ABC5B31" w14:textId="698B80E5"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B31C26">
          <w:rPr>
            <w:noProof/>
            <w:webHidden/>
          </w:rPr>
          <w:t>5</w:t>
        </w:r>
        <w:r w:rsidR="0064316E">
          <w:rPr>
            <w:noProof/>
            <w:webHidden/>
          </w:rPr>
          <w:fldChar w:fldCharType="end"/>
        </w:r>
      </w:hyperlink>
    </w:p>
    <w:p w14:paraId="3ABC5B32" w14:textId="59BF2AE0"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B31C26">
          <w:rPr>
            <w:noProof/>
            <w:webHidden/>
          </w:rPr>
          <w:t>10</w:t>
        </w:r>
        <w:r w:rsidR="0064316E">
          <w:rPr>
            <w:noProof/>
            <w:webHidden/>
          </w:rPr>
          <w:fldChar w:fldCharType="end"/>
        </w:r>
      </w:hyperlink>
    </w:p>
    <w:p w14:paraId="3ABC5B33" w14:textId="50A2A97C"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B31C26">
          <w:rPr>
            <w:noProof/>
            <w:webHidden/>
          </w:rPr>
          <w:t>11</w:t>
        </w:r>
        <w:r w:rsidR="0064316E">
          <w:rPr>
            <w:noProof/>
            <w:webHidden/>
          </w:rPr>
          <w:fldChar w:fldCharType="end"/>
        </w:r>
      </w:hyperlink>
    </w:p>
    <w:p w14:paraId="3ABC5B34" w14:textId="1DFC168B"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B31C26">
          <w:rPr>
            <w:noProof/>
            <w:webHidden/>
          </w:rPr>
          <w:t>13</w:t>
        </w:r>
        <w:r w:rsidR="0064316E">
          <w:rPr>
            <w:noProof/>
            <w:webHidden/>
          </w:rPr>
          <w:fldChar w:fldCharType="end"/>
        </w:r>
      </w:hyperlink>
    </w:p>
    <w:p w14:paraId="3ABC5B35" w14:textId="0483B161"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B31C26">
          <w:rPr>
            <w:noProof/>
            <w:webHidden/>
          </w:rPr>
          <w:t>17</w:t>
        </w:r>
        <w:r w:rsidR="0064316E">
          <w:rPr>
            <w:noProof/>
            <w:webHidden/>
          </w:rPr>
          <w:fldChar w:fldCharType="end"/>
        </w:r>
      </w:hyperlink>
    </w:p>
    <w:p w14:paraId="3ABC5B36" w14:textId="52C30641"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B31C26">
          <w:rPr>
            <w:noProof/>
            <w:webHidden/>
          </w:rPr>
          <w:t>18</w:t>
        </w:r>
        <w:r w:rsidR="0064316E">
          <w:rPr>
            <w:noProof/>
            <w:webHidden/>
          </w:rPr>
          <w:fldChar w:fldCharType="end"/>
        </w:r>
      </w:hyperlink>
    </w:p>
    <w:p w14:paraId="3ABC5B37" w14:textId="408C5F4F"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B31C26">
          <w:rPr>
            <w:noProof/>
            <w:webHidden/>
          </w:rPr>
          <w:t>23</w:t>
        </w:r>
        <w:r w:rsidR="0064316E">
          <w:rPr>
            <w:noProof/>
            <w:webHidden/>
          </w:rPr>
          <w:fldChar w:fldCharType="end"/>
        </w:r>
      </w:hyperlink>
    </w:p>
    <w:p w14:paraId="3ABC5B38" w14:textId="4DA191AB"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B31C26">
          <w:rPr>
            <w:noProof/>
            <w:webHidden/>
          </w:rPr>
          <w:t>24</w:t>
        </w:r>
        <w:r w:rsidR="0064316E">
          <w:rPr>
            <w:noProof/>
            <w:webHidden/>
          </w:rPr>
          <w:fldChar w:fldCharType="end"/>
        </w:r>
      </w:hyperlink>
    </w:p>
    <w:p w14:paraId="3ABC5B39" w14:textId="191ABC44"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B31C26">
          <w:rPr>
            <w:noProof/>
            <w:webHidden/>
          </w:rPr>
          <w:t>26</w:t>
        </w:r>
        <w:r w:rsidR="0064316E">
          <w:rPr>
            <w:noProof/>
            <w:webHidden/>
          </w:rPr>
          <w:fldChar w:fldCharType="end"/>
        </w:r>
      </w:hyperlink>
    </w:p>
    <w:p w14:paraId="3ABC5B3A" w14:textId="11000FA0"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B31C26">
          <w:rPr>
            <w:noProof/>
            <w:webHidden/>
          </w:rPr>
          <w:t>28</w:t>
        </w:r>
        <w:r w:rsidR="0064316E">
          <w:rPr>
            <w:noProof/>
            <w:webHidden/>
          </w:rPr>
          <w:fldChar w:fldCharType="end"/>
        </w:r>
      </w:hyperlink>
    </w:p>
    <w:p w14:paraId="3ABC5B3B" w14:textId="7EBC402F"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B31C26">
          <w:rPr>
            <w:noProof/>
            <w:webHidden/>
          </w:rPr>
          <w:t>29</w:t>
        </w:r>
        <w:r w:rsidR="0064316E">
          <w:rPr>
            <w:noProof/>
            <w:webHidden/>
          </w:rPr>
          <w:fldChar w:fldCharType="end"/>
        </w:r>
      </w:hyperlink>
    </w:p>
    <w:p w14:paraId="3ABC5B3C" w14:textId="250D5733"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B31C26">
          <w:rPr>
            <w:noProof/>
            <w:webHidden/>
          </w:rPr>
          <w:t>64</w:t>
        </w:r>
        <w:r w:rsidR="0064316E">
          <w:rPr>
            <w:noProof/>
            <w:webHidden/>
          </w:rPr>
          <w:fldChar w:fldCharType="end"/>
        </w:r>
      </w:hyperlink>
    </w:p>
    <w:p w14:paraId="3ABC5B3D" w14:textId="55B89F89"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B31C26">
          <w:rPr>
            <w:noProof/>
            <w:webHidden/>
          </w:rPr>
          <w:t>65</w:t>
        </w:r>
        <w:r w:rsidR="0064316E">
          <w:rPr>
            <w:noProof/>
            <w:webHidden/>
          </w:rPr>
          <w:fldChar w:fldCharType="end"/>
        </w:r>
      </w:hyperlink>
    </w:p>
    <w:p w14:paraId="3ABC5B3E" w14:textId="2869962E"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B31C26">
          <w:rPr>
            <w:noProof/>
            <w:webHidden/>
          </w:rPr>
          <w:t>66</w:t>
        </w:r>
        <w:r w:rsidR="0064316E">
          <w:rPr>
            <w:noProof/>
            <w:webHidden/>
          </w:rPr>
          <w:fldChar w:fldCharType="end"/>
        </w:r>
      </w:hyperlink>
    </w:p>
    <w:p w14:paraId="3ABC5B3F" w14:textId="759FFBFD"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B31C26">
          <w:rPr>
            <w:noProof/>
            <w:webHidden/>
          </w:rPr>
          <w:t>67</w:t>
        </w:r>
        <w:r w:rsidR="0064316E">
          <w:rPr>
            <w:noProof/>
            <w:webHidden/>
          </w:rPr>
          <w:fldChar w:fldCharType="end"/>
        </w:r>
      </w:hyperlink>
    </w:p>
    <w:p w14:paraId="3ABC5B40" w14:textId="4822F4AD"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B31C26">
          <w:rPr>
            <w:noProof/>
            <w:webHidden/>
          </w:rPr>
          <w:t>68</w:t>
        </w:r>
        <w:r w:rsidR="0064316E">
          <w:rPr>
            <w:noProof/>
            <w:webHidden/>
          </w:rPr>
          <w:fldChar w:fldCharType="end"/>
        </w:r>
      </w:hyperlink>
    </w:p>
    <w:p w14:paraId="3ABC5B41" w14:textId="394A7BAF" w:rsidR="0064316E" w:rsidRDefault="00B44747">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B31C26">
          <w:rPr>
            <w:noProof/>
            <w:webHidden/>
          </w:rPr>
          <w:t>69</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r w:rsidR="005F2C0A">
        <w:rPr>
          <w:color w:val="000000" w:themeColor="text1"/>
        </w:rPr>
        <w:t xml:space="preserve">the variance </w:t>
      </w:r>
      <w:r w:rsidR="00FB70A2">
        <w:rPr>
          <w:color w:val="000000" w:themeColor="text1"/>
        </w:rPr>
        <w:t>rule</w:t>
      </w:r>
      <w:r w:rsidR="005F2C0A">
        <w:rPr>
          <w:color w:val="000000" w:themeColor="text1"/>
        </w:rPr>
        <w:t xml:space="preserve"> at</w:t>
      </w:r>
      <w:r w:rsidR="00FB70A2">
        <w:rPr>
          <w:color w:val="000000" w:themeColor="text1"/>
        </w:rPr>
        <w:t xml:space="preserve"> 340-041-0059, </w:t>
      </w:r>
      <w:r w:rsidR="005F2C0A">
        <w:rPr>
          <w:color w:val="000000" w:themeColor="text1"/>
        </w:rPr>
        <w:t xml:space="preserve">and </w:t>
      </w:r>
      <w:r w:rsidR="00FB70A2">
        <w:rPr>
          <w:color w:val="000000" w:themeColor="text1"/>
        </w:rPr>
        <w:t>then adopt the proposed amendments in Attachment A to rule 340-041-0340</w:t>
      </w:r>
      <w:r w:rsidR="005F2C0A">
        <w:rPr>
          <w:color w:val="000000" w:themeColor="text1"/>
        </w:rPr>
        <w:t xml:space="preserve"> to adopt a Multiple Discharger Variance for methylmercury for NPDES permitted dischargers in the Willamette Basin</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5C0F097B"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32EE5BB9"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685E37CD"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2F2A4709"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Director the authority to grant individual discharger variances and retain </w:t>
      </w:r>
      <w:r>
        <w:t>the 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5EC41232" w:rsidR="009F34A6" w:rsidRPr="009F34A6" w:rsidRDefault="009F34A6" w:rsidP="009F34A6">
      <w:pPr>
        <w:ind w:left="0"/>
      </w:pPr>
      <w:r>
        <w:t xml:space="preserve">The </w:t>
      </w:r>
      <w:r w:rsidR="009534C2">
        <w:t xml:space="preserve">Willamette Mercury </w:t>
      </w:r>
      <w:r>
        <w:t xml:space="preserve">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w:t>
      </w:r>
      <w:r>
        <w:lastRenderedPageBreak/>
        <w:t xml:space="preserve">years. The rule does not modify the underlying water quality standard as it applies to other </w:t>
      </w:r>
      <w:r w:rsidR="00B31C26">
        <w:t>Clean Water Act</w:t>
      </w:r>
      <w:r>
        <w:t xml:space="preserve"> programs. The rule requires dischargers permitted under the variance to develop and implement a mercury minimization </w:t>
      </w:r>
      <w:r w:rsidR="009534C2">
        <w:t xml:space="preserve">program </w:t>
      </w:r>
      <w:r>
        <w:t xml:space="preserve">that will result in mercury reductions. In addition, it requires DEQ to establish effluent limits equal to what the discharger can currently achieve to prevent degradation. </w:t>
      </w:r>
      <w:r w:rsidR="007D2620">
        <w:t>Implementation of t</w:t>
      </w:r>
      <w:r>
        <w:t>he rule requires DEQ to update these permit limits based on recent facility</w:t>
      </w:r>
      <w:r w:rsidR="009534C2">
        <w:t xml:space="preserve"> effluent</w:t>
      </w:r>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17796E73" w:rsidR="001337AC" w:rsidRPr="00B31C26" w:rsidRDefault="001337AC" w:rsidP="001337AC">
      <w:pPr>
        <w:ind w:left="0"/>
      </w:pPr>
      <w:r w:rsidRPr="00B31C26">
        <w:t xml:space="preserve">The key policy issue with the variance rule </w:t>
      </w:r>
      <w:r w:rsidR="00811955">
        <w:t>is</w:t>
      </w:r>
      <w:r w:rsidR="00811955" w:rsidRPr="00B31C26">
        <w:t xml:space="preserve"> </w:t>
      </w:r>
      <w:r w:rsidRPr="00B31C26">
        <w:t xml:space="preserve">to ensure consistency with federal </w:t>
      </w:r>
      <w:r w:rsidR="00B03B5B" w:rsidRPr="00B31C26">
        <w:t>regulations adopted after Oregon’s current rule</w:t>
      </w:r>
      <w:r w:rsidRPr="00B31C26">
        <w:t xml:space="preserve">, </w:t>
      </w:r>
      <w:r w:rsidR="00B03B5B" w:rsidRPr="00B31C26">
        <w:t>and to clarify the</w:t>
      </w:r>
      <w:r w:rsidRPr="00B31C26">
        <w:t xml:space="preserve"> roles </w:t>
      </w:r>
      <w:r w:rsidR="009534C2" w:rsidRPr="00B31C26">
        <w:t xml:space="preserve">and requirements for </w:t>
      </w:r>
      <w:r w:rsidR="00992AF8" w:rsidRPr="00B31C26">
        <w:t xml:space="preserve">granting </w:t>
      </w:r>
      <w:r w:rsidRPr="00B31C26">
        <w:t xml:space="preserve">variances. 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C776B8" w:rsidRPr="00B31C26">
        <w:t>delegating to</w:t>
      </w:r>
      <w:r w:rsidR="009534C2" w:rsidRPr="00B31C26">
        <w:t xml:space="preserve"> </w:t>
      </w:r>
      <w:r w:rsidRPr="00B31C26">
        <w:t>the Commission</w:t>
      </w:r>
      <w:r w:rsidR="00C776B8" w:rsidRPr="00B31C26">
        <w:t xml:space="preserve"> the</w:t>
      </w:r>
      <w:r w:rsidRPr="00B31C26">
        <w:t xml:space="preserve"> 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anticipate multiple discharger variances or waterbody variances.</w:t>
      </w:r>
    </w:p>
    <w:p w14:paraId="61D95BA7" w14:textId="75D97437" w:rsidR="001337AC" w:rsidRPr="00B31C26" w:rsidRDefault="001337AC" w:rsidP="001337AC">
      <w:pPr>
        <w:ind w:left="0"/>
      </w:pPr>
    </w:p>
    <w:p w14:paraId="6857ED1B" w14:textId="70EF3F80" w:rsidR="009F34A6" w:rsidRPr="00B31C26" w:rsidRDefault="007D2620" w:rsidP="009F34A6">
      <w:pPr>
        <w:ind w:left="0"/>
      </w:pPr>
      <w:r w:rsidRPr="00B31C26">
        <w:t xml:space="preserve">A </w:t>
      </w:r>
      <w:r w:rsidR="001337AC" w:rsidRPr="00B31C26">
        <w:t xml:space="preserve">key policy and technical issue for the </w:t>
      </w:r>
      <w:r w:rsidR="00B03B5B" w:rsidRPr="00B31C26">
        <w:t>Willamette Mercury MDV</w:t>
      </w:r>
      <w:r w:rsidR="001337AC" w:rsidRPr="00B31C26">
        <w:t xml:space="preserve"> was determining the Highest Attainable Condition, or the goal for the variance. </w:t>
      </w:r>
      <w:r w:rsidR="0070197A" w:rsidRPr="00B31C26">
        <w:t>T</w:t>
      </w:r>
      <w:r w:rsidR="001337AC" w:rsidRPr="00B31C26">
        <w:t xml:space="preserve">he </w:t>
      </w:r>
      <w:r w:rsidR="00992AF8" w:rsidRPr="00B31C26">
        <w:t xml:space="preserve">permitted </w:t>
      </w:r>
      <w:r w:rsidR="001337AC" w:rsidRPr="00B31C26">
        <w:t xml:space="preserve">sources covered under the variance contribute </w:t>
      </w:r>
      <w:r w:rsidR="0070197A" w:rsidRPr="00B31C26">
        <w:t xml:space="preserve">approximately </w:t>
      </w:r>
      <w:r w:rsidR="001337AC" w:rsidRPr="00B31C26">
        <w:t>1% of the total load of mercury to the Willamette Basin. DEQ is proposing a Highest Attainable Condition that requires each discharger to maintain</w:t>
      </w:r>
      <w:r w:rsidR="000B1D5F" w:rsidRPr="00B31C26">
        <w:t xml:space="preserve"> and operate their</w:t>
      </w:r>
      <w:r w:rsidR="001337AC" w:rsidRPr="00B31C26">
        <w:t xml:space="preserve"> current treatment </w:t>
      </w:r>
      <w:r w:rsidR="000B1D5F" w:rsidRPr="00B31C26">
        <w:t xml:space="preserve">system well, </w:t>
      </w:r>
      <w:r w:rsidR="00992AF8" w:rsidRPr="00B31C26">
        <w:t xml:space="preserve">and </w:t>
      </w:r>
      <w:r w:rsidR="001337AC" w:rsidRPr="00B31C26">
        <w:t xml:space="preserve">implement a mercury minimization </w:t>
      </w:r>
      <w:r w:rsidR="0070197A" w:rsidRPr="00B31C26">
        <w:t xml:space="preserve">program </w:t>
      </w:r>
      <w:r w:rsidR="00697273" w:rsidRPr="00B31C26">
        <w:t xml:space="preserve">that includes </w:t>
      </w:r>
      <w:r w:rsidR="0070197A"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Pr="00B31C26">
        <w:t xml:space="preserve">, which indicates preference for source control over treatment for mercury, so that mercury isn’t reintroduced to the environment. Moreover, data from </w:t>
      </w:r>
      <w:r w:rsidR="001337AC" w:rsidRPr="00B31C26">
        <w:t>Oregon and other states</w:t>
      </w:r>
      <w:r w:rsidR="004E7898" w:rsidRPr="00B31C26">
        <w:t xml:space="preserve"> show</w:t>
      </w:r>
      <w:r w:rsidR="001337AC" w:rsidRPr="00B31C26">
        <w:t xml:space="preserve"> that </w:t>
      </w:r>
      <w:r w:rsidRPr="00B31C26">
        <w:t>source reduction</w:t>
      </w:r>
      <w:r w:rsidR="001337AC" w:rsidRPr="00B31C26">
        <w:t xml:space="preserve"> </w:t>
      </w:r>
      <w:r w:rsidRPr="00B31C26">
        <w:t>decrease</w:t>
      </w:r>
      <w:r w:rsidR="001337AC" w:rsidRPr="00B31C26">
        <w:t xml:space="preserve">s mercury levels </w:t>
      </w:r>
      <w:r w:rsidRPr="00B31C26">
        <w:t xml:space="preserve">in effluent </w:t>
      </w:r>
      <w:r w:rsidR="001337AC" w:rsidRPr="00B31C26">
        <w:t>over time.</w:t>
      </w:r>
    </w:p>
    <w:p w14:paraId="345F4469" w14:textId="62B677B9" w:rsidR="007D2620" w:rsidRPr="00B31C26" w:rsidRDefault="007D2620" w:rsidP="009F34A6">
      <w:pPr>
        <w:ind w:left="0"/>
      </w:pPr>
    </w:p>
    <w:p w14:paraId="0D1BEB46" w14:textId="5255C8F7" w:rsidR="007D2620" w:rsidRPr="00B31C26" w:rsidRDefault="007D2620" w:rsidP="009F34A6">
      <w:pPr>
        <w:ind w:left="0"/>
      </w:pPr>
      <w:r w:rsidRPr="00B31C26">
        <w:t xml:space="preserve">Another key policy </w:t>
      </w:r>
      <w:r w:rsidR="00697273" w:rsidRPr="00B31C26">
        <w:t xml:space="preserve">and technical </w:t>
      </w:r>
      <w:r w:rsidRPr="00B31C26">
        <w:t xml:space="preserve">issue for the MDV </w:t>
      </w:r>
      <w:r w:rsidR="0028512B" w:rsidRPr="00B31C26">
        <w:t xml:space="preserve">was </w:t>
      </w:r>
      <w:r w:rsidRPr="00B31C26">
        <w:t xml:space="preserve">how DEQ defines the level currently achievable, or </w:t>
      </w:r>
      <w:r w:rsidR="00697273" w:rsidRPr="00B31C26">
        <w:t xml:space="preserve">the mercury concentration </w:t>
      </w:r>
      <w:r w:rsidRPr="00B31C26">
        <w:t>each discharger can achieve in their effluent with current</w:t>
      </w:r>
      <w:r w:rsidR="00697273" w:rsidRPr="00B31C26">
        <w:t>ly installed</w:t>
      </w:r>
      <w:r w:rsidRPr="00B31C26">
        <w:t xml:space="preserve"> treatment</w:t>
      </w:r>
      <w:r w:rsidR="00697273" w:rsidRPr="00B31C26">
        <w:t xml:space="preserve"> technology</w:t>
      </w:r>
      <w:r w:rsidRPr="00B31C26">
        <w:t xml:space="preserve">. The LCA will serve as the basis for effluent limits when the variance is implemented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r w:rsidR="007F174D" w:rsidRPr="00B31C26">
        <w:t>i</w:t>
      </w:r>
      <w:r w:rsidRPr="00B31C26">
        <w:t xml:space="preserve">s designed to </w:t>
      </w:r>
      <w:r w:rsidR="0028512B" w:rsidRPr="00B31C26">
        <w:t xml:space="preserve">account for </w:t>
      </w:r>
      <w:r w:rsidRPr="00B31C26">
        <w:t>this variability.</w:t>
      </w:r>
    </w:p>
    <w:p w14:paraId="718B8AA2" w14:textId="1C7A4F73" w:rsidR="007F174D" w:rsidRPr="00B31C26" w:rsidRDefault="007F174D" w:rsidP="009F34A6">
      <w:pPr>
        <w:ind w:left="0"/>
      </w:pPr>
    </w:p>
    <w:p w14:paraId="1B46C014" w14:textId="14887ABA" w:rsidR="007F174D" w:rsidRPr="00B31C26" w:rsidRDefault="007F174D" w:rsidP="009F34A6">
      <w:pPr>
        <w:ind w:left="0"/>
      </w:pPr>
      <w:r w:rsidRPr="00B31C26">
        <w:t xml:space="preserve">Another key policy issue </w:t>
      </w:r>
      <w:r w:rsidR="00C776B8" w:rsidRPr="00B31C26">
        <w:t xml:space="preserve">was </w:t>
      </w:r>
      <w:r w:rsidRPr="00B31C26">
        <w:t>the duration of the variance. 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 xml:space="preserve">re-evaluate </w:t>
      </w:r>
      <w:r w:rsidRPr="00B31C26">
        <w:lastRenderedPageBreak/>
        <w:t>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74D18BCB" w:rsidR="001337AC" w:rsidRDefault="001337AC" w:rsidP="001337AC">
      <w:pPr>
        <w:ind w:left="0"/>
      </w:pPr>
      <w:r>
        <w:t xml:space="preserve">Parties affected by this rulemaking include </w:t>
      </w:r>
      <w:r w:rsidR="006F6D85">
        <w:t>holders of individual industrial and municipal NPDES permits</w:t>
      </w:r>
      <w:r w:rsidR="00B31C26">
        <w:t xml:space="preserve"> in the Willamette Basin</w:t>
      </w:r>
      <w:r w:rsidR="006F6D85">
        <w:t xml:space="preserve">, </w:t>
      </w:r>
      <w:r w:rsidR="00811955">
        <w:t>t</w:t>
      </w:r>
      <w:r w:rsidR="006F6D85">
        <w: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1126E63C" w:rsidR="006F6D85" w:rsidRDefault="006F6D85" w:rsidP="006F6D85">
      <w:pPr>
        <w:ind w:left="0"/>
      </w:pPr>
      <w:r>
        <w:t xml:space="preserve">DEQ held informational sessions with NPDES permit holders, environmental groups and </w:t>
      </w:r>
      <w:r w:rsidR="00811955">
        <w:t>t</w:t>
      </w:r>
      <w:r>
        <w: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763229A6"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 xml:space="preserve">individual municipal and industrial dischargers, environmental groups, fishing groups, </w:t>
      </w:r>
      <w:r w:rsidR="00811955">
        <w:t>t</w:t>
      </w:r>
      <w:r>
        <w: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6077B2F" w:rsidR="006F6D85" w:rsidRPr="006F6D85" w:rsidRDefault="006F6D85" w:rsidP="006F6D85">
      <w:pPr>
        <w:ind w:left="0" w:right="-432"/>
        <w:rPr>
          <w:color w:val="C45911" w:themeColor="accent2" w:themeShade="BF"/>
        </w:rPr>
      </w:pPr>
      <w:r>
        <w:t xml:space="preserve">DEQ has </w:t>
      </w:r>
      <w:r w:rsidR="00B31C26">
        <w:t xml:space="preserve">also </w:t>
      </w:r>
      <w:r>
        <w:t>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 xml:space="preserve">One commenter objected to removing a provision in the current language that prohibits DEQ from granting a variance if it would jeopardize the continued </w:t>
      </w:r>
      <w:r>
        <w:lastRenderedPageBreak/>
        <w:t>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290FF01"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e and the U.S. Fish and Wildlife Service</w:t>
      </w:r>
      <w:r w:rsidR="00811955">
        <w:t>, which</w:t>
      </w:r>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progress can be made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variance is a tool to, over time, decrease risks to human health to the extent feasible, even </w:t>
      </w:r>
      <w:r w:rsidR="003A6A22">
        <w:t>though</w:t>
      </w:r>
      <w:r>
        <w:t xml:space="preserve"> </w:t>
      </w:r>
      <w:r w:rsidR="003347B2">
        <w:t xml:space="preserve">the underlying </w:t>
      </w:r>
      <w:r w:rsidR="003A6A22">
        <w:t xml:space="preserve">standard </w:t>
      </w:r>
      <w:r>
        <w:t>can</w:t>
      </w:r>
      <w:r w:rsidR="00B31C26">
        <w:t>no</w:t>
      </w:r>
      <w:r>
        <w:t>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7A3E8E90"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t xml:space="preserve">once the Commission adopts a revised variance authorization rule. DEQ has responded that variances are only needed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004DF8F0"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w:t>
      </w:r>
      <w:r w:rsidR="00B44747">
        <w:t>documents.</w:t>
      </w:r>
    </w:p>
    <w:p w14:paraId="3B300478" w14:textId="3D15D21B" w:rsidR="00F42573" w:rsidRDefault="00F42573" w:rsidP="00842188">
      <w:pPr>
        <w:ind w:left="0"/>
      </w:pPr>
    </w:p>
    <w:p w14:paraId="2E88A263" w14:textId="5BC1AE97"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t>.</w:t>
      </w:r>
    </w:p>
    <w:p w14:paraId="12B32198" w14:textId="2ED4EF2F" w:rsidR="00F42573" w:rsidRDefault="00F42573" w:rsidP="00F42573">
      <w:pPr>
        <w:ind w:left="0"/>
      </w:pPr>
    </w:p>
    <w:p w14:paraId="39E8A016" w14:textId="0F28E64A"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w:t>
      </w:r>
      <w:r w:rsidR="00C3467B">
        <w:lastRenderedPageBreak/>
        <w:t xml:space="preserve">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dischargers that</w:t>
      </w:r>
      <w:r w:rsidR="007F174D">
        <w:t xml:space="preserve"> </w:t>
      </w:r>
      <w:r w:rsidR="00C3467B">
        <w:t>the variance</w:t>
      </w:r>
      <w:r w:rsidR="006025A5">
        <w:t xml:space="preserve"> applies to</w:t>
      </w:r>
      <w:r w:rsidR="00C3467B">
        <w:t xml:space="preserve">, </w:t>
      </w:r>
      <w:r w:rsidR="007F174D">
        <w:t xml:space="preserve">as well as additional 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t>DEQ received some comments regarding how the variance will be implemented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400EED8" w:rsidR="006F6D85" w:rsidRDefault="006F6D85" w:rsidP="006F6D85">
      <w:pPr>
        <w:ind w:left="0"/>
      </w:pPr>
      <w:r>
        <w:t xml:space="preserve">The primary impact of the proposed </w:t>
      </w:r>
      <w:r w:rsidR="00B31C26">
        <w:t xml:space="preserve">MDV </w:t>
      </w:r>
      <w:r>
        <w:t>rule is to make the process of obtaining a variance for wastewater dischargers in the basin efficient. Without the MDV,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w:t>
      </w:r>
      <w:r w:rsidR="001C3638">
        <w:t>EP</w:t>
      </w:r>
      <w:bookmarkStart w:id="2" w:name="_GoBack"/>
      <w:bookmarkEnd w:id="2"/>
      <w:r w:rsidR="001C3638">
        <w:t>A</w:t>
      </w:r>
      <w:r>
        <w:t xml:space="preserve">, which must approve each individual variance. By developing an MDV, DEQ </w:t>
      </w:r>
      <w:r w:rsidR="00872DB7">
        <w:t>may</w:t>
      </w:r>
      <w:r>
        <w:t xml:space="preserve">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3" w:name="_Toc490121544"/>
            <w:r w:rsidRPr="00377FA3">
              <w:lastRenderedPageBreak/>
              <w:t>Optional Additional Topic from Notice</w:t>
            </w:r>
            <w:bookmarkEnd w:id="3"/>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4" w:name="_Toc490121545"/>
            <w:r w:rsidRPr="00377FA3">
              <w:lastRenderedPageBreak/>
              <w:t>Statement of Need</w:t>
            </w:r>
            <w:bookmarkEnd w:id="4"/>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lastRenderedPageBreak/>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5" w:name="_Toc490121546"/>
            <w:r>
              <w:t>Rules affected, authorities, supporting documents</w:t>
            </w:r>
            <w:bookmarkEnd w:id="5"/>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B44747"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B44747"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Department of </w:t>
            </w:r>
            <w:r>
              <w:rPr>
                <w:noProof/>
              </w:rPr>
              <w:lastRenderedPageBreak/>
              <w:t>Environmental Quality and U.S. EPA Region 10. 162 pp.</w:t>
            </w:r>
          </w:p>
        </w:tc>
        <w:tc>
          <w:tcPr>
            <w:tcW w:w="4500" w:type="dxa"/>
          </w:tcPr>
          <w:p w14:paraId="00888D11" w14:textId="77777777" w:rsidR="00450A46" w:rsidRPr="00364BC1" w:rsidRDefault="00B44747"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B44747"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B44747"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B44747"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B44747"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 xml:space="preserve">Water Quality </w:t>
            </w:r>
            <w:r w:rsidRPr="00364BC1">
              <w:rPr>
                <w:i/>
              </w:rPr>
              <w:lastRenderedPageBreak/>
              <w:t>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B44747"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B44747"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B44747"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B44747"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B44747"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B44747"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Influent data from Major Wastewater </w:t>
            </w:r>
            <w:r w:rsidRPr="001302BD">
              <w:rPr>
                <w:rFonts w:ascii="Times New Roman" w:hAnsi="Times New Roman" w:cs="Times New Roman"/>
                <w:sz w:val="24"/>
                <w:szCs w:val="24"/>
              </w:rPr>
              <w:lastRenderedPageBreak/>
              <w:t>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B44747"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B44747"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B44747"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 xml:space="preserve">Driscoll et al. 2007. Mercury contamination in forest and freshwater </w:t>
            </w:r>
            <w:r>
              <w:lastRenderedPageBreak/>
              <w:t>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7" w:name="_Toc490121547"/>
            <w:r w:rsidRPr="00377FA3">
              <w:t>Fee Analysis</w:t>
            </w:r>
            <w:bookmarkEnd w:id="7"/>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8" w:name="_Toc490121548"/>
            <w:r w:rsidRPr="009C3D5E">
              <w:rPr>
                <w:rStyle w:val="Heading1Char"/>
                <w:bCs/>
              </w:rPr>
              <w:lastRenderedPageBreak/>
              <w:t>Statement of fiscal and economic impact</w:t>
            </w:r>
            <w:bookmarkEnd w:id="8"/>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w:t>
      </w:r>
      <w:r>
        <w:lastRenderedPageBreak/>
        <w:t>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lastRenderedPageBreak/>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lastRenderedPageBreak/>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lastRenderedPageBreak/>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lastRenderedPageBreak/>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9" w:name="_Toc490121549"/>
            <w:r w:rsidRPr="00377FA3">
              <w:t>Federal relationship</w:t>
            </w:r>
            <w:bookmarkEnd w:id="9"/>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10" w:name="_Toc490121550"/>
            <w:r w:rsidRPr="00377FA3">
              <w:t>Land Use</w:t>
            </w:r>
            <w:bookmarkEnd w:id="10"/>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77724" w:rsidRPr="001A4DE1" w:rsidRDefault="0077772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77724" w:rsidRDefault="0077772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1" w:name="_Toc490121551"/>
            <w:r>
              <w:t>Advisory Committee</w:t>
            </w:r>
            <w:bookmarkEnd w:id="11"/>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2" w:name="AdvisoryCommittee"/>
      <w:r w:rsidRPr="00476D38">
        <w:t>Advisory committee</w:t>
      </w:r>
      <w:bookmarkEnd w:id="12"/>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lastRenderedPageBreak/>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3" w:name="_Toc490121552"/>
            <w:r>
              <w:lastRenderedPageBreak/>
              <w:t>Public Hearings</w:t>
            </w:r>
            <w:bookmarkEnd w:id="13"/>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lastRenderedPageBreak/>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4" w:name="_Toc490121553"/>
            <w:r w:rsidRPr="00377FA3">
              <w:t>Summary of comments and DEQ responses</w:t>
            </w:r>
            <w:bookmarkEnd w:id="14"/>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w:t>
            </w:r>
            <w:r w:rsidRPr="009A1C32">
              <w:rPr>
                <w:rFonts w:eastAsiaTheme="minorHAnsi"/>
                <w:sz w:val="22"/>
                <w:szCs w:val="22"/>
              </w:rPr>
              <w:lastRenderedPageBreak/>
              <w:t xml:space="preserve">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lastRenderedPageBreak/>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lastRenderedPageBreak/>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lastRenderedPageBreak/>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 xml:space="preserve">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w:t>
            </w:r>
            <w:r w:rsidRPr="00E611F1">
              <w:rPr>
                <w:sz w:val="22"/>
                <w:szCs w:val="22"/>
              </w:rPr>
              <w:lastRenderedPageBreak/>
              <w:t>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lastRenderedPageBreak/>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lastRenderedPageBreak/>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lastRenderedPageBreak/>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lastRenderedPageBreak/>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lastRenderedPageBreak/>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36821DEB"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p>
    <w:p w14:paraId="31B504BB" w14:textId="77777777" w:rsidR="00AD7968" w:rsidRDefault="00AD7968" w:rsidP="009012F7">
      <w:pPr>
        <w:ind w:left="0"/>
        <w:rPr>
          <w:color w:val="000000"/>
          <w:sz w:val="22"/>
          <w:szCs w:val="22"/>
        </w:rPr>
      </w:pPr>
    </w:p>
    <w:p w14:paraId="22A54B75" w14:textId="4C70C3F0" w:rsidR="002D5DD3" w:rsidRPr="00DD02CB" w:rsidRDefault="00BC3987" w:rsidP="009012F7">
      <w:pPr>
        <w:ind w:left="0"/>
        <w:rPr>
          <w:bCs/>
          <w:color w:val="000000" w:themeColor="text1"/>
          <w:sz w:val="22"/>
          <w:szCs w:val="22"/>
        </w:rPr>
      </w:pPr>
      <w:r>
        <w:rPr>
          <w:color w:val="000000"/>
          <w:sz w:val="22"/>
          <w:szCs w:val="22"/>
        </w:rPr>
        <w:lastRenderedPageBreak/>
        <w:t>DEQ did not make changes to OAR 340-041-0059 in response to this comment. See response to Comment #78 related to the Willamette Basin Mercury MDV.</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21E21AAC" w:rsidR="004D6736" w:rsidRPr="00DD02CB" w:rsidRDefault="00EA587B" w:rsidP="004D6736">
      <w:pPr>
        <w:ind w:left="0" w:right="630"/>
        <w:rPr>
          <w:bCs/>
          <w:color w:val="000000" w:themeColor="text1"/>
          <w:sz w:val="22"/>
          <w:szCs w:val="22"/>
        </w:rPr>
      </w:pPr>
      <w:r w:rsidRPr="00DD02CB">
        <w:rPr>
          <w:bCs/>
          <w:color w:val="000000" w:themeColor="text1"/>
          <w:sz w:val="22"/>
          <w:szCs w:val="22"/>
        </w:rPr>
        <w:t>DEQ disagrees that a variance removes an existing use on a temporary basis</w:t>
      </w:r>
      <w:r w:rsidR="00721811">
        <w:rPr>
          <w:bCs/>
          <w:color w:val="000000" w:themeColor="text1"/>
          <w:sz w:val="22"/>
          <w:szCs w:val="22"/>
        </w:rPr>
        <w:t>. EPA guidance clarifies that an existing use means, “</w:t>
      </w:r>
      <w:r w:rsidR="00721811">
        <w:t xml:space="preserve">the use and water quality necessary to support the use that have been achieved in the waterbody on or </w:t>
      </w:r>
      <w:r w:rsidR="00721811">
        <w:lastRenderedPageBreak/>
        <w:t>after November 28, 1975.”</w:t>
      </w:r>
      <w:r w:rsidR="00721811">
        <w:rPr>
          <w:rStyle w:val="FootnoteReference"/>
        </w:rPr>
        <w:footnoteReference w:id="1"/>
      </w:r>
      <w:r w:rsidR="00721811">
        <w:t xml:space="preserve"> A</w:t>
      </w:r>
      <w:r w:rsidR="002D5DD3">
        <w:rPr>
          <w:bCs/>
          <w:color w:val="000000" w:themeColor="text1"/>
          <w:sz w:val="22"/>
          <w:szCs w:val="22"/>
        </w:rPr>
        <w:t xml:space="preserve"> variance </w:t>
      </w:r>
      <w:r w:rsidR="00721811">
        <w:rPr>
          <w:bCs/>
          <w:color w:val="000000" w:themeColor="text1"/>
          <w:sz w:val="22"/>
          <w:szCs w:val="22"/>
        </w:rPr>
        <w:t>sets a floor on water quality, because pollutant</w:t>
      </w:r>
      <w:r w:rsidR="00ED3C90">
        <w:rPr>
          <w:bCs/>
          <w:color w:val="000000" w:themeColor="text1"/>
          <w:sz w:val="22"/>
          <w:szCs w:val="22"/>
        </w:rPr>
        <w:t xml:space="preserve"> levels in the dischargers cannot increase</w:t>
      </w:r>
      <w:r w:rsidR="00721811">
        <w:rPr>
          <w:bCs/>
          <w:color w:val="000000" w:themeColor="text1"/>
          <w:sz w:val="22"/>
          <w:szCs w:val="22"/>
        </w:rPr>
        <w:t xml:space="preserve"> as a result of the variance. Those levels are expected to decrease during the variance</w:t>
      </w:r>
      <w:r w:rsidR="005C1798" w:rsidRPr="00DD02CB">
        <w:rPr>
          <w:bCs/>
          <w:color w:val="000000" w:themeColor="text1"/>
          <w:sz w:val="22"/>
          <w:szCs w:val="22"/>
        </w:rPr>
        <w:t xml:space="preserve"> </w:t>
      </w:r>
      <w:r w:rsidR="00721811">
        <w:rPr>
          <w:bCs/>
          <w:color w:val="000000" w:themeColor="text1"/>
          <w:sz w:val="22"/>
          <w:szCs w:val="22"/>
        </w:rPr>
        <w:t>based on the requirements in the variance.</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lastRenderedPageBreak/>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w:t>
      </w:r>
      <w:r w:rsidR="00227AF6">
        <w:rPr>
          <w:bCs/>
          <w:color w:val="000000" w:themeColor="text1"/>
          <w:sz w:val="22"/>
          <w:szCs w:val="22"/>
        </w:rPr>
        <w:lastRenderedPageBreak/>
        <w:t xml:space="preserve">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 xml:space="preserve">the proposed addition in section (3)(a)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 xml:space="preserve">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lastRenderedPageBreak/>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lastRenderedPageBreak/>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21C9B3DC"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 xml:space="preserve">The federal variance rule does not require that </w:t>
      </w:r>
      <w:r w:rsidR="007F4D23">
        <w:rPr>
          <w:bCs/>
          <w:color w:val="000000" w:themeColor="text1"/>
          <w:sz w:val="22"/>
          <w:szCs w:val="22"/>
        </w:rPr>
        <w:t>PMPs</w:t>
      </w:r>
      <w:r w:rsidR="00D55BA2">
        <w:rPr>
          <w:bCs/>
          <w:color w:val="000000" w:themeColor="text1"/>
          <w:sz w:val="22"/>
          <w:szCs w:val="22"/>
        </w:rPr>
        <w:t xml:space="preserve"> developed under a waterbody variance conform to BMPs that are identified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w:t>
      </w:r>
      <w:r w:rsidR="007F4D23">
        <w:rPr>
          <w:bCs/>
          <w:color w:val="000000" w:themeColor="text1"/>
          <w:sz w:val="22"/>
          <w:szCs w:val="22"/>
        </w:rPr>
        <w:t>As such conformity is not required by the federal rule, DEQ has concluded that the decision as to whether to require such conformity should be based on the specific</w:t>
      </w:r>
      <w:r w:rsidR="004025EE">
        <w:rPr>
          <w:bCs/>
          <w:color w:val="000000" w:themeColor="text1"/>
          <w:sz w:val="22"/>
          <w:szCs w:val="22"/>
        </w:rPr>
        <w:t xml:space="preserve"> situation</w:t>
      </w:r>
      <w:r w:rsidR="007F4D23">
        <w:rPr>
          <w:bCs/>
          <w:color w:val="000000" w:themeColor="text1"/>
          <w:sz w:val="22"/>
          <w:szCs w:val="22"/>
        </w:rPr>
        <w:t xml:space="preserve"> of each waterbody variance.</w:t>
      </w:r>
      <w:r w:rsidR="00D55BA2">
        <w:rPr>
          <w:bCs/>
          <w:color w:val="000000" w:themeColor="text1"/>
          <w:sz w:val="22"/>
          <w:szCs w:val="22"/>
        </w:rPr>
        <w:t xml:space="preserve">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w:t>
      </w:r>
      <w:r w:rsidR="008C3E27" w:rsidRPr="00DD02CB">
        <w:rPr>
          <w:color w:val="000000"/>
          <w:sz w:val="22"/>
          <w:szCs w:val="22"/>
        </w:rPr>
        <w:lastRenderedPageBreak/>
        <w:t>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add “public reporting” </w:t>
      </w:r>
      <w:r w:rsidR="00A465A0">
        <w:rPr>
          <w:bCs/>
          <w:color w:val="000000" w:themeColor="text1"/>
          <w:sz w:val="22"/>
          <w:szCs w:val="22"/>
        </w:rPr>
        <w:t>to the language in (6)(c)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 xml:space="preserve">in section (6)(d)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lastRenderedPageBreak/>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45F3EDE0"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w:t>
      </w:r>
      <w:r w:rsidR="00525B37">
        <w:rPr>
          <w:bCs/>
          <w:color w:val="000000" w:themeColor="text1"/>
          <w:sz w:val="22"/>
          <w:szCs w:val="22"/>
        </w:rPr>
        <w:t>The Willamette Basin mercury TMDL submitted to EPA indicates that it will take decades to implement needed activities (including nonpoint source controls) and see reduced levels of mercury in fish tissue sufficient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lastRenderedPageBreak/>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5EEB40DB"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C3987" w:rsidRPr="00BC3987">
        <w:rPr>
          <w:bCs/>
          <w:color w:val="000000" w:themeColor="text1"/>
          <w:sz w:val="22"/>
          <w:szCs w:val="22"/>
        </w:rPr>
        <w:t>See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BC3987">
        <w:rPr>
          <w:b/>
          <w:bCs/>
          <w:color w:val="000000" w:themeColor="text1"/>
          <w:sz w:val="22"/>
          <w:szCs w:val="22"/>
        </w:rPr>
        <w:t xml:space="preserve">  </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lastRenderedPageBreak/>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(i)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w:t>
      </w:r>
      <w:r w:rsidR="00DE38FD" w:rsidRPr="00DD02CB">
        <w:rPr>
          <w:rFonts w:eastAsiaTheme="minorHAnsi"/>
          <w:sz w:val="22"/>
          <w:szCs w:val="22"/>
        </w:rPr>
        <w:lastRenderedPageBreak/>
        <w:t>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4EE3E6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w:t>
      </w:r>
      <w:r w:rsidR="00DA3049">
        <w:rPr>
          <w:bCs/>
          <w:color w:val="000000" w:themeColor="text1"/>
          <w:sz w:val="22"/>
          <w:szCs w:val="22"/>
        </w:rPr>
        <w:t xml:space="preserve"> has revised Section 4.2.1 of the supporting documentation to allow for alternate methods to develop permit limits if a discharger provides data to DEQ showing that the measured effluent data do not match a log-normal distribution</w:t>
      </w:r>
      <w:r w:rsidR="00932004">
        <w:rPr>
          <w:bCs/>
          <w:color w:val="000000" w:themeColor="text1"/>
          <w:sz w:val="22"/>
          <w:szCs w:val="22"/>
        </w:rPr>
        <w:t>.</w:t>
      </w:r>
      <w:r w:rsidR="00DA3049">
        <w:rPr>
          <w:bCs/>
          <w:color w:val="000000" w:themeColor="text1"/>
          <w:sz w:val="22"/>
          <w:szCs w:val="22"/>
        </w:rPr>
        <w:t xml:space="preserve"> Any alternate method for developing effluent limits should be consistent with EPA’s guidance.</w:t>
      </w:r>
      <w:r w:rsidR="00932004">
        <w:rPr>
          <w:bCs/>
          <w:color w:val="000000" w:themeColor="text1"/>
          <w:sz w:val="22"/>
          <w:szCs w:val="22"/>
        </w:rPr>
        <w:t xml:space="preserve">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 xml:space="preserve">approved TMDL is implemented, overall </w:t>
      </w:r>
      <w:r w:rsidR="003A11B1">
        <w:rPr>
          <w:bCs/>
          <w:color w:val="000000" w:themeColor="text1"/>
          <w:sz w:val="22"/>
          <w:szCs w:val="22"/>
        </w:rPr>
        <w:lastRenderedPageBreak/>
        <w:t>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lastRenderedPageBreak/>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77724" w:rsidRDefault="00777724" w:rsidP="002D6C99">
      <w:r>
        <w:separator/>
      </w:r>
    </w:p>
  </w:endnote>
  <w:endnote w:type="continuationSeparator" w:id="0">
    <w:p w14:paraId="3ABC5CD7" w14:textId="77777777" w:rsidR="00777724" w:rsidRDefault="0077772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77724" w:rsidRDefault="00777724" w:rsidP="002D6C99">
    <w:pPr>
      <w:pStyle w:val="Footer"/>
    </w:pPr>
  </w:p>
  <w:p w14:paraId="3ABC5CD9" w14:textId="6CA7B4C9" w:rsidR="00777724" w:rsidRPr="002B4E71" w:rsidRDefault="00777724" w:rsidP="002D6C99">
    <w:pPr>
      <w:pStyle w:val="Footer"/>
    </w:pPr>
    <w:r>
      <w:t>Staff Report</w:t>
    </w:r>
    <w:r w:rsidRPr="002B4E71">
      <w:t xml:space="preserve"> page | </w:t>
    </w:r>
    <w:r>
      <w:fldChar w:fldCharType="begin"/>
    </w:r>
    <w:r>
      <w:instrText xml:space="preserve"> PAGE   \* MERGEFORMAT </w:instrText>
    </w:r>
    <w:r>
      <w:fldChar w:fldCharType="separate"/>
    </w:r>
    <w:r w:rsidR="00B44747">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77724" w:rsidRDefault="00777724" w:rsidP="002D6C99">
      <w:r>
        <w:separator/>
      </w:r>
    </w:p>
  </w:footnote>
  <w:footnote w:type="continuationSeparator" w:id="0">
    <w:p w14:paraId="3ABC5CD5" w14:textId="77777777" w:rsidR="00777724" w:rsidRDefault="00777724" w:rsidP="002D6C99">
      <w:r>
        <w:continuationSeparator/>
      </w:r>
    </w:p>
  </w:footnote>
  <w:footnote w:id="1">
    <w:p w14:paraId="1B7A075E" w14:textId="59DCF1D7" w:rsidR="00777724" w:rsidRPr="00721811" w:rsidRDefault="00777724">
      <w:pPr>
        <w:pStyle w:val="FootnoteText"/>
        <w:rPr>
          <w:rFonts w:ascii="Times New Roman" w:hAnsi="Times New Roman" w:cs="Times New Roman"/>
          <w:sz w:val="22"/>
          <w:szCs w:val="22"/>
        </w:rPr>
      </w:pPr>
      <w:r w:rsidRPr="00721811">
        <w:rPr>
          <w:rStyle w:val="FootnoteReference"/>
          <w:rFonts w:ascii="Times New Roman" w:hAnsi="Times New Roman" w:cs="Times New Roman"/>
          <w:sz w:val="22"/>
          <w:szCs w:val="22"/>
        </w:rPr>
        <w:footnoteRef/>
      </w:r>
      <w:r w:rsidRPr="00721811">
        <w:rPr>
          <w:rFonts w:ascii="Times New Roman" w:hAnsi="Times New Roman" w:cs="Times New Roman"/>
          <w:sz w:val="22"/>
          <w:szCs w:val="22"/>
        </w:rPr>
        <w:t xml:space="preserve"> See </w:t>
      </w:r>
      <w:r>
        <w:rPr>
          <w:rFonts w:ascii="Times New Roman" w:hAnsi="Times New Roman" w:cs="Times New Roman"/>
          <w:sz w:val="22"/>
          <w:szCs w:val="22"/>
        </w:rPr>
        <w:t xml:space="preserve">U.S. </w:t>
      </w:r>
      <w:r w:rsidRPr="00721811">
        <w:rPr>
          <w:rFonts w:ascii="Times New Roman" w:hAnsi="Times New Roman" w:cs="Times New Roman"/>
          <w:sz w:val="22"/>
          <w:szCs w:val="22"/>
        </w:rPr>
        <w:t>EPA corresp. w/ Derek Smithee, State of Oklahoma</w:t>
      </w:r>
      <w:r>
        <w:rPr>
          <w:rFonts w:ascii="Times New Roman" w:hAnsi="Times New Roman" w:cs="Times New Roman"/>
          <w:sz w:val="22"/>
          <w:szCs w:val="22"/>
        </w:rPr>
        <w:t xml:space="preserve"> Water Resources Board</w:t>
      </w:r>
      <w:r w:rsidRPr="00721811">
        <w:rPr>
          <w:rFonts w:ascii="Times New Roman" w:hAnsi="Times New Roman" w:cs="Times New Roman"/>
          <w:sz w:val="22"/>
          <w:szCs w:val="22"/>
        </w:rPr>
        <w:t xml:space="preserve">. </w:t>
      </w:r>
      <w:r>
        <w:rPr>
          <w:rFonts w:ascii="Times New Roman" w:hAnsi="Times New Roman" w:cs="Times New Roman"/>
          <w:sz w:val="22"/>
          <w:szCs w:val="22"/>
        </w:rPr>
        <w:t xml:space="preserve">September 5, </w:t>
      </w:r>
      <w:r w:rsidRPr="00721811">
        <w:rPr>
          <w:rFonts w:ascii="Times New Roman" w:hAnsi="Times New Roman" w:cs="Times New Roman"/>
          <w:sz w:val="22"/>
          <w:szCs w:val="22"/>
        </w:rPr>
        <w:t xml:space="preserve">2008. Available at: </w:t>
      </w:r>
      <w:hyperlink r:id="rId1" w:history="1">
        <w:r w:rsidRPr="00721811">
          <w:rPr>
            <w:rStyle w:val="Hyperlink"/>
            <w:rFonts w:ascii="Times New Roman" w:hAnsi="Times New Roman" w:cs="Times New Roman"/>
            <w:sz w:val="22"/>
            <w:szCs w:val="22"/>
          </w:rPr>
          <w:t>https://www.epa.gov/sites/production/files/2014-10/documents/existinguse-smithee-letter.pdf</w:t>
        </w:r>
      </w:hyperlink>
      <w:r w:rsidRPr="00721811">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638"/>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25EE"/>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5B37"/>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811"/>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77724"/>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4D23"/>
    <w:rsid w:val="007F5F78"/>
    <w:rsid w:val="007F6A0E"/>
    <w:rsid w:val="007F6FB0"/>
    <w:rsid w:val="007F7F8C"/>
    <w:rsid w:val="008013F0"/>
    <w:rsid w:val="008021EA"/>
    <w:rsid w:val="00803A21"/>
    <w:rsid w:val="00805C3F"/>
    <w:rsid w:val="0080610D"/>
    <w:rsid w:val="008116A2"/>
    <w:rsid w:val="00811955"/>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354D"/>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4747"/>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3049"/>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 w:type="character" w:styleId="FootnoteReference">
    <w:name w:val="footnote reference"/>
    <w:basedOn w:val="DefaultParagraphFont"/>
    <w:uiPriority w:val="99"/>
    <w:semiHidden/>
    <w:unhideWhenUsed/>
    <w:rsid w:val="00721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4-10/documents/existinguse-smithe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A0F25-B81B-48CB-99BD-2ECB91A4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69</Pages>
  <Words>21710</Words>
  <Characters>123750</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3</cp:revision>
  <cp:lastPrinted>2019-12-11T16:30:00Z</cp:lastPrinted>
  <dcterms:created xsi:type="dcterms:W3CDTF">2019-12-19T22:53:00Z</dcterms:created>
  <dcterms:modified xsi:type="dcterms:W3CDTF">2019-12-19T23:46:00Z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