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48B1465D" w:rsidR="00C961E7" w:rsidRPr="003C489B" w:rsidRDefault="00AB20D8" w:rsidP="00C961E7">
      <w:pPr>
        <w:jc w:val="center"/>
        <w:rPr>
          <w:rStyle w:val="Strong"/>
          <w:rFonts w:ascii="Arial" w:hAnsi="Arial" w:cs="Arial"/>
          <w:color w:val="806000" w:themeColor="accent4" w:themeShade="80"/>
        </w:rPr>
      </w:pPr>
      <w:r>
        <w:rPr>
          <w:rStyle w:val="Strong"/>
          <w:rFonts w:ascii="Arial" w:hAnsi="Arial" w:cs="Arial"/>
          <w:color w:val="000000" w:themeColor="text1"/>
        </w:rPr>
        <w:t>Willamette Valley Multiple Discharger Mercury Variance 2019</w:t>
      </w:r>
    </w:p>
    <w:p w14:paraId="3ABC5B1B" w14:textId="77777777" w:rsidR="00C961E7" w:rsidRPr="00377FA3" w:rsidRDefault="00C961E7" w:rsidP="00C961E7">
      <w:pPr>
        <w:jc w:val="center"/>
        <w:rPr>
          <w:rStyle w:val="Strong"/>
        </w:rPr>
      </w:pPr>
    </w:p>
    <w:p w14:paraId="2082C83E" w14:textId="77777777" w:rsidR="00AB20D8" w:rsidRDefault="00AB20D8" w:rsidP="00AB20D8">
      <w:r>
        <w:t>This package contains the following documents:</w:t>
      </w:r>
    </w:p>
    <w:p w14:paraId="5448B9DB" w14:textId="77777777" w:rsidR="00AB20D8" w:rsidRDefault="00AB20D8" w:rsidP="00AB20D8"/>
    <w:p w14:paraId="050EE8E8" w14:textId="77777777" w:rsidR="00AB20D8" w:rsidRDefault="00AB20D8" w:rsidP="00AB20D8">
      <w:pPr>
        <w:pStyle w:val="ListParagraph"/>
        <w:numPr>
          <w:ilvl w:val="0"/>
          <w:numId w:val="41"/>
        </w:numPr>
        <w:ind w:right="0"/>
      </w:pPr>
      <w:r>
        <w:t>EQC Staff Report</w:t>
      </w:r>
    </w:p>
    <w:p w14:paraId="2809BC16" w14:textId="77777777" w:rsidR="00AB20D8" w:rsidRDefault="00AB20D8" w:rsidP="00AB20D8">
      <w:pPr>
        <w:pStyle w:val="ListParagraph"/>
        <w:numPr>
          <w:ilvl w:val="0"/>
          <w:numId w:val="41"/>
        </w:numPr>
        <w:ind w:right="0"/>
      </w:pPr>
      <w:r>
        <w:t>Draft Rules – Edits  Highlighted</w:t>
      </w:r>
    </w:p>
    <w:p w14:paraId="18816D7D" w14:textId="31EB44C1" w:rsidR="00AB20D8" w:rsidRDefault="00AB20D8" w:rsidP="00AB20D8">
      <w:pPr>
        <w:pStyle w:val="ListParagraph"/>
        <w:numPr>
          <w:ilvl w:val="0"/>
          <w:numId w:val="41"/>
        </w:numPr>
        <w:ind w:right="0"/>
      </w:pPr>
      <w:r>
        <w:t>Draft Rules – Edits Included (final clean version)</w:t>
      </w:r>
    </w:p>
    <w:p w14:paraId="29B9650D" w14:textId="3AFD3757" w:rsidR="00AB20D8" w:rsidRDefault="00AB20D8" w:rsidP="00AB20D8">
      <w:pPr>
        <w:pStyle w:val="ListParagraph"/>
        <w:numPr>
          <w:ilvl w:val="0"/>
          <w:numId w:val="41"/>
        </w:numPr>
        <w:ind w:right="0"/>
      </w:pPr>
      <w:r>
        <w:t>Attachments</w:t>
      </w:r>
    </w:p>
    <w:p w14:paraId="3852118D" w14:textId="77777777" w:rsidR="00AB20D8" w:rsidRDefault="00AB20D8" w:rsidP="00AB20D8"/>
    <w:p w14:paraId="3F783074" w14:textId="77777777" w:rsidR="00AB20D8" w:rsidRDefault="00AB20D8" w:rsidP="00AB20D8">
      <w:pPr>
        <w:rPr>
          <w:rFonts w:ascii="Arial" w:hAnsi="Arial" w:cs="Arial"/>
          <w:b/>
          <w:sz w:val="28"/>
          <w:szCs w:val="28"/>
        </w:rPr>
      </w:pPr>
      <w:r>
        <w:rPr>
          <w:rFonts w:ascii="Arial" w:hAnsi="Arial" w:cs="Arial"/>
          <w:b/>
          <w:sz w:val="28"/>
          <w:szCs w:val="28"/>
        </w:rPr>
        <w:t>Note for Readers:</w:t>
      </w:r>
    </w:p>
    <w:p w14:paraId="00E7B101" w14:textId="77777777" w:rsidR="00AB20D8" w:rsidRDefault="00AB20D8" w:rsidP="00AB20D8"/>
    <w:p w14:paraId="537E2531" w14:textId="77777777" w:rsidR="00AB20D8" w:rsidRDefault="00AB20D8" w:rsidP="00AB20D8">
      <w:r>
        <w:t>This package contains multiple documents. If you want to read more than one document at a time, you can open multiple copies of this PDF by downloading the PDF and then opening it in Adobe. You can then either:</w:t>
      </w:r>
    </w:p>
    <w:p w14:paraId="29659AA0" w14:textId="77777777" w:rsidR="00AB20D8" w:rsidRDefault="00AB20D8" w:rsidP="00AB20D8"/>
    <w:p w14:paraId="39E9B88D" w14:textId="77777777" w:rsidR="00AB20D8" w:rsidRDefault="00AB20D8" w:rsidP="00AB20D8">
      <w:pPr>
        <w:pStyle w:val="ListParagraph"/>
        <w:numPr>
          <w:ilvl w:val="0"/>
          <w:numId w:val="42"/>
        </w:numPr>
        <w:ind w:right="0"/>
        <w:outlineLvl w:val="9"/>
      </w:pPr>
      <w:r>
        <w:t>Click on the “Windows” item in the top ribbon</w:t>
      </w:r>
    </w:p>
    <w:p w14:paraId="5659DD8D" w14:textId="77777777" w:rsidR="00AB20D8" w:rsidRDefault="00AB20D8" w:rsidP="00AB20D8">
      <w:pPr>
        <w:pStyle w:val="ListParagraph"/>
        <w:numPr>
          <w:ilvl w:val="0"/>
          <w:numId w:val="42"/>
        </w:numPr>
        <w:ind w:right="0"/>
        <w:outlineLvl w:val="9"/>
      </w:pPr>
      <w:r>
        <w:t>Click on “New Window”</w:t>
      </w:r>
    </w:p>
    <w:p w14:paraId="50954C61" w14:textId="77777777" w:rsidR="00AB20D8" w:rsidRDefault="00AB20D8" w:rsidP="00AB20D8">
      <w:pPr>
        <w:pStyle w:val="ListParagraph"/>
        <w:numPr>
          <w:ilvl w:val="0"/>
          <w:numId w:val="42"/>
        </w:numPr>
        <w:ind w:right="0"/>
        <w:outlineLvl w:val="9"/>
      </w:pPr>
      <w:r>
        <w:t>A second copy of the PDF will open in a new window</w:t>
      </w:r>
    </w:p>
    <w:p w14:paraId="0A9FFD22" w14:textId="77777777" w:rsidR="00AB20D8" w:rsidRDefault="00AB20D8" w:rsidP="00AB20D8"/>
    <w:p w14:paraId="36BEB74D" w14:textId="77777777" w:rsidR="00AB20D8" w:rsidRPr="00425B11" w:rsidRDefault="00AB20D8" w:rsidP="00AB20D8"/>
    <w:p w14:paraId="4D8AD66B" w14:textId="77777777" w:rsidR="00AB20D8" w:rsidRDefault="00AB20D8" w:rsidP="00AB20D8">
      <w:pPr>
        <w:rPr>
          <w:rFonts w:ascii="Arial" w:hAnsi="Arial" w:cs="Arial"/>
          <w:b/>
        </w:rPr>
      </w:pPr>
      <w:r>
        <w:rPr>
          <w:rFonts w:ascii="Arial" w:hAnsi="Arial" w:cs="Arial"/>
          <w:b/>
        </w:rPr>
        <w:t>Or:</w:t>
      </w:r>
    </w:p>
    <w:p w14:paraId="6250B1B8" w14:textId="77777777" w:rsidR="00AB20D8" w:rsidRDefault="00AB20D8" w:rsidP="00AB20D8">
      <w:pPr>
        <w:rPr>
          <w:rFonts w:ascii="Arial" w:hAnsi="Arial" w:cs="Arial"/>
          <w:b/>
        </w:rPr>
      </w:pPr>
    </w:p>
    <w:p w14:paraId="4CBEBA6E" w14:textId="77777777" w:rsidR="00AB20D8" w:rsidRDefault="00AB20D8" w:rsidP="00AB20D8">
      <w:pPr>
        <w:pStyle w:val="ListParagraph"/>
        <w:numPr>
          <w:ilvl w:val="0"/>
          <w:numId w:val="43"/>
        </w:numPr>
        <w:ind w:right="0"/>
        <w:outlineLvl w:val="9"/>
      </w:pPr>
      <w:r>
        <w:t>Click on “File” in the top ribbon</w:t>
      </w:r>
    </w:p>
    <w:p w14:paraId="4C02FEF4" w14:textId="77777777" w:rsidR="00AB20D8" w:rsidRDefault="00AB20D8" w:rsidP="00AB20D8">
      <w:pPr>
        <w:pStyle w:val="ListParagraph"/>
        <w:numPr>
          <w:ilvl w:val="0"/>
          <w:numId w:val="43"/>
        </w:numPr>
        <w:ind w:right="0"/>
        <w:outlineLvl w:val="9"/>
      </w:pPr>
      <w:r>
        <w:t>Click on “Open” in the top ribbon</w:t>
      </w:r>
    </w:p>
    <w:p w14:paraId="29FBAD2F" w14:textId="77777777" w:rsidR="00AB20D8" w:rsidRDefault="00AB20D8" w:rsidP="00AB20D8">
      <w:pPr>
        <w:pStyle w:val="ListParagraph"/>
        <w:numPr>
          <w:ilvl w:val="0"/>
          <w:numId w:val="43"/>
        </w:numPr>
        <w:ind w:right="0"/>
        <w:outlineLvl w:val="9"/>
      </w:pPr>
      <w:r>
        <w:t>Double click on the name of the PDF you want to open</w:t>
      </w:r>
    </w:p>
    <w:p w14:paraId="372FB60C" w14:textId="77777777" w:rsidR="00AB20D8" w:rsidRPr="00425B11" w:rsidRDefault="00AB20D8" w:rsidP="00AB20D8">
      <w:pPr>
        <w:pStyle w:val="ListParagraph"/>
        <w:numPr>
          <w:ilvl w:val="0"/>
          <w:numId w:val="43"/>
        </w:numPr>
        <w:ind w:right="0"/>
        <w:outlineLvl w:val="9"/>
      </w:pPr>
      <w:r>
        <w:t>A second copy of the PDF will open in a separate tab in the same window</w:t>
      </w:r>
    </w:p>
    <w:p w14:paraId="3ABC5B2E" w14:textId="6827DF38" w:rsidR="00AB20D8" w:rsidRDefault="00AB20D8" w:rsidP="00AB20D8">
      <w:r>
        <w:br w:type="page"/>
      </w:r>
    </w:p>
    <w:p w14:paraId="5CAB606D" w14:textId="77777777" w:rsidR="00C961E7" w:rsidRPr="00377FA3" w:rsidRDefault="00C961E7" w:rsidP="00C961E7">
      <w:pPr>
        <w:tabs>
          <w:tab w:val="center" w:pos="5040"/>
        </w:tabs>
        <w:ind w:left="0" w:right="0"/>
        <w:jc w:val="center"/>
        <w:outlineLvl w:val="9"/>
        <w:rPr>
          <w:color w:val="806000" w:themeColor="accent4" w:themeShade="80"/>
          <w:sz w:val="32"/>
          <w:szCs w:val="32"/>
        </w:rPr>
      </w:pPr>
    </w:p>
    <w:p w14:paraId="3ABC5B2F" w14:textId="77777777" w:rsidR="00C961E7" w:rsidRDefault="00C961E7" w:rsidP="00C961E7">
      <w:pPr>
        <w:pStyle w:val="Heading2"/>
        <w:jc w:val="center"/>
      </w:pPr>
      <w:r>
        <w:t>Table of Contents</w:t>
      </w:r>
    </w:p>
    <w:p w14:paraId="3ABC5B30" w14:textId="02C1BF05"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B31C26">
          <w:rPr>
            <w:noProof/>
            <w:webHidden/>
          </w:rPr>
          <w:t>4</w:t>
        </w:r>
        <w:r w:rsidR="0064316E">
          <w:rPr>
            <w:noProof/>
            <w:webHidden/>
          </w:rPr>
          <w:fldChar w:fldCharType="end"/>
        </w:r>
      </w:hyperlink>
    </w:p>
    <w:p w14:paraId="3ABC5B31" w14:textId="698B80E5"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B31C26">
          <w:rPr>
            <w:noProof/>
            <w:webHidden/>
          </w:rPr>
          <w:t>5</w:t>
        </w:r>
        <w:r w:rsidR="0064316E">
          <w:rPr>
            <w:noProof/>
            <w:webHidden/>
          </w:rPr>
          <w:fldChar w:fldCharType="end"/>
        </w:r>
      </w:hyperlink>
    </w:p>
    <w:p w14:paraId="3ABC5B32" w14:textId="59BF2AE0"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B31C26">
          <w:rPr>
            <w:noProof/>
            <w:webHidden/>
          </w:rPr>
          <w:t>10</w:t>
        </w:r>
        <w:r w:rsidR="0064316E">
          <w:rPr>
            <w:noProof/>
            <w:webHidden/>
          </w:rPr>
          <w:fldChar w:fldCharType="end"/>
        </w:r>
      </w:hyperlink>
    </w:p>
    <w:p w14:paraId="3ABC5B33" w14:textId="50A2A97C"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B31C26">
          <w:rPr>
            <w:noProof/>
            <w:webHidden/>
          </w:rPr>
          <w:t>11</w:t>
        </w:r>
        <w:r w:rsidR="0064316E">
          <w:rPr>
            <w:noProof/>
            <w:webHidden/>
          </w:rPr>
          <w:fldChar w:fldCharType="end"/>
        </w:r>
      </w:hyperlink>
    </w:p>
    <w:p w14:paraId="3ABC5B34" w14:textId="1DFC168B"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B31C26">
          <w:rPr>
            <w:noProof/>
            <w:webHidden/>
          </w:rPr>
          <w:t>13</w:t>
        </w:r>
        <w:r w:rsidR="0064316E">
          <w:rPr>
            <w:noProof/>
            <w:webHidden/>
          </w:rPr>
          <w:fldChar w:fldCharType="end"/>
        </w:r>
      </w:hyperlink>
    </w:p>
    <w:p w14:paraId="3ABC5B35" w14:textId="0483B161"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B31C26">
          <w:rPr>
            <w:noProof/>
            <w:webHidden/>
          </w:rPr>
          <w:t>17</w:t>
        </w:r>
        <w:r w:rsidR="0064316E">
          <w:rPr>
            <w:noProof/>
            <w:webHidden/>
          </w:rPr>
          <w:fldChar w:fldCharType="end"/>
        </w:r>
      </w:hyperlink>
    </w:p>
    <w:p w14:paraId="3ABC5B36" w14:textId="52C30641"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B31C26">
          <w:rPr>
            <w:noProof/>
            <w:webHidden/>
          </w:rPr>
          <w:t>18</w:t>
        </w:r>
        <w:r w:rsidR="0064316E">
          <w:rPr>
            <w:noProof/>
            <w:webHidden/>
          </w:rPr>
          <w:fldChar w:fldCharType="end"/>
        </w:r>
      </w:hyperlink>
    </w:p>
    <w:p w14:paraId="3ABC5B37" w14:textId="408C5F4F"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B31C26">
          <w:rPr>
            <w:noProof/>
            <w:webHidden/>
          </w:rPr>
          <w:t>23</w:t>
        </w:r>
        <w:r w:rsidR="0064316E">
          <w:rPr>
            <w:noProof/>
            <w:webHidden/>
          </w:rPr>
          <w:fldChar w:fldCharType="end"/>
        </w:r>
      </w:hyperlink>
    </w:p>
    <w:p w14:paraId="3ABC5B38" w14:textId="4DA191AB"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B31C26">
          <w:rPr>
            <w:noProof/>
            <w:webHidden/>
          </w:rPr>
          <w:t>24</w:t>
        </w:r>
        <w:r w:rsidR="0064316E">
          <w:rPr>
            <w:noProof/>
            <w:webHidden/>
          </w:rPr>
          <w:fldChar w:fldCharType="end"/>
        </w:r>
      </w:hyperlink>
    </w:p>
    <w:p w14:paraId="3ABC5B39" w14:textId="191ABC44"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B31C26">
          <w:rPr>
            <w:noProof/>
            <w:webHidden/>
          </w:rPr>
          <w:t>26</w:t>
        </w:r>
        <w:r w:rsidR="0064316E">
          <w:rPr>
            <w:noProof/>
            <w:webHidden/>
          </w:rPr>
          <w:fldChar w:fldCharType="end"/>
        </w:r>
      </w:hyperlink>
    </w:p>
    <w:p w14:paraId="3ABC5B3A" w14:textId="11000FA0"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B31C26">
          <w:rPr>
            <w:noProof/>
            <w:webHidden/>
          </w:rPr>
          <w:t>28</w:t>
        </w:r>
        <w:r w:rsidR="0064316E">
          <w:rPr>
            <w:noProof/>
            <w:webHidden/>
          </w:rPr>
          <w:fldChar w:fldCharType="end"/>
        </w:r>
      </w:hyperlink>
    </w:p>
    <w:p w14:paraId="3ABC5B3B" w14:textId="7EBC402F"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B31C26">
          <w:rPr>
            <w:noProof/>
            <w:webHidden/>
          </w:rPr>
          <w:t>29</w:t>
        </w:r>
        <w:r w:rsidR="0064316E">
          <w:rPr>
            <w:noProof/>
            <w:webHidden/>
          </w:rPr>
          <w:fldChar w:fldCharType="end"/>
        </w:r>
      </w:hyperlink>
    </w:p>
    <w:p w14:paraId="3ABC5B3C" w14:textId="250D5733"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B31C26">
          <w:rPr>
            <w:noProof/>
            <w:webHidden/>
          </w:rPr>
          <w:t>64</w:t>
        </w:r>
        <w:r w:rsidR="0064316E">
          <w:rPr>
            <w:noProof/>
            <w:webHidden/>
          </w:rPr>
          <w:fldChar w:fldCharType="end"/>
        </w:r>
      </w:hyperlink>
    </w:p>
    <w:p w14:paraId="3ABC5B3D" w14:textId="55B89F89"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B31C26">
          <w:rPr>
            <w:noProof/>
            <w:webHidden/>
          </w:rPr>
          <w:t>65</w:t>
        </w:r>
        <w:r w:rsidR="0064316E">
          <w:rPr>
            <w:noProof/>
            <w:webHidden/>
          </w:rPr>
          <w:fldChar w:fldCharType="end"/>
        </w:r>
      </w:hyperlink>
    </w:p>
    <w:p w14:paraId="3ABC5B3E" w14:textId="2869962E"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B31C26">
          <w:rPr>
            <w:noProof/>
            <w:webHidden/>
          </w:rPr>
          <w:t>66</w:t>
        </w:r>
        <w:r w:rsidR="0064316E">
          <w:rPr>
            <w:noProof/>
            <w:webHidden/>
          </w:rPr>
          <w:fldChar w:fldCharType="end"/>
        </w:r>
      </w:hyperlink>
    </w:p>
    <w:p w14:paraId="3ABC5B3F" w14:textId="759FFBFD"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B31C26">
          <w:rPr>
            <w:noProof/>
            <w:webHidden/>
          </w:rPr>
          <w:t>67</w:t>
        </w:r>
        <w:r w:rsidR="0064316E">
          <w:rPr>
            <w:noProof/>
            <w:webHidden/>
          </w:rPr>
          <w:fldChar w:fldCharType="end"/>
        </w:r>
      </w:hyperlink>
    </w:p>
    <w:p w14:paraId="3ABC5B40" w14:textId="4822F4AD"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B31C26">
          <w:rPr>
            <w:noProof/>
            <w:webHidden/>
          </w:rPr>
          <w:t>68</w:t>
        </w:r>
        <w:r w:rsidR="0064316E">
          <w:rPr>
            <w:noProof/>
            <w:webHidden/>
          </w:rPr>
          <w:fldChar w:fldCharType="end"/>
        </w:r>
      </w:hyperlink>
    </w:p>
    <w:p w14:paraId="3ABC5B41" w14:textId="394A7BAF" w:rsidR="0064316E" w:rsidRDefault="00335ACA">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B31C26">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lastRenderedPageBreak/>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7E71ED07" w14:textId="4BF5DD02" w:rsidR="007E5232" w:rsidRDefault="007E5232" w:rsidP="007E5232">
      <w:pPr>
        <w:ind w:left="0"/>
        <w:rPr>
          <w:lang w:bidi="en-US"/>
        </w:rPr>
      </w:pPr>
      <w:r>
        <w:rPr>
          <w:lang w:bidi="en-US"/>
        </w:rPr>
        <w:t>Proposed motion for the commission:</w:t>
      </w:r>
    </w:p>
    <w:p w14:paraId="322C7F14" w14:textId="21CF3E1E" w:rsidR="007E5232" w:rsidRDefault="007E5232" w:rsidP="007E5232">
      <w:pPr>
        <w:ind w:left="0"/>
        <w:rPr>
          <w:lang w:bidi="en-US"/>
        </w:rPr>
      </w:pPr>
    </w:p>
    <w:p w14:paraId="268EC1BE" w14:textId="67FE72CE" w:rsidR="007E5232" w:rsidRPr="007E5232" w:rsidRDefault="007E5232" w:rsidP="007E5232">
      <w:pPr>
        <w:ind w:left="0"/>
        <w:rPr>
          <w:i/>
          <w:lang w:bidi="en-US"/>
        </w:rPr>
      </w:pPr>
      <w:r>
        <w:rPr>
          <w:i/>
          <w:lang w:bidi="en-US"/>
        </w:rPr>
        <w:t xml:space="preserve">I move that the commission adopt the proposed rule amendments, attached to this report as Attachment A, as part of chapter 340 of the Oregon Administrative Rules, divisions </w:t>
      </w:r>
    </w:p>
    <w:p w14:paraId="7650D14D" w14:textId="638A650C" w:rsidR="007E5232" w:rsidRDefault="007E5232" w:rsidP="007E5232">
      <w:pPr>
        <w:ind w:left="0"/>
        <w:rPr>
          <w:lang w:bidi="en-US"/>
        </w:rPr>
      </w:pPr>
    </w:p>
    <w:p w14:paraId="4F535FE4" w14:textId="77777777" w:rsidR="007E5232" w:rsidRPr="007E5232" w:rsidRDefault="007E5232" w:rsidP="007E5232">
      <w:pPr>
        <w:ind w:left="0"/>
        <w:rPr>
          <w:lang w:bidi="en-US"/>
        </w:rPr>
        <w:sectPr w:rsidR="007E5232" w:rsidRPr="007E523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Pr="00335ACA" w:rsidRDefault="00C961E7" w:rsidP="00335ACA">
      <w:pPr>
        <w:ind w:left="0"/>
        <w:rPr>
          <w:b/>
          <w:color w:val="000000" w:themeColor="text1"/>
        </w:rPr>
      </w:pPr>
      <w:r w:rsidRPr="00335ACA">
        <w:rPr>
          <w:b/>
          <w:color w:val="000000" w:themeColor="text1"/>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Pr="00335ACA" w:rsidRDefault="00C961E7" w:rsidP="00335ACA">
      <w:pPr>
        <w:ind w:left="0"/>
        <w:rPr>
          <w:b/>
          <w:color w:val="000000" w:themeColor="text1"/>
        </w:rPr>
      </w:pPr>
      <w:r w:rsidRPr="00335ACA">
        <w:rPr>
          <w:b/>
          <w:color w:val="000000" w:themeColor="text1"/>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Pr="00335ACA" w:rsidRDefault="00C961E7" w:rsidP="00335ACA">
      <w:pPr>
        <w:ind w:left="0"/>
        <w:rPr>
          <w:b/>
          <w:color w:val="000000" w:themeColor="text1"/>
        </w:rPr>
      </w:pPr>
      <w:r w:rsidRPr="00335ACA">
        <w:rPr>
          <w:b/>
          <w:color w:val="000000" w:themeColor="text1"/>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5EC41232"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w:t>
      </w:r>
      <w:r>
        <w:lastRenderedPageBreak/>
        <w:t xml:space="preserve">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Pr="00335ACA" w:rsidRDefault="00C961E7" w:rsidP="00335ACA">
      <w:pPr>
        <w:ind w:left="0"/>
        <w:rPr>
          <w:b/>
          <w:color w:val="000000" w:themeColor="text1"/>
          <w:vertAlign w:val="subscript"/>
        </w:rPr>
      </w:pPr>
      <w:r w:rsidRPr="00335ACA">
        <w:rPr>
          <w:b/>
          <w:color w:val="000000" w:themeColor="text1"/>
        </w:rPr>
        <w:t>Key policy and technical issues</w:t>
      </w:r>
      <w:r w:rsidRPr="00335ACA">
        <w:rPr>
          <w:b/>
          <w:color w:val="000000" w:themeColor="text1"/>
          <w:vertAlign w:val="subscript"/>
        </w:rPr>
        <w:t> </w:t>
      </w:r>
    </w:p>
    <w:p w14:paraId="77FFDF83" w14:textId="5D045F69" w:rsidR="009F34A6" w:rsidRDefault="009F34A6" w:rsidP="001337AC">
      <w:pPr>
        <w:rPr>
          <w:b/>
          <w:color w:val="806000" w:themeColor="accent4" w:themeShade="80"/>
          <w:vertAlign w:val="subscript"/>
        </w:rPr>
      </w:pPr>
    </w:p>
    <w:p w14:paraId="0BCD231A" w14:textId="17796E73" w:rsidR="001337AC" w:rsidRPr="00B31C26" w:rsidRDefault="001337AC" w:rsidP="001337AC">
      <w:pPr>
        <w:ind w:left="0"/>
      </w:pPr>
      <w:r w:rsidRPr="00B31C26">
        <w:t xml:space="preserve">The key policy issue with the variance rule </w:t>
      </w:r>
      <w:r w:rsidR="00811955">
        <w:t>is</w:t>
      </w:r>
      <w:r w:rsidR="00811955" w:rsidRPr="00B31C26">
        <w:t xml:space="preserve"> </w:t>
      </w:r>
      <w:r w:rsidRPr="00B31C26">
        <w:t xml:space="preserve">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Pr="00B31C26">
        <w:t>the Commission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70EF3F80"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r w:rsidR="00992AF8" w:rsidRPr="00B31C26">
        <w:t xml:space="preserve">and </w:t>
      </w:r>
      <w:r w:rsidR="001337AC" w:rsidRPr="00B31C26">
        <w:t xml:space="preserve">implement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Pr="00B31C26">
        <w:t xml:space="preserve">, which indicates preference for source control over treatment for mercury, so that mercury isn’t 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Pr="00335ACA" w:rsidRDefault="00C961E7" w:rsidP="00335ACA">
      <w:pPr>
        <w:ind w:left="0"/>
        <w:rPr>
          <w:b/>
          <w:color w:val="000000" w:themeColor="text1"/>
        </w:rPr>
      </w:pPr>
      <w:r w:rsidRPr="00335ACA">
        <w:rPr>
          <w:b/>
          <w:color w:val="000000" w:themeColor="text1"/>
        </w:rPr>
        <w:t>Affected parties</w:t>
      </w:r>
    </w:p>
    <w:p w14:paraId="1EF866C8" w14:textId="1258442A" w:rsidR="001337AC" w:rsidRDefault="001337AC" w:rsidP="001171C5">
      <w:pPr>
        <w:rPr>
          <w:b/>
          <w:color w:val="806000" w:themeColor="accent4" w:themeShade="80"/>
        </w:rPr>
      </w:pPr>
    </w:p>
    <w:p w14:paraId="3EA659A3" w14:textId="74D18BCB" w:rsidR="001337AC" w:rsidRDefault="001337AC" w:rsidP="001337AC">
      <w:pPr>
        <w:ind w:left="0"/>
      </w:pPr>
      <w:r>
        <w:lastRenderedPageBreak/>
        <w:t xml:space="preserve">Parties affected by this rulemaking include </w:t>
      </w:r>
      <w:r w:rsidR="006F6D85">
        <w:t>holders of individual industrial and municipal NPDES permits</w:t>
      </w:r>
      <w:r w:rsidR="00B31C26">
        <w:t xml:space="preserve"> in the Willamette Basin</w:t>
      </w:r>
      <w:r w:rsidR="006F6D85">
        <w:t xml:space="preserve">, </w:t>
      </w:r>
      <w:r w:rsidR="00811955">
        <w:t>t</w:t>
      </w:r>
      <w:r w:rsidR="006F6D85">
        <w: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Pr="00335ACA" w:rsidRDefault="00C961E7" w:rsidP="00335ACA">
      <w:pPr>
        <w:ind w:left="0"/>
        <w:rPr>
          <w:b/>
          <w:color w:val="000000" w:themeColor="text1"/>
        </w:rPr>
      </w:pPr>
      <w:r w:rsidRPr="00335ACA">
        <w:rPr>
          <w:b/>
          <w:color w:val="000000" w:themeColor="text1"/>
        </w:rPr>
        <w:t>Outreach efforts and public and stakeholder involvement</w:t>
      </w:r>
    </w:p>
    <w:p w14:paraId="4B7F8D7E" w14:textId="28C33ECC" w:rsidR="006F6D85" w:rsidRDefault="006F6D85" w:rsidP="006F6D85">
      <w:pPr>
        <w:rPr>
          <w:b/>
          <w:color w:val="806000" w:themeColor="accent4" w:themeShade="80"/>
        </w:rPr>
      </w:pPr>
    </w:p>
    <w:p w14:paraId="654CD1BA" w14:textId="1126E63C" w:rsidR="006F6D85" w:rsidRDefault="006F6D85" w:rsidP="006F6D85">
      <w:pPr>
        <w:ind w:left="0"/>
      </w:pPr>
      <w:r>
        <w:t xml:space="preserve">DEQ held informational sessions with NPDES permit holders, environmental groups and </w:t>
      </w:r>
      <w:r w:rsidR="00811955">
        <w:t>t</w:t>
      </w:r>
      <w:r>
        <w: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763229A6"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groups, </w:t>
      </w:r>
      <w:r w:rsidR="00811955">
        <w:t>t</w:t>
      </w:r>
      <w:r>
        <w: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Pr="00335ACA" w:rsidRDefault="00C961E7" w:rsidP="00335ACA">
      <w:pPr>
        <w:ind w:left="0"/>
        <w:rPr>
          <w:b/>
          <w:color w:val="000000" w:themeColor="text1"/>
        </w:rPr>
      </w:pPr>
      <w:r w:rsidRPr="00335ACA">
        <w:rPr>
          <w:b/>
          <w:color w:val="000000" w:themeColor="text1"/>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Pr="00335ACA" w:rsidRDefault="00C961E7" w:rsidP="00335ACA">
      <w:pPr>
        <w:ind w:left="0"/>
        <w:rPr>
          <w:b/>
          <w:color w:val="000000" w:themeColor="text1"/>
        </w:rPr>
      </w:pPr>
      <w:r w:rsidRPr="00335ACA">
        <w:rPr>
          <w:b/>
          <w:color w:val="000000" w:themeColor="text1"/>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290FF01"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 xml:space="preserve">e </w:t>
      </w:r>
      <w:r w:rsidR="001005C6">
        <w:lastRenderedPageBreak/>
        <w:t>and the U.S. Fish and Wildlife Service</w:t>
      </w:r>
      <w:r w:rsidR="00811955">
        <w:t>, which</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004DF8F0"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w:t>
      </w:r>
      <w:r w:rsidR="00B44747">
        <w:t>documents.</w:t>
      </w:r>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lastRenderedPageBreak/>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Pr="00335ACA" w:rsidRDefault="00C961E7" w:rsidP="00335ACA">
      <w:pPr>
        <w:ind w:left="0"/>
        <w:rPr>
          <w:b/>
          <w:color w:val="000000" w:themeColor="text1"/>
        </w:rPr>
      </w:pPr>
      <w:r w:rsidRPr="00335ACA">
        <w:rPr>
          <w:b/>
          <w:color w:val="000000" w:themeColor="text1"/>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EC3B3A" w:rsidRDefault="00C961E7" w:rsidP="00335ACA">
      <w:pPr>
        <w:ind w:left="0"/>
        <w:rPr>
          <w:b/>
          <w:color w:val="000000" w:themeColor="text1"/>
          <w:vertAlign w:val="subscript"/>
        </w:rPr>
      </w:pPr>
      <w:r w:rsidRPr="00EC3B3A">
        <w:rPr>
          <w:b/>
          <w:color w:val="000000" w:themeColor="text1"/>
        </w:rPr>
        <w:t>Brief summary of fiscal impact</w:t>
      </w:r>
      <w:r w:rsidRPr="00EC3B3A">
        <w:rPr>
          <w:b/>
          <w:color w:val="000000" w:themeColor="text1"/>
          <w:vertAlign w:val="subscript"/>
        </w:rPr>
        <w:t> </w:t>
      </w:r>
      <w:bookmarkStart w:id="2" w:name="_GoBack"/>
      <w:bookmarkEnd w:id="2"/>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400EED8" w:rsidR="006F6D85" w:rsidRDefault="006F6D85" w:rsidP="006F6D85">
      <w:pPr>
        <w:ind w:left="0"/>
      </w:pPr>
      <w:r>
        <w:t xml:space="preserve">The primary impact of the proposed </w:t>
      </w:r>
      <w:r w:rsidR="00B31C26">
        <w:t xml:space="preserve">MDV </w:t>
      </w:r>
      <w:r>
        <w:t>rule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w:t>
      </w:r>
      <w:r w:rsidR="001C3638">
        <w:t>EPA</w:t>
      </w:r>
      <w:r>
        <w:t xml:space="preserve">, which must approve each 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t>
      </w:r>
      <w:r>
        <w:lastRenderedPageBreak/>
        <w:t>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335ACA"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335ACA"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335ACA"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335ACA"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335ACA"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335ACA"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335ACA"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335ACA"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335ACA"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w:t>
            </w:r>
            <w:r w:rsidRPr="001302BD">
              <w:lastRenderedPageBreak/>
              <w:t>2010. Staff Report: A Review of Methylmercury and Inorganic Mercury Discharges from NPDES Facilities in California’s Central Valley.</w:t>
            </w:r>
          </w:p>
        </w:tc>
        <w:tc>
          <w:tcPr>
            <w:tcW w:w="4500" w:type="dxa"/>
          </w:tcPr>
          <w:p w14:paraId="7892B669" w14:textId="77777777" w:rsidR="00450A46" w:rsidRPr="001302BD" w:rsidRDefault="00335ACA"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w:t>
              </w:r>
              <w:r w:rsidR="00450A46" w:rsidRPr="001302BD">
                <w:rPr>
                  <w:rStyle w:val="Hyperlink"/>
                  <w:rFonts w:ascii="Times New Roman" w:hAnsi="Times New Roman" w:cs="Times New Roman"/>
                  <w:sz w:val="24"/>
                  <w:szCs w:val="24"/>
                </w:rPr>
                <w:lastRenderedPageBreak/>
                <w: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335ACA"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335ACA"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335ACA"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335ACA"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335ACA"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335ACA"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w:t>
      </w:r>
      <w:r>
        <w:lastRenderedPageBreak/>
        <w:t>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t>
      </w:r>
      <w:r>
        <w:rPr>
          <w:bCs/>
          <w:color w:val="000000"/>
        </w:rPr>
        <w:lastRenderedPageBreak/>
        <w:t>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w:t>
      </w:r>
      <w:r>
        <w:rPr>
          <w:bCs/>
          <w:color w:val="000000"/>
        </w:rPr>
        <w:lastRenderedPageBreak/>
        <w:t>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lastRenderedPageBreak/>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lastRenderedPageBreak/>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w:t>
      </w:r>
      <w:r w:rsidRPr="00F51795">
        <w:rPr>
          <w:color w:val="000000" w:themeColor="text1"/>
        </w:rPr>
        <w:lastRenderedPageBreak/>
        <w:t>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1DDCEB9" w:rsidR="005F45A9" w:rsidRPr="00EC3B3A"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sidRPr="00EC3B3A">
        <w:rPr>
          <w:rFonts w:ascii="Times New Roman" w:hAnsi="Times New Roman" w:cs="Times New Roman"/>
          <w:b w:val="0"/>
          <w:sz w:val="24"/>
          <w:szCs w:val="24"/>
        </w:rPr>
        <w:t>September 16, 2019</w:t>
      </w:r>
      <w:r w:rsidR="00EC3B3A">
        <w:rPr>
          <w:rFonts w:ascii="Times New Roman" w:hAnsi="Times New Roman" w:cs="Times New Roman"/>
          <w:b w:val="0"/>
          <w:sz w:val="24"/>
          <w:szCs w:val="24"/>
        </w:rPr>
        <w:t>,</w:t>
      </w:r>
      <w:r w:rsidRPr="00EC3B3A">
        <w:rPr>
          <w:rFonts w:ascii="Times New Roman" w:hAnsi="Times New Roman" w:cs="Times New Roman"/>
          <w:b w:val="0"/>
          <w:sz w:val="24"/>
          <w:szCs w:val="24"/>
        </w:rPr>
        <w:t xml:space="preserve"> until 4:00 p.m. on </w:t>
      </w:r>
      <w:r w:rsidR="00450A46" w:rsidRPr="00EC3B3A">
        <w:rPr>
          <w:rFonts w:ascii="Times New Roman" w:hAnsi="Times New Roman" w:cs="Times New Roman"/>
          <w:b w:val="0"/>
          <w:sz w:val="24"/>
          <w:szCs w:val="24"/>
        </w:rPr>
        <w:t>November 4, 2019</w:t>
      </w:r>
      <w:r w:rsidRPr="00EC3B3A">
        <w:rPr>
          <w:rFonts w:ascii="Times New Roman" w:hAnsi="Times New Roman" w:cs="Times New Roman"/>
          <w:b w:val="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 xml:space="preserve">NWPPA would prefer attainable water quality standards that remove the uncertainty of not being able to comply with ultra-low water quality standards and the risk of the unintended consequence </w:t>
            </w:r>
            <w:r w:rsidRPr="009A1C32">
              <w:rPr>
                <w:rFonts w:eastAsiaTheme="minorHAnsi"/>
                <w:sz w:val="22"/>
                <w:szCs w:val="22"/>
              </w:rPr>
              <w:lastRenderedPageBreak/>
              <w:t>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lastRenderedPageBreak/>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 xml:space="preserve">It is factually incorrect that removal of this language as well as removal of language pertaining to unreasonable risks to human </w:t>
            </w:r>
            <w:r w:rsidRPr="009A1C32">
              <w:rPr>
                <w:color w:val="000000"/>
                <w:sz w:val="22"/>
                <w:szCs w:val="22"/>
              </w:rPr>
              <w:lastRenderedPageBreak/>
              <w:t>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w:t>
            </w:r>
            <w:r w:rsidRPr="009A1C32">
              <w:rPr>
                <w:sz w:val="22"/>
                <w:szCs w:val="22"/>
              </w:rPr>
              <w:lastRenderedPageBreak/>
              <w:t>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lastRenderedPageBreak/>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lastRenderedPageBreak/>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lastRenderedPageBreak/>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lastRenderedPageBreak/>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lastRenderedPageBreak/>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w:t>
            </w:r>
            <w:r w:rsidRPr="00E611F1">
              <w:rPr>
                <w:sz w:val="22"/>
                <w:szCs w:val="22"/>
              </w:rPr>
              <w:lastRenderedPageBreak/>
              <w:t xml:space="preserve">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lastRenderedPageBreak/>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w:t>
      </w:r>
      <w:r w:rsidR="00D67EF5">
        <w:rPr>
          <w:color w:val="000000"/>
          <w:sz w:val="22"/>
          <w:szCs w:val="22"/>
        </w:rPr>
        <w:lastRenderedPageBreak/>
        <w:t xml:space="preserve">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21E21AAC" w:rsidR="004D6736" w:rsidRPr="00DD02CB" w:rsidRDefault="00EA587B" w:rsidP="004D6736">
      <w:pPr>
        <w:ind w:left="0" w:right="630"/>
        <w:rPr>
          <w:bCs/>
          <w:color w:val="000000" w:themeColor="text1"/>
          <w:sz w:val="22"/>
          <w:szCs w:val="22"/>
        </w:rPr>
      </w:pPr>
      <w:r w:rsidRPr="00DD02CB">
        <w:rPr>
          <w:bCs/>
          <w:color w:val="000000" w:themeColor="text1"/>
          <w:sz w:val="22"/>
          <w:szCs w:val="22"/>
        </w:rPr>
        <w:t>DEQ disagrees that a variance removes an existing use on a temporary basis</w:t>
      </w:r>
      <w:r w:rsidR="00721811">
        <w:rPr>
          <w:bCs/>
          <w:color w:val="000000" w:themeColor="text1"/>
          <w:sz w:val="22"/>
          <w:szCs w:val="22"/>
        </w:rPr>
        <w:t>. EPA guidance clarifies that an existing use means, “</w:t>
      </w:r>
      <w:r w:rsidR="00721811">
        <w:t>the use and water quality necessary to support the use that have been achieved in the waterbody on or after November 28, 1975.”</w:t>
      </w:r>
      <w:r w:rsidR="00721811">
        <w:rPr>
          <w:rStyle w:val="FootnoteReference"/>
        </w:rPr>
        <w:footnoteReference w:id="1"/>
      </w:r>
      <w:r w:rsidR="00721811">
        <w:t xml:space="preserve"> A</w:t>
      </w:r>
      <w:r w:rsidR="002D5DD3">
        <w:rPr>
          <w:bCs/>
          <w:color w:val="000000" w:themeColor="text1"/>
          <w:sz w:val="22"/>
          <w:szCs w:val="22"/>
        </w:rPr>
        <w:t xml:space="preserve"> variance </w:t>
      </w:r>
      <w:r w:rsidR="00721811">
        <w:rPr>
          <w:bCs/>
          <w:color w:val="000000" w:themeColor="text1"/>
          <w:sz w:val="22"/>
          <w:szCs w:val="22"/>
        </w:rPr>
        <w:t>sets a floor on water quality, because pollutant</w:t>
      </w:r>
      <w:r w:rsidR="00ED3C90">
        <w:rPr>
          <w:bCs/>
          <w:color w:val="000000" w:themeColor="text1"/>
          <w:sz w:val="22"/>
          <w:szCs w:val="22"/>
        </w:rPr>
        <w:t xml:space="preserve"> levels in the dischargers cannot increase</w:t>
      </w:r>
      <w:r w:rsidR="00721811">
        <w:rPr>
          <w:bCs/>
          <w:color w:val="000000" w:themeColor="text1"/>
          <w:sz w:val="22"/>
          <w:szCs w:val="22"/>
        </w:rPr>
        <w:t xml:space="preserve"> as a result of the variance. Those levels are expected to decrease during the variance</w:t>
      </w:r>
      <w:r w:rsidR="005C1798" w:rsidRPr="00DD02CB">
        <w:rPr>
          <w:bCs/>
          <w:color w:val="000000" w:themeColor="text1"/>
          <w:sz w:val="22"/>
          <w:szCs w:val="22"/>
        </w:rPr>
        <w:t xml:space="preserve"> </w:t>
      </w:r>
      <w:r w:rsidR="00721811">
        <w:rPr>
          <w:bCs/>
          <w:color w:val="000000" w:themeColor="text1"/>
          <w:sz w:val="22"/>
          <w:szCs w:val="22"/>
        </w:rPr>
        <w:t>based on the requirements in the variance.</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w:t>
      </w:r>
      <w:r w:rsidR="00D015C5" w:rsidRPr="00DD02CB">
        <w:rPr>
          <w:color w:val="000000"/>
          <w:sz w:val="22"/>
          <w:szCs w:val="22"/>
        </w:rPr>
        <w:lastRenderedPageBreak/>
        <w:t>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 xml:space="preserve">The preamble to the federal </w:t>
      </w:r>
      <w:r w:rsidR="00D57C91">
        <w:rPr>
          <w:color w:val="000000"/>
          <w:sz w:val="22"/>
          <w:szCs w:val="22"/>
        </w:rPr>
        <w:lastRenderedPageBreak/>
        <w:t>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lastRenderedPageBreak/>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21C9B3DC"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 xml:space="preserve">The federal variance rule does not require that </w:t>
      </w:r>
      <w:r w:rsidR="007F4D23">
        <w:rPr>
          <w:bCs/>
          <w:color w:val="000000" w:themeColor="text1"/>
          <w:sz w:val="22"/>
          <w:szCs w:val="22"/>
        </w:rPr>
        <w:t>PMPs</w:t>
      </w:r>
      <w:r w:rsidR="00D55BA2">
        <w:rPr>
          <w:bCs/>
          <w:color w:val="000000" w:themeColor="text1"/>
          <w:sz w:val="22"/>
          <w:szCs w:val="22"/>
        </w:rPr>
        <w:t xml:space="preserve">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w:t>
      </w:r>
      <w:r w:rsidR="007F4D23">
        <w:rPr>
          <w:bCs/>
          <w:color w:val="000000" w:themeColor="text1"/>
          <w:sz w:val="22"/>
          <w:szCs w:val="22"/>
        </w:rPr>
        <w:t>As such conformity is not required by the federal rule, DEQ has concluded that the decision as to whether to require such conformity should be based on the specific</w:t>
      </w:r>
      <w:r w:rsidR="004025EE">
        <w:rPr>
          <w:bCs/>
          <w:color w:val="000000" w:themeColor="text1"/>
          <w:sz w:val="22"/>
          <w:szCs w:val="22"/>
        </w:rPr>
        <w:t xml:space="preserve"> situation</w:t>
      </w:r>
      <w:r w:rsidR="007F4D23">
        <w:rPr>
          <w:bCs/>
          <w:color w:val="000000" w:themeColor="text1"/>
          <w:sz w:val="22"/>
          <w:szCs w:val="22"/>
        </w:rPr>
        <w:t xml:space="preserve"> of each waterbody variance.</w:t>
      </w:r>
      <w:r w:rsidR="00D55BA2">
        <w:rPr>
          <w:bCs/>
          <w:color w:val="000000" w:themeColor="text1"/>
          <w:sz w:val="22"/>
          <w:szCs w:val="22"/>
        </w:rPr>
        <w:t xml:space="preserve">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lastRenderedPageBreak/>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45F3EDE0"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w:t>
      </w:r>
      <w:r w:rsidR="002C1E6D">
        <w:rPr>
          <w:bCs/>
          <w:color w:val="000000" w:themeColor="text1"/>
          <w:sz w:val="22"/>
          <w:szCs w:val="22"/>
        </w:rPr>
        <w:lastRenderedPageBreak/>
        <w:t xml:space="preserve">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w:t>
      </w:r>
      <w:r w:rsidR="00525B37">
        <w:rPr>
          <w:bCs/>
          <w:color w:val="000000" w:themeColor="text1"/>
          <w:sz w:val="22"/>
          <w:szCs w:val="22"/>
        </w:rPr>
        <w:t>The Willamette Basin mercury TMDL submitted to EPA indicates that it will take decades to implement needed activities (including nonpoint source controls) and see reduced levels of mercury in fish tissue sufficient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 xml:space="preserve">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w:t>
      </w:r>
      <w:r w:rsidR="007F7F8C" w:rsidRPr="00DD02CB">
        <w:rPr>
          <w:rFonts w:eastAsiaTheme="minorHAnsi"/>
          <w:sz w:val="22"/>
          <w:szCs w:val="22"/>
        </w:rPr>
        <w:lastRenderedPageBreak/>
        <w:t>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w:t>
      </w:r>
      <w:r w:rsidR="00BE6B9A" w:rsidRPr="00DD02CB">
        <w:rPr>
          <w:color w:val="000000"/>
          <w:sz w:val="22"/>
          <w:szCs w:val="22"/>
        </w:rPr>
        <w:lastRenderedPageBreak/>
        <w:t xml:space="preserve">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w:t>
      </w:r>
      <w:r w:rsidR="00BF28C8">
        <w:rPr>
          <w:bCs/>
          <w:color w:val="000000" w:themeColor="text1"/>
          <w:sz w:val="22"/>
          <w:szCs w:val="22"/>
        </w:rPr>
        <w:lastRenderedPageBreak/>
        <w:t>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4EE3E6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761654">
        <w:rPr>
          <w:b/>
          <w:bCs/>
          <w:color w:val="000000" w:themeColor="text1"/>
          <w:sz w:val="22"/>
          <w:szCs w:val="22"/>
        </w:rPr>
        <w:t xml:space="preserve"> </w:t>
      </w:r>
      <w:r w:rsidR="00932004" w:rsidRPr="00932004">
        <w:rPr>
          <w:bCs/>
          <w:color w:val="000000" w:themeColor="text1"/>
          <w:sz w:val="22"/>
          <w:szCs w:val="22"/>
        </w:rPr>
        <w:t>DEQ</w:t>
      </w:r>
      <w:r w:rsidR="00DA3049">
        <w:rPr>
          <w:bCs/>
          <w:color w:val="000000" w:themeColor="text1"/>
          <w:sz w:val="22"/>
          <w:szCs w:val="22"/>
        </w:rPr>
        <w:t xml:space="preserve"> has revised Section 4.2.1 of the supporting documentation to allow for alternate methods to develop permit limits if a discharger provides data to DEQ showing that the measured effluent data do not match a log-normal distribution</w:t>
      </w:r>
      <w:r w:rsidR="00932004">
        <w:rPr>
          <w:bCs/>
          <w:color w:val="000000" w:themeColor="text1"/>
          <w:sz w:val="22"/>
          <w:szCs w:val="22"/>
        </w:rPr>
        <w:t>.</w:t>
      </w:r>
      <w:r w:rsidR="00DA3049">
        <w:rPr>
          <w:bCs/>
          <w:color w:val="000000" w:themeColor="text1"/>
          <w:sz w:val="22"/>
          <w:szCs w:val="22"/>
        </w:rPr>
        <w:t xml:space="preserve"> Any alternate method for developing effluent limits should be consistent with EPA’s guidance.</w:t>
      </w:r>
      <w:r w:rsidR="00932004">
        <w:rPr>
          <w:bCs/>
          <w:color w:val="000000" w:themeColor="text1"/>
          <w:sz w:val="22"/>
          <w:szCs w:val="22"/>
        </w:rPr>
        <w:t xml:space="preserve">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 w:name="_Toc490121554"/>
            <w:r w:rsidRPr="00276752">
              <w:lastRenderedPageBreak/>
              <w:t>Commenters</w:t>
            </w:r>
            <w:bookmarkEnd w:id="1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5" w:name="_Toc490121555"/>
            <w:r w:rsidRPr="00377FA3">
              <w:t>Implementation</w:t>
            </w:r>
            <w:bookmarkEnd w:id="1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6" w:name="_Toc490121556"/>
            <w:r w:rsidRPr="001D0308">
              <w:lastRenderedPageBreak/>
              <w:t>Five-year review</w:t>
            </w:r>
            <w:bookmarkEnd w:id="1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19" w:name="_Toc490121559"/>
            <w:r>
              <w:lastRenderedPageBreak/>
              <w:t>Supporting Documents</w:t>
            </w:r>
            <w:bookmarkEnd w:id="1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335ACA" w:rsidRDefault="00335ACA" w:rsidP="002D6C99">
      <w:r>
        <w:separator/>
      </w:r>
    </w:p>
  </w:endnote>
  <w:endnote w:type="continuationSeparator" w:id="0">
    <w:p w14:paraId="3ABC5CD7" w14:textId="77777777" w:rsidR="00335ACA" w:rsidRDefault="00335AC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335ACA" w:rsidRDefault="00335ACA" w:rsidP="002D6C99">
    <w:pPr>
      <w:pStyle w:val="Footer"/>
    </w:pPr>
  </w:p>
  <w:p w14:paraId="3ABC5CD9" w14:textId="21872C43" w:rsidR="00335ACA" w:rsidRPr="002B4E71" w:rsidRDefault="00335ACA" w:rsidP="002D6C99">
    <w:pPr>
      <w:pStyle w:val="Footer"/>
    </w:pPr>
    <w:r>
      <w:t>Staff Report</w:t>
    </w:r>
    <w:r w:rsidRPr="002B4E71">
      <w:t xml:space="preserve"> page | </w:t>
    </w:r>
    <w:r>
      <w:fldChar w:fldCharType="begin"/>
    </w:r>
    <w:r>
      <w:instrText xml:space="preserve"> PAGE   \* MERGEFORMAT </w:instrText>
    </w:r>
    <w:r>
      <w:fldChar w:fldCharType="separate"/>
    </w:r>
    <w:r w:rsidR="00EC3B3A">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335ACA" w:rsidRDefault="00335ACA" w:rsidP="002D6C99">
      <w:r>
        <w:separator/>
      </w:r>
    </w:p>
  </w:footnote>
  <w:footnote w:type="continuationSeparator" w:id="0">
    <w:p w14:paraId="3ABC5CD5" w14:textId="77777777" w:rsidR="00335ACA" w:rsidRDefault="00335ACA" w:rsidP="002D6C99">
      <w:r>
        <w:continuationSeparator/>
      </w:r>
    </w:p>
  </w:footnote>
  <w:footnote w:id="1">
    <w:p w14:paraId="1B7A075E" w14:textId="59DCF1D7" w:rsidR="00335ACA" w:rsidRPr="00721811" w:rsidRDefault="00335ACA">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EPA corresp. w/ Derek Smithee,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66E77CB"/>
    <w:multiLevelType w:val="hybridMultilevel"/>
    <w:tmpl w:val="FC68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8149B"/>
    <w:multiLevelType w:val="hybridMultilevel"/>
    <w:tmpl w:val="63A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6C36FE7"/>
    <w:multiLevelType w:val="hybridMultilevel"/>
    <w:tmpl w:val="81BA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41"/>
  </w:num>
  <w:num w:numId="3">
    <w:abstractNumId w:val="37"/>
  </w:num>
  <w:num w:numId="4">
    <w:abstractNumId w:val="27"/>
  </w:num>
  <w:num w:numId="5">
    <w:abstractNumId w:val="25"/>
  </w:num>
  <w:num w:numId="6">
    <w:abstractNumId w:val="33"/>
  </w:num>
  <w:num w:numId="7">
    <w:abstractNumId w:val="36"/>
  </w:num>
  <w:num w:numId="8">
    <w:abstractNumId w:val="14"/>
  </w:num>
  <w:num w:numId="9">
    <w:abstractNumId w:val="20"/>
  </w:num>
  <w:num w:numId="10">
    <w:abstractNumId w:val="12"/>
  </w:num>
  <w:num w:numId="11">
    <w:abstractNumId w:val="13"/>
  </w:num>
  <w:num w:numId="12">
    <w:abstractNumId w:val="34"/>
  </w:num>
  <w:num w:numId="13">
    <w:abstractNumId w:val="28"/>
  </w:num>
  <w:num w:numId="14">
    <w:abstractNumId w:val="11"/>
  </w:num>
  <w:num w:numId="15">
    <w:abstractNumId w:val="42"/>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16"/>
  </w:num>
  <w:num w:numId="29">
    <w:abstractNumId w:val="32"/>
  </w:num>
  <w:num w:numId="30">
    <w:abstractNumId w:val="38"/>
  </w:num>
  <w:num w:numId="31">
    <w:abstractNumId w:val="24"/>
  </w:num>
  <w:num w:numId="32">
    <w:abstractNumId w:val="18"/>
  </w:num>
  <w:num w:numId="33">
    <w:abstractNumId w:val="31"/>
  </w:num>
  <w:num w:numId="34">
    <w:abstractNumId w:val="19"/>
  </w:num>
  <w:num w:numId="35">
    <w:abstractNumId w:val="23"/>
  </w:num>
  <w:num w:numId="36">
    <w:abstractNumId w:val="22"/>
  </w:num>
  <w:num w:numId="37">
    <w:abstractNumId w:val="30"/>
  </w:num>
  <w:num w:numId="38">
    <w:abstractNumId w:val="26"/>
  </w:num>
  <w:num w:numId="39">
    <w:abstractNumId w:val="40"/>
  </w:num>
  <w:num w:numId="40">
    <w:abstractNumId w:val="10"/>
  </w:num>
  <w:num w:numId="41">
    <w:abstractNumId w:val="15"/>
  </w:num>
  <w:num w:numId="42">
    <w:abstractNumId w:val="29"/>
  </w:num>
  <w:num w:numId="4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638"/>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35ACA"/>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25EE"/>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811"/>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77724"/>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5232"/>
    <w:rsid w:val="007E7028"/>
    <w:rsid w:val="007E7651"/>
    <w:rsid w:val="007F0170"/>
    <w:rsid w:val="007F0CC6"/>
    <w:rsid w:val="007F0ED4"/>
    <w:rsid w:val="007F174D"/>
    <w:rsid w:val="007F4318"/>
    <w:rsid w:val="007F4633"/>
    <w:rsid w:val="007F47C6"/>
    <w:rsid w:val="007F4D23"/>
    <w:rsid w:val="007F5F78"/>
    <w:rsid w:val="007F6A0E"/>
    <w:rsid w:val="007F6FB0"/>
    <w:rsid w:val="007F7F8C"/>
    <w:rsid w:val="008013F0"/>
    <w:rsid w:val="008021EA"/>
    <w:rsid w:val="00803A21"/>
    <w:rsid w:val="00805C3F"/>
    <w:rsid w:val="0080610D"/>
    <w:rsid w:val="008116A2"/>
    <w:rsid w:val="00811955"/>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0D8"/>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4747"/>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3049"/>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3B3A"/>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CF29D37-8FB6-4E9A-868E-FCBA555D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66</Pages>
  <Words>21616</Words>
  <Characters>123216</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6</cp:revision>
  <cp:lastPrinted>2019-12-11T16:30:00Z</cp:lastPrinted>
  <dcterms:created xsi:type="dcterms:W3CDTF">2019-12-19T22:53:00Z</dcterms:created>
  <dcterms:modified xsi:type="dcterms:W3CDTF">2019-12-20T17:02:00Z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