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77777777" w:rsidR="00636FD5" w:rsidRPr="006C645E" w:rsidRDefault="00636FD5" w:rsidP="003D7FDC">
      <w:r>
        <w:rPr>
          <w:rFonts w:ascii="Arial" w:hAnsi="Arial" w:cs="Arial"/>
          <w:b/>
          <w:sz w:val="28"/>
          <w:szCs w:val="28"/>
        </w:rPr>
        <w:t xml:space="preserve">Rulemaking Name: </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53"/>
        <w:gridCol w:w="1403"/>
        <w:gridCol w:w="1403"/>
        <w:gridCol w:w="1403"/>
      </w:tblGrid>
      <w:tr w:rsidR="00636FD5" w14:paraId="22B799F9" w14:textId="77777777" w:rsidTr="003D7FDC">
        <w:trPr>
          <w:trHeight w:val="356"/>
        </w:trPr>
        <w:tc>
          <w:tcPr>
            <w:tcW w:w="1854"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3351"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375"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3D7FDC">
        <w:trPr>
          <w:trHeight w:val="356"/>
        </w:trPr>
        <w:tc>
          <w:tcPr>
            <w:tcW w:w="1854" w:type="dxa"/>
          </w:tcPr>
          <w:p w14:paraId="789A9FF9" w14:textId="77777777" w:rsidR="00636FD5" w:rsidRDefault="00636FD5" w:rsidP="003D7FDC">
            <w:r>
              <w:t>Program Mgr</w:t>
            </w:r>
          </w:p>
        </w:tc>
        <w:tc>
          <w:tcPr>
            <w:tcW w:w="3351" w:type="dxa"/>
            <w:vAlign w:val="center"/>
          </w:tcPr>
          <w:p w14:paraId="5EF80E56" w14:textId="77777777" w:rsidR="00636FD5" w:rsidRDefault="00636FD5" w:rsidP="003D7FDC">
            <w:pPr>
              <w:jc w:val="center"/>
            </w:pPr>
          </w:p>
        </w:tc>
        <w:tc>
          <w:tcPr>
            <w:tcW w:w="1375" w:type="dxa"/>
            <w:vAlign w:val="center"/>
          </w:tcPr>
          <w:p w14:paraId="6D4AF53F" w14:textId="77777777" w:rsidR="00636FD5" w:rsidRDefault="00636FD5" w:rsidP="003D7FDC">
            <w:pPr>
              <w:jc w:val="center"/>
            </w:pPr>
          </w:p>
        </w:tc>
        <w:tc>
          <w:tcPr>
            <w:tcW w:w="1375" w:type="dxa"/>
            <w:vAlign w:val="center"/>
          </w:tcPr>
          <w:p w14:paraId="6FAF6353" w14:textId="77777777" w:rsidR="00636FD5" w:rsidRDefault="00636FD5" w:rsidP="003D7FDC">
            <w:pPr>
              <w:jc w:val="center"/>
            </w:pPr>
          </w:p>
        </w:tc>
        <w:tc>
          <w:tcPr>
            <w:tcW w:w="1375" w:type="dxa"/>
            <w:vAlign w:val="center"/>
          </w:tcPr>
          <w:p w14:paraId="368267A8" w14:textId="77777777" w:rsidR="00636FD5" w:rsidRDefault="00636FD5" w:rsidP="003D7FDC">
            <w:pPr>
              <w:jc w:val="center"/>
            </w:pPr>
          </w:p>
        </w:tc>
      </w:tr>
      <w:tr w:rsidR="00636FD5" w14:paraId="785B30B7" w14:textId="77777777" w:rsidTr="003D7FDC">
        <w:trPr>
          <w:trHeight w:val="356"/>
        </w:trPr>
        <w:tc>
          <w:tcPr>
            <w:tcW w:w="1854" w:type="dxa"/>
          </w:tcPr>
          <w:p w14:paraId="058769C3" w14:textId="77777777" w:rsidR="00636FD5" w:rsidRDefault="00636FD5" w:rsidP="003D7FDC">
            <w:r>
              <w:t>Communications</w:t>
            </w:r>
          </w:p>
        </w:tc>
        <w:tc>
          <w:tcPr>
            <w:tcW w:w="3351" w:type="dxa"/>
            <w:vAlign w:val="center"/>
          </w:tcPr>
          <w:p w14:paraId="36F10315" w14:textId="77777777" w:rsidR="00636FD5" w:rsidRDefault="00636FD5" w:rsidP="003D7FDC">
            <w:pPr>
              <w:jc w:val="center"/>
            </w:pPr>
          </w:p>
        </w:tc>
        <w:tc>
          <w:tcPr>
            <w:tcW w:w="1375" w:type="dxa"/>
            <w:vAlign w:val="center"/>
          </w:tcPr>
          <w:p w14:paraId="570FFAAB" w14:textId="77777777" w:rsidR="00636FD5" w:rsidRDefault="00636FD5" w:rsidP="003D7FDC">
            <w:pPr>
              <w:jc w:val="center"/>
            </w:pPr>
          </w:p>
        </w:tc>
        <w:tc>
          <w:tcPr>
            <w:tcW w:w="1375" w:type="dxa"/>
            <w:vAlign w:val="center"/>
          </w:tcPr>
          <w:p w14:paraId="1B105B40" w14:textId="77777777" w:rsidR="00636FD5" w:rsidRDefault="00636FD5" w:rsidP="003D7FDC">
            <w:pPr>
              <w:jc w:val="center"/>
            </w:pPr>
          </w:p>
        </w:tc>
        <w:tc>
          <w:tcPr>
            <w:tcW w:w="1375" w:type="dxa"/>
            <w:vAlign w:val="center"/>
          </w:tcPr>
          <w:p w14:paraId="5D8953A8" w14:textId="77777777" w:rsidR="00636FD5" w:rsidRDefault="00636FD5" w:rsidP="003D7FDC">
            <w:pPr>
              <w:jc w:val="center"/>
            </w:pPr>
          </w:p>
        </w:tc>
      </w:tr>
      <w:tr w:rsidR="00636FD5" w14:paraId="4FEF38E4" w14:textId="77777777" w:rsidTr="003D7FDC">
        <w:trPr>
          <w:trHeight w:val="356"/>
        </w:trPr>
        <w:tc>
          <w:tcPr>
            <w:tcW w:w="1854" w:type="dxa"/>
          </w:tcPr>
          <w:p w14:paraId="5D68D0C5" w14:textId="77777777" w:rsidR="00636FD5" w:rsidRDefault="00636FD5" w:rsidP="003D7FDC">
            <w:r>
              <w:t>DA</w:t>
            </w:r>
          </w:p>
        </w:tc>
        <w:tc>
          <w:tcPr>
            <w:tcW w:w="3351" w:type="dxa"/>
            <w:vAlign w:val="center"/>
          </w:tcPr>
          <w:p w14:paraId="191DEBD0" w14:textId="77777777" w:rsidR="00636FD5" w:rsidRDefault="00636FD5" w:rsidP="003D7FDC">
            <w:pPr>
              <w:jc w:val="center"/>
            </w:pPr>
          </w:p>
        </w:tc>
        <w:tc>
          <w:tcPr>
            <w:tcW w:w="1375" w:type="dxa"/>
            <w:vAlign w:val="center"/>
          </w:tcPr>
          <w:p w14:paraId="2BEC40AA" w14:textId="77777777" w:rsidR="00636FD5" w:rsidRDefault="00636FD5" w:rsidP="003D7FDC">
            <w:pPr>
              <w:jc w:val="center"/>
            </w:pPr>
          </w:p>
        </w:tc>
        <w:tc>
          <w:tcPr>
            <w:tcW w:w="1375" w:type="dxa"/>
            <w:vAlign w:val="center"/>
          </w:tcPr>
          <w:p w14:paraId="217972C8" w14:textId="77777777" w:rsidR="00636FD5" w:rsidRDefault="00636FD5" w:rsidP="003D7FDC">
            <w:pPr>
              <w:jc w:val="center"/>
            </w:pPr>
          </w:p>
        </w:tc>
        <w:tc>
          <w:tcPr>
            <w:tcW w:w="1375" w:type="dxa"/>
            <w:vAlign w:val="center"/>
          </w:tcPr>
          <w:p w14:paraId="4B351EE6" w14:textId="77777777" w:rsidR="00636FD5" w:rsidRDefault="00636FD5" w:rsidP="003D7FDC">
            <w:pPr>
              <w:jc w:val="center"/>
            </w:pPr>
          </w:p>
        </w:tc>
      </w:tr>
      <w:tr w:rsidR="00636FD5" w14:paraId="384C6412" w14:textId="77777777" w:rsidTr="003D7FDC">
        <w:trPr>
          <w:trHeight w:val="356"/>
        </w:trPr>
        <w:tc>
          <w:tcPr>
            <w:tcW w:w="1854" w:type="dxa"/>
          </w:tcPr>
          <w:p w14:paraId="27666CC7" w14:textId="77777777" w:rsidR="00636FD5" w:rsidRDefault="00636FD5" w:rsidP="003D7FDC">
            <w:r>
              <w:t>ARC or AQRC</w:t>
            </w:r>
          </w:p>
        </w:tc>
        <w:tc>
          <w:tcPr>
            <w:tcW w:w="3351" w:type="dxa"/>
            <w:vAlign w:val="center"/>
          </w:tcPr>
          <w:p w14:paraId="1F67E1FD" w14:textId="77777777" w:rsidR="00636FD5" w:rsidRDefault="00636FD5" w:rsidP="003D7FDC">
            <w:pPr>
              <w:jc w:val="center"/>
            </w:pPr>
          </w:p>
        </w:tc>
        <w:tc>
          <w:tcPr>
            <w:tcW w:w="1375" w:type="dxa"/>
            <w:vAlign w:val="center"/>
          </w:tcPr>
          <w:p w14:paraId="6F557CA0" w14:textId="77777777" w:rsidR="00636FD5" w:rsidRDefault="00636FD5" w:rsidP="003D7FDC">
            <w:pPr>
              <w:jc w:val="center"/>
            </w:pPr>
          </w:p>
        </w:tc>
        <w:tc>
          <w:tcPr>
            <w:tcW w:w="1375" w:type="dxa"/>
            <w:vAlign w:val="center"/>
          </w:tcPr>
          <w:p w14:paraId="3D9AFE89" w14:textId="77777777" w:rsidR="00636FD5" w:rsidRDefault="00636FD5" w:rsidP="003D7FDC">
            <w:pPr>
              <w:jc w:val="center"/>
            </w:pPr>
          </w:p>
        </w:tc>
        <w:tc>
          <w:tcPr>
            <w:tcW w:w="1375" w:type="dxa"/>
            <w:vAlign w:val="center"/>
          </w:tcPr>
          <w:p w14:paraId="7E23A3B5" w14:textId="77777777" w:rsidR="00636FD5" w:rsidRDefault="00636FD5" w:rsidP="003D7FDC">
            <w:pPr>
              <w:jc w:val="center"/>
            </w:pPr>
          </w:p>
        </w:tc>
      </w:tr>
      <w:tr w:rsidR="00636FD5" w14:paraId="3D79E0E8" w14:textId="77777777" w:rsidTr="003D7FDC">
        <w:trPr>
          <w:trHeight w:val="356"/>
        </w:trPr>
        <w:tc>
          <w:tcPr>
            <w:tcW w:w="1854" w:type="dxa"/>
          </w:tcPr>
          <w:p w14:paraId="65A7D031" w14:textId="77777777" w:rsidR="00636FD5" w:rsidRDefault="00636FD5" w:rsidP="003D7FDC">
            <w:r>
              <w:t>Other</w:t>
            </w:r>
          </w:p>
        </w:tc>
        <w:tc>
          <w:tcPr>
            <w:tcW w:w="3351" w:type="dxa"/>
            <w:vAlign w:val="center"/>
          </w:tcPr>
          <w:p w14:paraId="71EAD6D7" w14:textId="77777777" w:rsidR="00636FD5" w:rsidRDefault="00636FD5" w:rsidP="003D7FDC">
            <w:pPr>
              <w:jc w:val="center"/>
            </w:pPr>
          </w:p>
        </w:tc>
        <w:tc>
          <w:tcPr>
            <w:tcW w:w="1375" w:type="dxa"/>
            <w:vAlign w:val="center"/>
          </w:tcPr>
          <w:p w14:paraId="5940FDA6" w14:textId="77777777" w:rsidR="00636FD5" w:rsidRDefault="00636FD5" w:rsidP="003D7FDC">
            <w:pPr>
              <w:jc w:val="center"/>
            </w:pPr>
          </w:p>
        </w:tc>
        <w:tc>
          <w:tcPr>
            <w:tcW w:w="1375" w:type="dxa"/>
            <w:vAlign w:val="center"/>
          </w:tcPr>
          <w:p w14:paraId="2D4FB9C6" w14:textId="77777777" w:rsidR="00636FD5" w:rsidRDefault="00636FD5" w:rsidP="003D7FDC">
            <w:pPr>
              <w:jc w:val="center"/>
            </w:pPr>
          </w:p>
        </w:tc>
        <w:tc>
          <w:tcPr>
            <w:tcW w:w="1375" w:type="dxa"/>
            <w:vAlign w:val="center"/>
          </w:tcPr>
          <w:p w14:paraId="6696AD0E" w14:textId="77777777" w:rsidR="00636FD5" w:rsidRDefault="00636FD5" w:rsidP="003D7FDC">
            <w:pPr>
              <w:jc w:val="center"/>
            </w:pPr>
          </w:p>
        </w:tc>
      </w:tr>
      <w:tr w:rsidR="00636FD5" w14:paraId="0F3E8D83" w14:textId="77777777" w:rsidTr="003D7FDC">
        <w:trPr>
          <w:trHeight w:val="356"/>
        </w:trPr>
        <w:tc>
          <w:tcPr>
            <w:tcW w:w="1854" w:type="dxa"/>
          </w:tcPr>
          <w:p w14:paraId="07B5F090" w14:textId="77777777" w:rsidR="00636FD5" w:rsidRDefault="00636FD5" w:rsidP="003D7FDC">
            <w:r>
              <w:t>Other</w:t>
            </w:r>
          </w:p>
        </w:tc>
        <w:tc>
          <w:tcPr>
            <w:tcW w:w="3351" w:type="dxa"/>
            <w:vAlign w:val="center"/>
          </w:tcPr>
          <w:p w14:paraId="69DA7457" w14:textId="77777777" w:rsidR="00636FD5" w:rsidRDefault="00636FD5" w:rsidP="003D7FDC">
            <w:pPr>
              <w:jc w:val="center"/>
            </w:pPr>
          </w:p>
        </w:tc>
        <w:tc>
          <w:tcPr>
            <w:tcW w:w="1375" w:type="dxa"/>
            <w:vAlign w:val="center"/>
          </w:tcPr>
          <w:p w14:paraId="7CAE1800" w14:textId="77777777" w:rsidR="00636FD5" w:rsidRDefault="00636FD5" w:rsidP="003D7FDC">
            <w:pPr>
              <w:jc w:val="center"/>
            </w:pPr>
          </w:p>
        </w:tc>
        <w:tc>
          <w:tcPr>
            <w:tcW w:w="1375" w:type="dxa"/>
            <w:vAlign w:val="center"/>
          </w:tcPr>
          <w:p w14:paraId="3DDBB581" w14:textId="77777777" w:rsidR="00636FD5" w:rsidRDefault="00636FD5" w:rsidP="003D7FDC">
            <w:pPr>
              <w:jc w:val="center"/>
            </w:pPr>
          </w:p>
        </w:tc>
        <w:tc>
          <w:tcPr>
            <w:tcW w:w="1375" w:type="dxa"/>
            <w:vAlign w:val="center"/>
          </w:tcPr>
          <w:p w14:paraId="30CEF94B" w14:textId="77777777" w:rsidR="00636FD5" w:rsidRDefault="00636FD5" w:rsidP="003D7FDC">
            <w:pPr>
              <w:jc w:val="center"/>
            </w:pPr>
          </w:p>
        </w:tc>
      </w:tr>
      <w:tr w:rsidR="00636FD5" w14:paraId="6CB8D954" w14:textId="77777777" w:rsidTr="003D7FDC">
        <w:trPr>
          <w:trHeight w:val="356"/>
        </w:trPr>
        <w:tc>
          <w:tcPr>
            <w:tcW w:w="1854" w:type="dxa"/>
          </w:tcPr>
          <w:p w14:paraId="6DC79734" w14:textId="77777777" w:rsidR="00636FD5" w:rsidRDefault="00636FD5" w:rsidP="003D7FDC">
            <w:r>
              <w:t>Other</w:t>
            </w:r>
          </w:p>
        </w:tc>
        <w:tc>
          <w:tcPr>
            <w:tcW w:w="3351" w:type="dxa"/>
            <w:vAlign w:val="center"/>
          </w:tcPr>
          <w:p w14:paraId="1D00A413" w14:textId="77777777" w:rsidR="00636FD5" w:rsidRDefault="00636FD5" w:rsidP="003D7FDC">
            <w:pPr>
              <w:jc w:val="center"/>
            </w:pPr>
          </w:p>
        </w:tc>
        <w:tc>
          <w:tcPr>
            <w:tcW w:w="1375" w:type="dxa"/>
            <w:vAlign w:val="center"/>
          </w:tcPr>
          <w:p w14:paraId="3CA31BE2" w14:textId="77777777" w:rsidR="00636FD5" w:rsidRDefault="00636FD5" w:rsidP="003D7FDC">
            <w:pPr>
              <w:jc w:val="center"/>
            </w:pPr>
          </w:p>
        </w:tc>
        <w:tc>
          <w:tcPr>
            <w:tcW w:w="1375" w:type="dxa"/>
            <w:vAlign w:val="center"/>
          </w:tcPr>
          <w:p w14:paraId="587182AB" w14:textId="77777777" w:rsidR="00636FD5" w:rsidRDefault="00636FD5" w:rsidP="003D7FDC">
            <w:pPr>
              <w:jc w:val="center"/>
            </w:pPr>
          </w:p>
        </w:tc>
        <w:tc>
          <w:tcPr>
            <w:tcW w:w="1375"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77777777"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mm dd, yyyy</w:t>
      </w:r>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3D7FDC">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2"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0" w:name="_Toc490121542"/>
            <w:r w:rsidRPr="001404B0">
              <w:t xml:space="preserve">DEQ </w:t>
            </w:r>
            <w:r w:rsidR="00635335">
              <w:t>R</w:t>
            </w:r>
            <w:r w:rsidRPr="001404B0">
              <w:t>ecommendation to the EQC</w:t>
            </w:r>
            <w:bookmarkEnd w:id="0"/>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p w14:paraId="4E5282F0" w14:textId="77777777" w:rsidR="00DC3A25" w:rsidRPr="001404B0" w:rsidRDefault="00F84B7C" w:rsidP="00C961E7">
      <w:commentRangeStart w:id="1"/>
      <w:r w:rsidRPr="001404B0">
        <w:rPr>
          <w:noProof/>
        </w:rPr>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commentRangeEnd w:id="1"/>
      <w:r w:rsidR="00BF0727">
        <w:rPr>
          <w:rStyle w:val="CommentReference"/>
        </w:rPr>
        <w:commentReference w:id="1"/>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5F4BE791" w14:textId="77777777" w:rsidR="00527ABB" w:rsidRDefault="00431F8C" w:rsidP="003D7FDC">
      <w:pPr>
        <w:autoSpaceDE w:val="0"/>
        <w:autoSpaceDN w:val="0"/>
        <w:adjustRightInd w:val="0"/>
        <w:ind w:left="0"/>
        <w:rPr>
          <w:color w:val="FF0000"/>
          <w:lang w:val="en-ZW"/>
        </w:rPr>
      </w:pPr>
      <w:r>
        <w:rPr>
          <w:color w:val="FF0000"/>
          <w:lang w:val="en-ZW"/>
        </w:rPr>
        <w:t xml:space="preserve">In April 2019, Pacific Cast Technologies, Inc., doing business as ATI Cast Products (ATI), submitted a petition for a F006 Delisting Rulemaking to DEQ. </w:t>
      </w:r>
      <w:r w:rsidR="003D7FDC">
        <w:rPr>
          <w:color w:val="FF0000"/>
          <w:lang w:val="en-ZW"/>
        </w:rPr>
        <w:t xml:space="preserve">Following DEQ’s July 15, </w:t>
      </w:r>
      <w:r>
        <w:rPr>
          <w:color w:val="FF0000"/>
          <w:lang w:val="en-ZW"/>
        </w:rPr>
        <w:t>2019 Public Notice for</w:t>
      </w:r>
      <w:r w:rsidR="00A9589A">
        <w:rPr>
          <w:color w:val="FF0000"/>
          <w:lang w:val="en-ZW"/>
        </w:rPr>
        <w:t xml:space="preserve"> this</w:t>
      </w:r>
      <w:r>
        <w:rPr>
          <w:color w:val="FF0000"/>
          <w:lang w:val="en-ZW"/>
        </w:rPr>
        <w:t xml:space="preserve"> proposed rulemaking</w:t>
      </w:r>
      <w:r w:rsidR="00A9589A">
        <w:rPr>
          <w:color w:val="FF0000"/>
          <w:lang w:val="en-ZW"/>
        </w:rPr>
        <w:t>, ATI Cast Products</w:t>
      </w:r>
      <w:r w:rsidR="003D7FDC">
        <w:rPr>
          <w:color w:val="FF0000"/>
          <w:lang w:val="en-ZW"/>
        </w:rPr>
        <w:t xml:space="preserve"> completed the sale of its titanium-alloy casting and machine parts unit</w:t>
      </w:r>
      <w:r w:rsidR="00A9589A">
        <w:rPr>
          <w:color w:val="FF0000"/>
          <w:lang w:val="en-ZW"/>
        </w:rPr>
        <w:t xml:space="preserve"> to Consolidated Precision Products Corps. (CPP)</w:t>
      </w:r>
      <w:r>
        <w:rPr>
          <w:color w:val="FF0000"/>
          <w:lang w:val="en-ZW"/>
        </w:rPr>
        <w:t>, doing business as Pacific Cast Technologies, Inc.</w:t>
      </w:r>
      <w:r w:rsidR="00527ABB">
        <w:rPr>
          <w:color w:val="FF0000"/>
          <w:lang w:val="en-ZW"/>
        </w:rPr>
        <w:t xml:space="preserve"> DEQ has edited proposed rulemaking language to reflect the ownership change. While the facility has changed 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33E10CE3"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 using an electroplating process known as chemical etching and milling.</w:t>
      </w:r>
    </w:p>
    <w:p w14:paraId="4943FA6A" w14:textId="77777777" w:rsidR="003D7FDC" w:rsidRPr="003D7FDC" w:rsidRDefault="003D7FDC" w:rsidP="003D7FDC">
      <w:pPr>
        <w:autoSpaceDE w:val="0"/>
        <w:autoSpaceDN w:val="0"/>
        <w:adjustRightInd w:val="0"/>
        <w:ind w:left="0"/>
        <w:rPr>
          <w:b/>
          <w:color w:val="FF0000"/>
          <w:lang w:val="en-ZW"/>
        </w:rPr>
      </w:pPr>
    </w:p>
    <w:p w14:paraId="4FEAA2A7" w14:textId="77777777"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w:t>
      </w:r>
      <w:r>
        <w:rPr>
          <w:lang w:val="en-ZW"/>
        </w:rPr>
        <w:lastRenderedPageBreak/>
        <w:t xml:space="preserve">operations, including chemical etching and milling, as an F006-listed hazardous waste. Chemicals commonly associated with this process include cadmium, 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r w:rsidR="005B26A8">
        <w:rPr>
          <w:rStyle w:val="CommentReference"/>
        </w:rPr>
        <w:commentReference w:id="2"/>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63C3A849"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Inc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Selmet, Inc., in Albany, Oregon is excluded from listing as hazardous waste provided Selmet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w:t>
      </w:r>
      <w:r>
        <w:lastRenderedPageBreak/>
        <w:t xml:space="preserve">and analysis results and the delisting petition SLR International Corporation prepared for </w:t>
      </w:r>
      <w:r w:rsidR="005B26A8">
        <w:t>Pacific Cast Technologies, Inc</w:t>
      </w:r>
      <w:r>
        <w:t xml:space="preserve">. DEQ proposes amending Oregon’s hazardous waste regulations in Chapter 340, Division 101, of the Oregon Administrative Rules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3" w:name="_Toc490121544"/>
            <w:r w:rsidRPr="001404B0">
              <w:t>Optional Additional Topic</w:t>
            </w:r>
            <w:bookmarkEnd w:id="3"/>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rPr>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commentRangeStart w:id="4"/>
      <w:r w:rsidRPr="00B8572F">
        <w:rPr>
          <w:rFonts w:ascii="Arial" w:hAnsi="Arial" w:cs="Arial"/>
          <w:b/>
          <w:sz w:val="32"/>
        </w:rPr>
        <w:t>Waste Analysis and Risk Screening</w:t>
      </w:r>
      <w:commentRangeEnd w:id="4"/>
      <w:r>
        <w:rPr>
          <w:rStyle w:val="CommentReference"/>
        </w:rPr>
        <w:commentReference w:id="4"/>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lastRenderedPageBreak/>
        <w:t>Parameters for Analysis</w:t>
      </w:r>
    </w:p>
    <w:p w14:paraId="1CA45C05" w14:textId="6E535AB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Pacific Cast Technologies, Inc</w:t>
      </w:r>
      <w:r w:rsidRPr="000032E8">
        <w:rPr>
          <w:rFonts w:eastAsiaTheme="minorHAnsi"/>
        </w:rPr>
        <w:t xml:space="preserve">’s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Screening Criteria</w:t>
      </w:r>
    </w:p>
    <w:p w14:paraId="6A5DAB60" w14:textId="7F192093" w:rsidR="009E0265" w:rsidRDefault="009E0265" w:rsidP="009E0265">
      <w:pPr>
        <w:spacing w:after="160" w:line="259" w:lineRule="auto"/>
        <w:ind w:left="0" w:right="0"/>
        <w:outlineLvl w:val="9"/>
        <w:rPr>
          <w:rFonts w:eastAsiaTheme="minorHAnsi"/>
        </w:rPr>
      </w:pPr>
      <w:r>
        <w:rPr>
          <w:rFonts w:eastAsiaTheme="minorHAnsi"/>
        </w:rPr>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w:t>
      </w:r>
      <w:r>
        <w:rPr>
          <w:rFonts w:eastAsiaTheme="minorHAnsi"/>
        </w:rPr>
        <w:t>, approximately 1,800 yards per year,</w:t>
      </w:r>
      <w:r w:rsidRPr="000032E8">
        <w:rPr>
          <w:rFonts w:eastAsiaTheme="minorHAnsi"/>
        </w:rPr>
        <w:t xml:space="preserve">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77777777"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Toxicity Characteristic Leaching Procedure concentrations.</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7777777"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 and random numbers</w:t>
      </w:r>
      <w:r>
        <w:rPr>
          <w:rFonts w:eastAsiaTheme="minorHAnsi"/>
          <w:bCs/>
          <w:lang w:val="en-ZW"/>
        </w:rPr>
        <w:t>. SLR used this grid to select</w:t>
      </w:r>
      <w:r w:rsidRPr="000032E8">
        <w:rPr>
          <w:rFonts w:eastAsiaTheme="minorHAnsi"/>
          <w:bCs/>
          <w:lang w:val="en-ZW"/>
        </w:rPr>
        <w:t xml:space="preserve"> five squares to 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77777777"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 xml:space="preserve">Specialty Analytical did </w:t>
      </w:r>
      <w:r w:rsidRPr="000032E8">
        <w:rPr>
          <w:rFonts w:eastAsiaTheme="minorHAnsi"/>
        </w:rPr>
        <w:t xml:space="preserve">additional analysis.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lastRenderedPageBreak/>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t>Results and Risk Screening</w:t>
      </w:r>
    </w:p>
    <w:p w14:paraId="53517A1A" w14:textId="4ADB482F"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 (Table 1).</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22BD1D65" w:rsidR="00C961E7" w:rsidRPr="00C62D5E" w:rsidRDefault="009E0265" w:rsidP="00C62D5E">
      <w:pPr>
        <w:ind w:left="0"/>
        <w:sectPr w:rsidR="00C961E7" w:rsidRPr="00C62D5E" w:rsidSect="005F45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’s waste 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5" w:name="_Toc490121545"/>
            <w:r w:rsidRPr="001404B0">
              <w:lastRenderedPageBreak/>
              <w:t>Statement of Need</w:t>
            </w:r>
            <w:bookmarkEnd w:id="5"/>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Pacific Cast Technologies, Inc. is currently managing its chemical etching and milling wastewater treatment sludge as F006 listed hazardous waste. It is costly for Pacific Cast Technologies, Inc. to manage the waste this way. Through the delisting petition, Pacific 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3E92AB07" w:rsidR="00BB1C93" w:rsidRPr="00F24D22" w:rsidRDefault="00BB1C93" w:rsidP="00BB1C93">
      <w:pPr>
        <w:ind w:left="0"/>
        <w:rPr>
          <w:rStyle w:val="Emphasis"/>
          <w:bCs w:val="0"/>
          <w:vanish w:val="0"/>
          <w:color w:val="000000" w:themeColor="text1"/>
          <w:sz w:val="24"/>
        </w:rPr>
      </w:pPr>
      <w:r>
        <w:t>DEQ will know when Pacific Cast Technologies, Inc.no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77777777" w:rsidR="00C961E7" w:rsidRPr="001404B0" w:rsidRDefault="00375DF7" w:rsidP="00D63F4B">
            <w:pPr>
              <w:pStyle w:val="Heading1"/>
            </w:pPr>
            <w:bookmarkStart w:id="6"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6"/>
            <w:r w:rsidR="00D63F4B">
              <w:t xml:space="preserve"> </w:t>
            </w:r>
            <w:r w:rsidR="00D63F4B">
              <w:rPr>
                <w:color w:val="BF8F00" w:themeColor="accent4" w:themeShade="BF"/>
              </w:rPr>
              <w:t xml:space="preserve">- </w:t>
            </w:r>
            <w:r w:rsidR="00F84B7C" w:rsidRPr="001404B0">
              <w:rPr>
                <w:color w:val="BF8F00" w:themeColor="accent4" w:themeShade="BF"/>
              </w:rPr>
              <w:t>Copy and Paste</w:t>
            </w:r>
            <w:r w:rsidRPr="001404B0">
              <w:rPr>
                <w:rStyle w:val="Emphasis"/>
                <w:bCs w:val="0"/>
                <w:vanish w:val="0"/>
                <w:sz w:val="36"/>
              </w:rPr>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7" w:name="SupportingDocuments"/>
      <w:r w:rsidRPr="0038253B">
        <w:rPr>
          <w:sz w:val="24"/>
        </w:rPr>
        <w:t>Documents relied on for rulemaking</w:t>
      </w:r>
      <w:r w:rsidRPr="0038253B">
        <w:rPr>
          <w:rStyle w:val="Heading2Char"/>
          <w:rFonts w:eastAsiaTheme="majorEastAsia"/>
        </w:rPr>
        <w:t xml:space="preserve"> </w:t>
      </w:r>
      <w:bookmarkEnd w:id="7"/>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21"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8" w:name="_Toc490121547"/>
            <w:r w:rsidRPr="001404B0">
              <w:t>Fee Analysis</w:t>
            </w:r>
            <w:bookmarkEnd w:id="8"/>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9"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9"/>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t>Fiscal and Economic Impact</w:t>
      </w:r>
    </w:p>
    <w:p w14:paraId="5B0EAA8C" w14:textId="458CAAE2" w:rsidR="00C62D5E" w:rsidRDefault="00C62D5E" w:rsidP="00C62D5E">
      <w:pPr>
        <w:ind w:left="0" w:right="-432"/>
      </w:pPr>
      <w:r>
        <w:t xml:space="preserve">Following delisting, DEQ will no longer require Pacific Cast Technologies, Inc. to pay hazardous waste management fees for its F006 listed hazardous waste. However, DEQ will continue to inspect Pacific Cast Technologies, Inc and offer compliance assistance. </w:t>
      </w:r>
    </w:p>
    <w:p w14:paraId="5CB1A90E" w14:textId="77777777" w:rsidR="00C62D5E" w:rsidRDefault="00C62D5E" w:rsidP="00C62D5E">
      <w:pPr>
        <w:ind w:left="0" w:right="-432"/>
      </w:pPr>
    </w:p>
    <w:p w14:paraId="26AF6304" w14:textId="640397F9" w:rsidR="00C62D5E" w:rsidRPr="00EE7D19" w:rsidRDefault="00C62D5E" w:rsidP="00C62D5E">
      <w:pPr>
        <w:ind w:left="0" w:right="-432"/>
      </w:pPr>
      <w:r>
        <w:t xml:space="preserve">Pacific Cast Technologies, Inc will receive positive fiscal benefits. </w:t>
      </w:r>
      <w:r>
        <w:rPr>
          <w:lang w:val="en-ZW"/>
        </w:rPr>
        <w:t xml:space="preserve">Since June 2017, </w:t>
      </w:r>
      <w:r>
        <w:t>Pacific Cast Technologies, Inc</w:t>
      </w:r>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77777777" w:rsidR="00C62D5E" w:rsidRPr="005665C7" w:rsidRDefault="00C62D5E" w:rsidP="00C62D5E">
      <w:pPr>
        <w:ind w:left="0" w:right="-432"/>
        <w:rPr>
          <w:color w:val="000000"/>
        </w:rPr>
      </w:pPr>
      <w:r w:rsidRPr="007546FD">
        <w:rPr>
          <w:color w:val="000000"/>
        </w:rPr>
        <w:t>DEQ did not convene an advisory committee</w:t>
      </w:r>
      <w:r>
        <w:rPr>
          <w:color w:val="000000"/>
        </w:rPr>
        <w:t>. The proposed rulemaking affects only one specific facility, does not affect any small businesses or the general public, and only has a fiscal impact on DEQ and the petitioner. There will be a public hearing and public comment period to gather public comments on the rulemaking.</w:t>
      </w:r>
    </w:p>
    <w:p w14:paraId="717A5208" w14:textId="77777777" w:rsidR="00C62D5E" w:rsidRPr="0038253B" w:rsidRDefault="00C62D5E" w:rsidP="00C62D5E">
      <w:pPr>
        <w:pStyle w:val="Heading2"/>
        <w:ind w:left="0" w:right="-432"/>
      </w:pPr>
      <w:r w:rsidRPr="0038253B">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10" w:name="_Toc490121549"/>
            <w:r w:rsidRPr="001404B0">
              <w:t xml:space="preserve">Federal </w:t>
            </w:r>
            <w:r w:rsidR="00635335">
              <w:t>R</w:t>
            </w:r>
            <w:r w:rsidRPr="001404B0">
              <w:t>elationship</w:t>
            </w:r>
            <w:bookmarkEnd w:id="10"/>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B80100" w:rsidRPr="001A4DE1" w:rsidRDefault="00B80100"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B80100" w:rsidRDefault="00B80100"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7777777" w:rsidR="00FB426B" w:rsidRDefault="00FB426B" w:rsidP="00FB426B">
      <w:pPr>
        <w:ind w:left="0" w:right="-432"/>
      </w:pPr>
      <w:r>
        <w:t>Under the state and federal rules cited above, the EPA authorizes DEQ to operate Oregon’s hazardous waste program. The EPA also authorizes Oregon to exempt substances from being classified as a listed hazardous substances in Oregon if a petitioner meets the requirements stated in the state and federal rules listed above.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11" w:name="_Toc490121550"/>
            <w:r w:rsidRPr="001404B0">
              <w:t>Land Use</w:t>
            </w:r>
            <w:bookmarkEnd w:id="11"/>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B80100" w:rsidRPr="001A4DE1" w:rsidRDefault="00B80100"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B80100" w:rsidRDefault="00B80100"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B80100" w:rsidRPr="001A4DE1" w:rsidRDefault="00B80100"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B80100" w:rsidRDefault="00B80100"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2" w:name="_Toc490121552"/>
            <w:r w:rsidRPr="001404B0">
              <w:t xml:space="preserve">Public </w:t>
            </w:r>
            <w:r w:rsidR="00460D8E" w:rsidRPr="001404B0">
              <w:t>Engagement</w:t>
            </w:r>
            <w:bookmarkEnd w:id="12"/>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2"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3"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Senator Michael Dembrow,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Representative E. Werner Reschke,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4"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w:t>
      </w:r>
      <w:r w:rsidR="003232A0">
        <w:rPr>
          <w:rStyle w:val="Emphasis"/>
          <w:vanish w:val="0"/>
          <w:color w:val="000000" w:themeColor="text1"/>
          <w:sz w:val="24"/>
        </w:rPr>
        <w:t>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w:t>
      </w:r>
      <w:r w:rsidR="003232A0">
        <w:rPr>
          <w:rStyle w:val="Emphasis"/>
          <w:vanish w:val="0"/>
          <w:color w:val="000000" w:themeColor="text1"/>
          <w:sz w:val="24"/>
        </w:rPr>
        <w:t>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Pr>
          <w:color w:val="FF0000"/>
        </w:rPr>
        <w:t>Four</w:t>
      </w:r>
      <w:r w:rsidR="00C507DE" w:rsidRPr="001404B0">
        <w:rPr>
          <w:color w:val="FF0000"/>
        </w:rPr>
        <w:t xml:space="preserve"> </w:t>
      </w:r>
      <w:r w:rsidR="00C507DE" w:rsidRPr="001404B0">
        <w:rPr>
          <w:color w:val="000000" w:themeColor="text1"/>
        </w:rPr>
        <w:t xml:space="preserve">people attended the hearing in person and </w:t>
      </w:r>
      <w:r w:rsidR="00A144FA">
        <w:rPr>
          <w:color w:val="FF0000"/>
        </w:rPr>
        <w:t>no people</w:t>
      </w:r>
      <w:r>
        <w:rPr>
          <w:color w:val="FF0000"/>
        </w:rPr>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3" w:name="_Toc490121553"/>
            <w:r w:rsidRPr="001404B0">
              <w:t xml:space="preserve">Summary of </w:t>
            </w:r>
            <w:r w:rsidR="001404B0" w:rsidRPr="001404B0">
              <w:t>Public Comments and DEQ R</w:t>
            </w:r>
            <w:r w:rsidRPr="001404B0">
              <w:t>esponses</w:t>
            </w:r>
            <w:bookmarkEnd w:id="13"/>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r w:rsidRPr="00E41F15">
        <w:rPr>
          <w:lang w:val="en-ZW"/>
        </w:rPr>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p>
    <w:p w14:paraId="790A84F7" w14:textId="77777777" w:rsidR="00E41F15" w:rsidRPr="00E41F15" w:rsidRDefault="00E41F15" w:rsidP="00E41F15">
      <w:pPr>
        <w:autoSpaceDE w:val="0"/>
        <w:autoSpaceDN w:val="0"/>
        <w:adjustRightInd w:val="0"/>
        <w:ind w:left="0"/>
        <w:rPr>
          <w:lang w:val="en-ZW"/>
        </w:rPr>
      </w:pPr>
    </w:p>
    <w:p w14:paraId="1B8E102F" w14:textId="273CCBE3" w:rsidR="00635335" w:rsidRPr="001404B0" w:rsidRDefault="00635335" w:rsidP="00635335">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Pr="001404B0">
        <w:rPr>
          <w:rFonts w:ascii="Times New Roman" w:hAnsi="Times New Roman" w:cs="Times New Roman"/>
          <w:b w:val="0"/>
          <w:sz w:val="24"/>
          <w:szCs w:val="24"/>
        </w:rPr>
        <w:t xml:space="preserve"> </w:t>
      </w:r>
    </w:p>
    <w:p w14:paraId="2D765404" w14:textId="77777777" w:rsidR="00C961E7" w:rsidRPr="001404B0" w:rsidRDefault="00C961E7" w:rsidP="00C961E7">
      <w:pPr>
        <w:ind w:left="0" w:right="630"/>
        <w:rPr>
          <w:bCs/>
          <w:color w:val="000000" w:themeColor="text1"/>
        </w:rPr>
      </w:pPr>
    </w:p>
    <w:p w14:paraId="74F77B67" w14:textId="69CFA532" w:rsidR="00C961E7" w:rsidRPr="00E41F15" w:rsidRDefault="00C961E7" w:rsidP="00C961E7">
      <w:pPr>
        <w:ind w:left="0" w:right="828"/>
        <w:rPr>
          <w:color w:val="000000" w:themeColor="text1"/>
        </w:rPr>
      </w:pPr>
      <w:r w:rsidRPr="001404B0">
        <w:rPr>
          <w:color w:val="000000" w:themeColor="text1"/>
        </w:rPr>
        <w:t>DEQ did not change the proposed rules in response to comments.</w:t>
      </w:r>
    </w:p>
    <w:p w14:paraId="5546122E" w14:textId="77777777" w:rsidR="00C961E7" w:rsidRPr="001404B0" w:rsidRDefault="00C961E7" w:rsidP="00C961E7">
      <w:pPr>
        <w:ind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6E62221C"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p>
    <w:p w14:paraId="1661C592" w14:textId="0B2E6F37" w:rsidR="000664CD" w:rsidRDefault="000664CD" w:rsidP="00C961E7">
      <w:pPr>
        <w:ind w:left="0" w:right="630"/>
        <w:rPr>
          <w:bCs/>
          <w:color w:val="000000" w:themeColor="text1"/>
        </w:rPr>
      </w:pPr>
    </w:p>
    <w:p w14:paraId="5E920971" w14:textId="25AFE161" w:rsidR="00283E86" w:rsidRDefault="000664CD" w:rsidP="00C961E7">
      <w:pPr>
        <w:ind w:left="0" w:right="630"/>
        <w:rPr>
          <w:lang w:val="en-ZW"/>
        </w:rPr>
      </w:pPr>
      <w:r>
        <w:rPr>
          <w:lang w:val="en-ZW"/>
        </w:rPr>
        <w:t>Pacific Cast Technologies, Inc</w:t>
      </w:r>
      <w:r w:rsidRPr="006F6124">
        <w:rPr>
          <w:lang w:val="en-ZW"/>
        </w:rPr>
        <w:t xml:space="preserve">. </w:t>
      </w:r>
      <w:r>
        <w:rPr>
          <w:lang w:val="en-ZW"/>
        </w:rPr>
        <w:t>manufactures titanium-alloy castings and machine parts for the aerospace industry using an electroplating process known as chemical etching and milling</w:t>
      </w:r>
      <w:r>
        <w:rPr>
          <w:lang w:val="en-ZW"/>
        </w:rPr>
        <w:t>.</w:t>
      </w:r>
    </w:p>
    <w:p w14:paraId="6766064D" w14:textId="77777777" w:rsidR="00283E86" w:rsidRDefault="00283E86" w:rsidP="00C961E7">
      <w:pPr>
        <w:ind w:left="0" w:right="630"/>
        <w:rPr>
          <w:lang w:val="en-ZW"/>
        </w:rPr>
      </w:pPr>
    </w:p>
    <w:p w14:paraId="38679687" w14:textId="049B27B8" w:rsidR="00283E86" w:rsidRDefault="00283E86" w:rsidP="00283E86">
      <w:pPr>
        <w:ind w:left="0" w:right="630"/>
        <w:rPr>
          <w:bCs/>
          <w:color w:val="000000" w:themeColor="text1"/>
        </w:rPr>
      </w:pPr>
      <w:r>
        <w:rPr>
          <w:bCs/>
          <w:color w:val="000000" w:themeColor="text1"/>
        </w:rPr>
        <w:t>The subject of this delisting, F006, is a hazardous waste derived from a variety of industrial operations</w:t>
      </w:r>
      <w:r>
        <w:rPr>
          <w:bCs/>
          <w:color w:val="000000" w:themeColor="text1"/>
        </w:rPr>
        <w:t xml:space="preserve">. </w:t>
      </w:r>
      <w:r>
        <w:rPr>
          <w:bCs/>
          <w:color w:val="000000" w:themeColor="text1"/>
        </w:rPr>
        <w:t>The delisting is specific to waste produced by Pacific Cast Technologies, Inc. (formerly ATI) at its 150 Queen Ave. SW facility in Albany, OR.</w:t>
      </w:r>
    </w:p>
    <w:p w14:paraId="20903B51" w14:textId="626E8A1F" w:rsidR="00283E86" w:rsidRDefault="000664CD" w:rsidP="00C961E7">
      <w:pPr>
        <w:ind w:left="0" w:right="630"/>
        <w:rPr>
          <w:bCs/>
          <w:color w:val="000000" w:themeColor="text1"/>
        </w:rPr>
      </w:pPr>
      <w:r>
        <w:rPr>
          <w:bCs/>
          <w:color w:val="000000" w:themeColor="text1"/>
        </w:rPr>
        <w:t xml:space="preserve"> </w:t>
      </w:r>
    </w:p>
    <w:p w14:paraId="25A2F4A8" w14:textId="0FB5DFF7"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corrosivity, reactivity, and toxicity. Hazardous waste can also be “listed,” meaning the waste is specifically named in the regulations because it is generally known to be hazardous waste. </w:t>
      </w:r>
    </w:p>
    <w:p w14:paraId="3F73F45F" w14:textId="66BDE0B1" w:rsidR="000265AA" w:rsidRDefault="000265AA" w:rsidP="00C961E7">
      <w:pPr>
        <w:ind w:left="0" w:right="630"/>
        <w:rPr>
          <w:bCs/>
          <w:color w:val="000000" w:themeColor="text1"/>
        </w:rPr>
      </w:pPr>
    </w:p>
    <w:p w14:paraId="1D61D0DA" w14:textId="553C45A5" w:rsidR="000265AA" w:rsidRDefault="00283E86" w:rsidP="00C961E7">
      <w:pPr>
        <w:ind w:left="0" w:right="630"/>
        <w:rPr>
          <w:bCs/>
          <w:color w:val="000000" w:themeColor="text1"/>
        </w:rPr>
      </w:pPr>
      <w:r>
        <w:rPr>
          <w:bCs/>
          <w:color w:val="000000" w:themeColor="text1"/>
        </w:rPr>
        <w:t xml:space="preserve">Not all facilities that perform electroplating use the same manufacturing processes and facilities in Oregon </w:t>
      </w:r>
      <w:r w:rsidR="00E62A31">
        <w:rPr>
          <w:bCs/>
          <w:color w:val="000000" w:themeColor="text1"/>
        </w:rPr>
        <w:t xml:space="preserve">that produce listed hazardous waste have the opportunity to petition DEQ to exclude, or “delist” their waste. </w:t>
      </w:r>
      <w:r w:rsidR="000265AA">
        <w:rPr>
          <w:bCs/>
          <w:color w:val="000000" w:themeColor="text1"/>
        </w:rPr>
        <w:t xml:space="preserve">They do this by demonstrating the waste can be safely managed in a permitted, non-hazardous waste landfill. </w:t>
      </w:r>
    </w:p>
    <w:p w14:paraId="54D4BD66" w14:textId="65929180" w:rsidR="00283E86" w:rsidRDefault="00283E86" w:rsidP="00C961E7">
      <w:pPr>
        <w:ind w:left="0" w:right="630"/>
        <w:rPr>
          <w:bCs/>
          <w:color w:val="000000" w:themeColor="text1"/>
        </w:rPr>
      </w:pPr>
    </w:p>
    <w:p w14:paraId="42E4D21D" w14:textId="56554DED" w:rsidR="00283E86" w:rsidRDefault="00283E86" w:rsidP="00C961E7">
      <w:pPr>
        <w:ind w:left="0" w:right="630"/>
        <w:rPr>
          <w:bCs/>
          <w:color w:val="000000" w:themeColor="text1"/>
        </w:rPr>
      </w:pPr>
      <w:r>
        <w:rPr>
          <w:bCs/>
          <w:color w:val="000000" w:themeColor="text1"/>
        </w:rPr>
        <w:t xml:space="preserve">Prior to sample and analysis, Pacific Cast Technologies, Inc. consulted with DEQ to review the materials that are currently used in all stages of the facility’s chemical etching and milling process. </w:t>
      </w:r>
    </w:p>
    <w:p w14:paraId="219B5F7B" w14:textId="4B593744" w:rsidR="009F0AE5" w:rsidRDefault="009F0AE5" w:rsidP="00C961E7">
      <w:pPr>
        <w:ind w:left="0" w:right="630"/>
        <w:rPr>
          <w:bCs/>
          <w:color w:val="000000" w:themeColor="text1"/>
        </w:rPr>
      </w:pPr>
    </w:p>
    <w:p w14:paraId="38AA1534" w14:textId="6B2E0EF6" w:rsidR="009F0AE5" w:rsidRDefault="009F0AE5" w:rsidP="00C961E7">
      <w:pPr>
        <w:ind w:left="0" w:right="630"/>
        <w:rPr>
          <w:bCs/>
          <w:color w:val="000000" w:themeColor="text1"/>
        </w:rPr>
      </w:pPr>
      <w:r>
        <w:rPr>
          <w:bCs/>
          <w:color w:val="000000" w:themeColor="text1"/>
        </w:rPr>
        <w:t>….</w:t>
      </w:r>
      <w:bookmarkStart w:id="14" w:name="_GoBack"/>
      <w:bookmarkEnd w:id="14"/>
    </w:p>
    <w:p w14:paraId="3389AFDB" w14:textId="56E84345"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lastRenderedPageBreak/>
        <w:t>Response</w:t>
      </w:r>
    </w:p>
    <w:p w14:paraId="6046AFB7" w14:textId="77777777"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14:paraId="6E711483" w14:textId="25B5BA39" w:rsidR="009F0AE5" w:rsidRDefault="009F0AE5" w:rsidP="009F0AE5">
      <w:pPr>
        <w:pStyle w:val="ListParagraph"/>
        <w:tabs>
          <w:tab w:val="left" w:pos="1080"/>
        </w:tabs>
        <w:ind w:left="0" w:right="634"/>
        <w:contextualSpacing w:val="0"/>
        <w:rPr>
          <w:b/>
          <w:bCs/>
        </w:rPr>
      </w:pPr>
      <w:r>
        <w:rPr>
          <w:b/>
          <w:bCs/>
        </w:rPr>
        <w:t>Comment 4</w:t>
      </w:r>
      <w:r>
        <w:rPr>
          <w:b/>
          <w:bCs/>
        </w:rPr>
        <w:t xml:space="preserve"> – </w:t>
      </w:r>
      <w:r>
        <w:rPr>
          <w:b/>
          <w:bCs/>
        </w:rPr>
        <w:t>AK Davis</w:t>
      </w:r>
    </w:p>
    <w:p w14:paraId="47B5E9CF" w14:textId="45104D7C" w:rsidR="009F0AE5" w:rsidRDefault="009F0AE5" w:rsidP="009F0AE5">
      <w:pPr>
        <w:pStyle w:val="ListParagraph"/>
        <w:tabs>
          <w:tab w:val="left" w:pos="1080"/>
        </w:tabs>
        <w:ind w:left="0" w:right="634"/>
        <w:contextualSpacing w:val="0"/>
        <w:rPr>
          <w:bCs/>
        </w:rPr>
      </w:pPr>
      <w:r>
        <w:rPr>
          <w:bCs/>
        </w:rPr>
        <w:t>Does this pertain to all wastewater treatment sewage sludge, also known as treated sewage sludge, or biosolids?</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4CF8D7A1" w14:textId="77777777" w:rsidR="00C961E7" w:rsidRPr="001404B0" w:rsidRDefault="00C961E7" w:rsidP="009F0AE5">
      <w:pPr>
        <w:ind w:left="0"/>
        <w:rPr>
          <w:color w:val="32525C"/>
        </w:rPr>
      </w:pPr>
      <w:r w:rsidRPr="001404B0">
        <w:rPr>
          <w:color w:val="32525C"/>
        </w:rPr>
        <w:t>  </w:t>
      </w: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lastRenderedPageBreak/>
              <w:br w:type="page"/>
            </w:r>
            <w:bookmarkStart w:id="15" w:name="_Toc490121555"/>
            <w:r w:rsidRPr="00A6210C">
              <w:rPr>
                <w:rFonts w:ascii="Arial" w:hAnsi="Arial" w:cs="Arial"/>
                <w:b/>
                <w:sz w:val="36"/>
                <w:szCs w:val="36"/>
              </w:rPr>
              <w:t>Implementation</w:t>
            </w:r>
            <w:bookmarkEnd w:id="15"/>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26342EDE" w14:textId="77777777" w:rsidR="00C961E7" w:rsidRPr="001404B0" w:rsidRDefault="00C961E7" w:rsidP="00C961E7">
      <w:pPr>
        <w:ind w:left="0" w:right="1008"/>
        <w:rPr>
          <w:color w:val="000000" w:themeColor="text1"/>
        </w:rPr>
      </w:pPr>
      <w:r w:rsidRPr="001404B0">
        <w:rPr>
          <w:color w:val="000000" w:themeColor="text1"/>
        </w:rPr>
        <w:t xml:space="preserve">The proposed rules would become effective upon filing on approximately DATE </w:t>
      </w:r>
      <w:r w:rsidRPr="001404B0">
        <w:rPr>
          <w:rStyle w:val="Emphasis"/>
          <w:vanish w:val="0"/>
          <w:color w:val="000000" w:themeColor="text1"/>
          <w:sz w:val="24"/>
        </w:rPr>
        <w:t>mmm, dd, yyyy</w:t>
      </w:r>
      <w:r w:rsidRPr="001404B0">
        <w:rPr>
          <w:color w:val="000000" w:themeColor="text1"/>
        </w:rPr>
        <w:t>. DEQ would notify affected parties by:</w:t>
      </w:r>
    </w:p>
    <w:p w14:paraId="3AF6B1A5" w14:textId="77777777" w:rsidR="00C961E7" w:rsidRPr="001404B0" w:rsidRDefault="00C961E7" w:rsidP="00C961E7">
      <w:pPr>
        <w:ind w:left="0" w:right="1008"/>
        <w:rPr>
          <w:color w:val="000000" w:themeColor="text1"/>
        </w:rPr>
      </w:pPr>
      <w:r w:rsidRPr="001404B0">
        <w:rPr>
          <w:rStyle w:val="Emphasis"/>
          <w:vanish w:val="0"/>
          <w:color w:val="000000" w:themeColor="text1"/>
          <w:sz w:val="24"/>
        </w:rPr>
        <w:t>Describe Notification (PARTIES AND METHOD USED TO PROVIDE NOTICE)</w:t>
      </w:r>
    </w:p>
    <w:p w14:paraId="2509ED38" w14:textId="77777777" w:rsidR="00C961E7" w:rsidRPr="001404B0" w:rsidRDefault="00C961E7" w:rsidP="00C961E7">
      <w:pPr>
        <w:spacing w:after="120"/>
        <w:ind w:left="0" w:right="1008"/>
        <w:rPr>
          <w:bCs/>
          <w:color w:val="000000" w:themeColor="text1"/>
        </w:rPr>
      </w:pPr>
    </w:p>
    <w:p w14:paraId="08DE54D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Compliance and enforcement</w:t>
      </w:r>
    </w:p>
    <w:p w14:paraId="546A5BC1"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-Text</w:t>
      </w:r>
    </w:p>
    <w:p w14:paraId="0F4EE12B"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6020F13B" w14:textId="77777777" w:rsidR="00C961E7" w:rsidRPr="001404B0" w:rsidRDefault="00C961E7" w:rsidP="00C961E7">
      <w:pPr>
        <w:spacing w:after="120"/>
        <w:ind w:left="0" w:right="1008"/>
        <w:rPr>
          <w:bCs/>
          <w:color w:val="000000" w:themeColor="text1"/>
        </w:rPr>
      </w:pPr>
    </w:p>
    <w:p w14:paraId="6AD350A1"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Measuring, sampling, monitoring and reporting</w:t>
      </w:r>
    </w:p>
    <w:p w14:paraId="47C9156B"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14:paraId="08477720"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38B1C484" w14:textId="77777777" w:rsidR="00C961E7" w:rsidRPr="001404B0" w:rsidRDefault="00C961E7" w:rsidP="00C961E7">
      <w:pPr>
        <w:ind w:left="0" w:right="1008"/>
        <w:rPr>
          <w:color w:val="000000" w:themeColor="text1"/>
        </w:rPr>
      </w:pPr>
    </w:p>
    <w:p w14:paraId="16CCD725"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lastRenderedPageBreak/>
        <w:t>Systems</w:t>
      </w:r>
    </w:p>
    <w:p w14:paraId="4B665C17"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Website - Text</w:t>
      </w:r>
    </w:p>
    <w:p w14:paraId="30E7BA4B"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Database - Text</w:t>
      </w:r>
    </w:p>
    <w:p w14:paraId="44E2A437"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Invoicing - Text</w:t>
      </w:r>
    </w:p>
    <w:p w14:paraId="45C2AB12" w14:textId="77777777" w:rsidR="00C961E7" w:rsidRPr="001404B0" w:rsidRDefault="00C961E7" w:rsidP="00C961E7">
      <w:pPr>
        <w:ind w:left="86" w:right="1008"/>
        <w:rPr>
          <w:color w:val="000000" w:themeColor="text1"/>
        </w:rPr>
      </w:pPr>
    </w:p>
    <w:p w14:paraId="5829AA41" w14:textId="77777777" w:rsidR="00C961E7" w:rsidRPr="001404B0" w:rsidRDefault="00C961E7" w:rsidP="00C961E7">
      <w:pPr>
        <w:spacing w:after="120"/>
        <w:ind w:left="0" w:right="1008"/>
        <w:rPr>
          <w:b/>
          <w:bCs/>
          <w:color w:val="000000" w:themeColor="text1"/>
        </w:rPr>
      </w:pPr>
      <w:r w:rsidRPr="001404B0">
        <w:rPr>
          <w:b/>
          <w:bCs/>
          <w:color w:val="000000" w:themeColor="text1"/>
        </w:rPr>
        <w:t>Training</w:t>
      </w:r>
    </w:p>
    <w:p w14:paraId="51755BD9"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Affected parties - Text</w:t>
      </w:r>
    </w:p>
    <w:p w14:paraId="1E5184AD" w14:textId="77777777" w:rsidR="00C961E7" w:rsidRPr="001404B0" w:rsidRDefault="00C961E7" w:rsidP="00C961E7">
      <w:pPr>
        <w:pStyle w:val="ListParagraph"/>
        <w:numPr>
          <w:ilvl w:val="0"/>
          <w:numId w:val="27"/>
        </w:numPr>
        <w:spacing w:after="120"/>
        <w:ind w:left="360" w:right="1008"/>
        <w:contextualSpacing w:val="0"/>
        <w:rPr>
          <w:color w:val="000000" w:themeColor="text1"/>
        </w:rPr>
      </w:pPr>
      <w:r w:rsidRPr="001404B0">
        <w:rPr>
          <w:color w:val="000000" w:themeColor="text1"/>
        </w:rPr>
        <w:t>DEQ staff - Text</w:t>
      </w:r>
    </w:p>
    <w:p w14:paraId="385BA974"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16" w:name="_Toc490121556"/>
            <w:r w:rsidRPr="001404B0">
              <w:lastRenderedPageBreak/>
              <w:t>Five-year review</w:t>
            </w:r>
            <w:bookmarkEnd w:id="16"/>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696120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263DC639" w14:textId="77777777" w:rsidR="00C961E7" w:rsidRPr="001404B0" w:rsidRDefault="00C961E7" w:rsidP="00C961E7">
      <w:pPr>
        <w:ind w:left="0"/>
      </w:pPr>
    </w:p>
    <w:p w14:paraId="2AEA36F9"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764BC61F" w14:textId="77777777" w:rsidR="00C961E7" w:rsidRPr="001404B0" w:rsidRDefault="00C961E7" w:rsidP="00C961E7">
      <w:pPr>
        <w:ind w:left="0"/>
      </w:pPr>
    </w:p>
    <w:p w14:paraId="53FC8108"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18EEEDCB" w14:textId="77777777" w:rsidR="00C961E7" w:rsidRPr="001404B0" w:rsidRDefault="00C961E7" w:rsidP="00C961E7">
      <w:pPr>
        <w:autoSpaceDE w:val="0"/>
        <w:autoSpaceDN w:val="0"/>
        <w:adjustRightInd w:val="0"/>
        <w:ind w:left="0" w:right="1008"/>
      </w:pPr>
    </w:p>
    <w:p w14:paraId="21254F14"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2F576CF0" w14:textId="77777777" w:rsidR="00C961E7" w:rsidRPr="001404B0" w:rsidRDefault="00C961E7" w:rsidP="00C961E7">
      <w:pPr>
        <w:autoSpaceDE w:val="0"/>
        <w:autoSpaceDN w:val="0"/>
        <w:adjustRightInd w:val="0"/>
        <w:ind w:left="0" w:right="1008"/>
      </w:pPr>
    </w:p>
    <w:p w14:paraId="47FAEF48"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Amend or repeal an existing rule. ORS 183.405(4).</w:t>
      </w:r>
    </w:p>
    <w:p w14:paraId="00BA6A90"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a court order or a civil proceeding settlement. ORS 183.405(5)(a).</w:t>
      </w:r>
    </w:p>
    <w:p w14:paraId="0A96BBC8"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Adopt a federal law or rule by reference. ORS 183.405((5)(b).</w:t>
      </w:r>
    </w:p>
    <w:p w14:paraId="53AE943D"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Implement legislatively approved fee changes. ORS 183.405(5)(c).</w:t>
      </w:r>
    </w:p>
    <w:p w14:paraId="6B79D06C" w14:textId="77777777" w:rsidR="00C961E7" w:rsidRPr="001404B0" w:rsidRDefault="00C961E7" w:rsidP="00C961E7">
      <w:pPr>
        <w:pStyle w:val="ListParagraph"/>
        <w:numPr>
          <w:ilvl w:val="0"/>
          <w:numId w:val="30"/>
        </w:numPr>
        <w:autoSpaceDE w:val="0"/>
        <w:autoSpaceDN w:val="0"/>
        <w:adjustRightInd w:val="0"/>
        <w:spacing w:after="120"/>
        <w:ind w:left="720" w:right="1008"/>
        <w:outlineLvl w:val="9"/>
      </w:pPr>
      <w:r w:rsidRPr="001404B0">
        <w:t xml:space="preserve"> Correct errors or omissions in the existing rules. ORS 183.405(d).</w:t>
      </w:r>
    </w:p>
    <w:p w14:paraId="3B3DA2BD"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46990EE4"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78DD1FAF"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56157B21" w14:textId="77777777" w:rsidR="00C961E7" w:rsidRPr="001404B0" w:rsidRDefault="00C961E7" w:rsidP="00C961E7">
      <w:pPr>
        <w:pStyle w:val="ListParagraph"/>
        <w:autoSpaceDE w:val="0"/>
        <w:autoSpaceDN w:val="0"/>
        <w:adjustRightInd w:val="0"/>
        <w:ind w:left="0" w:right="1008"/>
        <w:rPr>
          <w:color w:val="7B7B7B" w:themeColor="accent3" w:themeShade="BF"/>
        </w:rPr>
      </w:pPr>
      <w:r w:rsidRPr="001404B0">
        <w:t xml:space="preserve">None of these proposed rules are exempt from the five-year review under ORS 183.405(4) and 183.405 (5) of the Administrative Procedures Act.  </w:t>
      </w:r>
    </w:p>
    <w:p w14:paraId="112172E3" w14:textId="77777777" w:rsidR="00C961E7" w:rsidRPr="001404B0" w:rsidRDefault="00C961E7" w:rsidP="00C961E7">
      <w:pPr>
        <w:pStyle w:val="ListParagraph"/>
        <w:ind w:left="0"/>
        <w:rPr>
          <w:rStyle w:val="Emphasis"/>
          <w:vanish w:val="0"/>
          <w:color w:val="806000" w:themeColor="accent4" w:themeShade="80"/>
        </w:rPr>
      </w:pPr>
    </w:p>
    <w:p w14:paraId="4B413665"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1FD0A8EB"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22ED0C40"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7AFBB4A9"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rule has had the intended effect</w:t>
      </w:r>
    </w:p>
    <w:p w14:paraId="254EA731"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The anticipated fiscal impact of the rule was underestimated or overestimated</w:t>
      </w:r>
    </w:p>
    <w:p w14:paraId="5570B693"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t>Subsequent changes in the law require that the rule be repealed or amended</w:t>
      </w:r>
    </w:p>
    <w:p w14:paraId="601912F2" w14:textId="77777777" w:rsidR="00C961E7" w:rsidRPr="001404B0" w:rsidRDefault="00C961E7" w:rsidP="00C961E7">
      <w:pPr>
        <w:pStyle w:val="ListParagraph"/>
        <w:numPr>
          <w:ilvl w:val="0"/>
          <w:numId w:val="28"/>
        </w:numPr>
        <w:autoSpaceDE w:val="0"/>
        <w:autoSpaceDN w:val="0"/>
        <w:adjustRightInd w:val="0"/>
        <w:spacing w:after="120"/>
        <w:ind w:left="720" w:right="1008"/>
        <w:outlineLvl w:val="9"/>
      </w:pPr>
      <w:r w:rsidRPr="001404B0">
        <w:lastRenderedPageBreak/>
        <w:t>There is continued need for the rule.</w:t>
      </w:r>
    </w:p>
    <w:p w14:paraId="3CF8BD2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2D7E83CD"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17" w:name="_Toc490121557"/>
            <w:r w:rsidRPr="001404B0">
              <w:lastRenderedPageBreak/>
              <w:t>Draft Rules – With Edits Highlighted</w:t>
            </w:r>
            <w:bookmarkEnd w:id="17"/>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18" w:name="_Toc490121558"/>
            <w:r w:rsidRPr="001404B0">
              <w:lastRenderedPageBreak/>
              <w:t>Draft Rules – With Edits Included</w:t>
            </w:r>
            <w:bookmarkEnd w:id="18"/>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19" w:name="_Toc490121559"/>
            <w:r w:rsidRPr="001404B0">
              <w:lastRenderedPageBreak/>
              <w:t>Supporting Documents</w:t>
            </w:r>
            <w:bookmarkEnd w:id="19"/>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ileen Naples" w:date="2019-08-21T10:46:00Z" w:initials="EN">
    <w:p w14:paraId="7F18AAB2" w14:textId="0F70A445" w:rsidR="00B80100" w:rsidRDefault="00B80100">
      <w:pPr>
        <w:pStyle w:val="CommentText"/>
      </w:pPr>
      <w:r>
        <w:rPr>
          <w:rStyle w:val="CommentReference"/>
        </w:rPr>
        <w:annotationRef/>
      </w:r>
      <w:r>
        <w:t xml:space="preserve">Public content notice edited to reflect sale following the July 15 notice of proposed rulemaking. See this section and other copied sections. </w:t>
      </w:r>
    </w:p>
  </w:comment>
  <w:comment w:id="2" w:author="Eileen Naples" w:date="2019-08-21T10:43:00Z" w:initials="EN">
    <w:p w14:paraId="63C073AA" w14:textId="69D6D9D5" w:rsidR="00B80100" w:rsidRDefault="00B80100">
      <w:pPr>
        <w:pStyle w:val="CommentText"/>
      </w:pPr>
      <w:r>
        <w:rPr>
          <w:rStyle w:val="CommentReference"/>
        </w:rPr>
        <w:annotationRef/>
      </w:r>
      <w:r>
        <w:t xml:space="preserve">See similar sentence three paragraphs down from here. This seemed duplicative to me, so I removed it from this paragraph. </w:t>
      </w:r>
    </w:p>
  </w:comment>
  <w:comment w:id="4" w:author="Eileen Naples" w:date="2019-08-21T10:48:00Z" w:initials="EN">
    <w:p w14:paraId="12DBCD40" w14:textId="39B15283" w:rsidR="00B80100" w:rsidRDefault="00B80100">
      <w:pPr>
        <w:pStyle w:val="CommentText"/>
      </w:pPr>
      <w:r>
        <w:rPr>
          <w:rStyle w:val="CommentReference"/>
        </w:rPr>
        <w:annotationRef/>
      </w:r>
      <w:r>
        <w:t xml:space="preserve">Meyer, can you insert the horizontal page with Table 1 – Chem Mill Wastewater Sludge Sampling Laboratory Analytical Results F006 Delisting Petition </w:t>
      </w:r>
      <w:r w:rsidRPr="009E0265">
        <w:rPr>
          <w:b/>
          <w:color w:val="FF0000"/>
          <w:lang w:val="en-ZW"/>
        </w:rPr>
        <w:t>Consolidated Precision Products Corps. (CPP), doing business as Pacific Cast Technologies, Inc.</w:t>
      </w:r>
      <w:r>
        <w:rPr>
          <w:b/>
          <w:color w:val="FF0000"/>
          <w:lang w:val="en-ZW"/>
        </w:rPr>
        <w:t xml:space="preserve"> Albany, Oregon?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8AAB2" w15:done="0"/>
  <w15:commentEx w15:paraId="63C073AA" w15:done="0"/>
  <w15:commentEx w15:paraId="12DBCD4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B80100" w:rsidRDefault="00B80100" w:rsidP="002D6C99">
      <w:r>
        <w:separator/>
      </w:r>
    </w:p>
  </w:endnote>
  <w:endnote w:type="continuationSeparator" w:id="0">
    <w:p w14:paraId="011A8916" w14:textId="77777777" w:rsidR="00B80100" w:rsidRDefault="00B8010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B80100" w:rsidRDefault="00B80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42FA569E" w:rsidR="00B80100" w:rsidRPr="002B4E71" w:rsidRDefault="00B80100" w:rsidP="00C62D5E">
        <w:pPr>
          <w:pStyle w:val="Footer"/>
          <w:jc w:val="right"/>
        </w:pPr>
        <w:r>
          <w:fldChar w:fldCharType="begin"/>
        </w:r>
        <w:r>
          <w:instrText xml:space="preserve"> PAGE   \* MERGEFORMAT </w:instrText>
        </w:r>
        <w:r>
          <w:fldChar w:fldCharType="separate"/>
        </w:r>
        <w:r w:rsidR="009F0AE5">
          <w:rPr>
            <w:noProof/>
          </w:rPr>
          <w:t>27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B80100" w:rsidRDefault="00B80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B80100" w:rsidRDefault="00B80100" w:rsidP="002D6C99">
      <w:r>
        <w:separator/>
      </w:r>
    </w:p>
  </w:footnote>
  <w:footnote w:type="continuationSeparator" w:id="0">
    <w:p w14:paraId="42BBBD65" w14:textId="77777777" w:rsidR="00B80100" w:rsidRDefault="00B80100"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B80100" w:rsidRDefault="00B80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B80100" w:rsidRDefault="00B80100"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B80100" w:rsidRDefault="00B80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5"/>
  </w:num>
  <w:num w:numId="31">
    <w:abstractNumId w:val="21"/>
  </w:num>
  <w:num w:numId="32">
    <w:abstractNumId w:val="17"/>
  </w:num>
  <w:num w:numId="33">
    <w:abstractNumId w:val="14"/>
  </w:num>
  <w:num w:numId="34">
    <w:abstractNumId w:val="36"/>
  </w:num>
  <w:num w:numId="35">
    <w:abstractNumId w:val="20"/>
  </w:num>
  <w:num w:numId="36">
    <w:abstractNumId w:val="26"/>
  </w:num>
  <w:num w:numId="37">
    <w:abstractNumId w:val="34"/>
  </w:num>
  <w:num w:numId="38">
    <w:abstractNumId w:val="25"/>
  </w:num>
  <w:num w:numId="39">
    <w:abstractNumId w:val="27"/>
  </w:num>
  <w:num w:numId="40">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4A3C"/>
    <w:rsid w:val="00314FCB"/>
    <w:rsid w:val="00322A9E"/>
    <w:rsid w:val="00322D30"/>
    <w:rsid w:val="003232A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26A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89A"/>
    <w:rsid w:val="00A95932"/>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5E99"/>
    <w:rsid w:val="00B4779D"/>
    <w:rsid w:val="00B51723"/>
    <w:rsid w:val="00B52430"/>
    <w:rsid w:val="00B54125"/>
    <w:rsid w:val="00B60B1B"/>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pa.gov/hw/hazardous-waste-delisting-risk-assessment-software-dras"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oregon.gov/deq/Regulations/rulemaking/Pages/Rati2019.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ListId:doc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6E93C7F3-7419-4AF3-B94D-577A4EEF4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28</Pages>
  <Words>4477</Words>
  <Characters>25524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Eileen Naples</cp:lastModifiedBy>
  <cp:revision>73</cp:revision>
  <cp:lastPrinted>2013-02-28T21:12:00Z</cp:lastPrinted>
  <dcterms:created xsi:type="dcterms:W3CDTF">2017-05-09T17:00:00Z</dcterms:created>
  <dcterms:modified xsi:type="dcterms:W3CDTF">2019-08-21T23:29:00Z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