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rsidR="00B845D8" w:rsidRPr="003C26EE" w:rsidRDefault="00B845D8" w:rsidP="00B845D8"/>
    <w:p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rsidTr="001274E4">
        <w:trPr>
          <w:trHeight w:val="356"/>
        </w:trPr>
        <w:tc>
          <w:tcPr>
            <w:tcW w:w="9330" w:type="dxa"/>
            <w:gridSpan w:val="5"/>
            <w:vAlign w:val="center"/>
          </w:tcPr>
          <w:p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rsidTr="001274E4">
        <w:trPr>
          <w:trHeight w:val="356"/>
        </w:trPr>
        <w:tc>
          <w:tcPr>
            <w:tcW w:w="1854"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rsidTr="001274E4">
        <w:trPr>
          <w:trHeight w:val="356"/>
        </w:trPr>
        <w:tc>
          <w:tcPr>
            <w:tcW w:w="1854" w:type="dxa"/>
          </w:tcPr>
          <w:p w:rsidR="00B845D8" w:rsidRPr="003C26EE" w:rsidRDefault="00B845D8" w:rsidP="001274E4">
            <w:r w:rsidRPr="003C26EE">
              <w:t>Program Mgr.</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DA</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Communications</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r w:rsidR="00B845D8" w:rsidRPr="003C26EE" w:rsidTr="001274E4">
        <w:trPr>
          <w:trHeight w:val="356"/>
        </w:trPr>
        <w:tc>
          <w:tcPr>
            <w:tcW w:w="1854" w:type="dxa"/>
          </w:tcPr>
          <w:p w:rsidR="00B845D8" w:rsidRPr="003C26EE" w:rsidRDefault="00B845D8" w:rsidP="001274E4">
            <w:r w:rsidRPr="003C26EE">
              <w:t>ARC or AQRC</w:t>
            </w:r>
          </w:p>
        </w:tc>
        <w:tc>
          <w:tcPr>
            <w:tcW w:w="3351"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c>
          <w:tcPr>
            <w:tcW w:w="1375" w:type="dxa"/>
            <w:vAlign w:val="center"/>
          </w:tcPr>
          <w:p w:rsidR="00B845D8" w:rsidRPr="003C26EE" w:rsidRDefault="00B845D8" w:rsidP="001274E4"/>
        </w:tc>
      </w:tr>
    </w:tbl>
    <w:p w:rsidR="00B845D8" w:rsidRPr="003C26EE" w:rsidRDefault="00B845D8" w:rsidP="00B845D8"/>
    <w:p w:rsidR="00B845D8" w:rsidRPr="00A112DA" w:rsidRDefault="00B845D8" w:rsidP="00A83AA3">
      <w:pPr>
        <w:pStyle w:val="instructions"/>
      </w:pPr>
      <w:r w:rsidRPr="00A112DA">
        <w:t>Instructions for this form are in gold font</w:t>
      </w:r>
      <w:r w:rsidR="002F2F6F" w:rsidRPr="00A112DA">
        <w:t>.</w:t>
      </w:r>
    </w:p>
    <w:p w:rsidR="002F2F6F" w:rsidRPr="00A112DA" w:rsidRDefault="002F2F6F" w:rsidP="00A83AA3">
      <w:pPr>
        <w:pStyle w:val="instructions"/>
      </w:pPr>
    </w:p>
    <w:p w:rsidR="00B845D8" w:rsidRPr="00A112DA" w:rsidRDefault="00B845D8" w:rsidP="00A83AA3">
      <w:pPr>
        <w:pStyle w:val="instructions"/>
      </w:pPr>
      <w:r w:rsidRPr="00A112DA">
        <w:t>Delete all gold text before publishing document</w:t>
      </w:r>
      <w:r w:rsidR="002F2F6F" w:rsidRPr="00A112DA">
        <w:t>.</w:t>
      </w:r>
    </w:p>
    <w:p w:rsidR="002F2F6F" w:rsidRPr="00A112DA" w:rsidRDefault="002F2F6F" w:rsidP="00A83AA3">
      <w:pPr>
        <w:pStyle w:val="instructions"/>
      </w:pPr>
    </w:p>
    <w:p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rsidR="00B845D8" w:rsidRPr="003C26EE"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p>
    <w:p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rsidR="00B845D8" w:rsidRPr="00050B27" w:rsidRDefault="00B845D8" w:rsidP="001274E4">
            <w:pPr>
              <w:jc w:val="center"/>
              <w:rPr>
                <w:rFonts w:ascii="Arial" w:hAnsi="Arial" w:cs="Arial"/>
              </w:rPr>
            </w:pPr>
          </w:p>
          <w:p w:rsidR="00B845D8" w:rsidRPr="00762E9F" w:rsidRDefault="00B845D8" w:rsidP="001274E4">
            <w:pPr>
              <w:jc w:val="center"/>
              <w:rPr>
                <w:rFonts w:ascii="Arial" w:hAnsi="Arial" w:cs="Arial"/>
              </w:rPr>
            </w:pPr>
            <w:r w:rsidRPr="00762E9F">
              <w:rPr>
                <w:rFonts w:ascii="Arial" w:hAnsi="Arial" w:cs="Arial"/>
              </w:rPr>
              <w:t>-use only solid line borders</w:t>
            </w:r>
          </w:p>
          <w:p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rsidR="00B845D8" w:rsidRPr="003C26EE" w:rsidRDefault="00B845D8" w:rsidP="001274E4">
            <w:r w:rsidRPr="003C26EE">
              <w:t>Data (Times New Roman 12)</w:t>
            </w:r>
          </w:p>
        </w:tc>
      </w:tr>
      <w:tr w:rsidR="00B845D8" w:rsidRPr="003C26EE"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rsidR="00B845D8" w:rsidRPr="003C26EE" w:rsidRDefault="00B845D8" w:rsidP="001274E4">
            <w:r w:rsidRPr="003C26EE">
              <w:t>Data (Times New Roman 12)</w:t>
            </w:r>
          </w:p>
        </w:tc>
      </w:tr>
      <w:tr w:rsidR="00B845D8" w:rsidRPr="003C26EE"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rsidR="00B845D8" w:rsidRPr="003C26EE" w:rsidRDefault="00B845D8" w:rsidP="001274E4"/>
        </w:tc>
      </w:tr>
      <w:tr w:rsidR="00B845D8" w:rsidRPr="003C26EE"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rsidR="00B845D8" w:rsidRPr="003C26EE" w:rsidRDefault="00B845D8" w:rsidP="001274E4"/>
        </w:tc>
      </w:tr>
    </w:tbl>
    <w:p w:rsidR="00B845D8" w:rsidRDefault="00B845D8" w:rsidP="00B845D8">
      <w:pPr>
        <w:rPr>
          <w:rFonts w:ascii="Arial" w:hAnsi="Arial" w:cs="Arial"/>
        </w:rPr>
      </w:pPr>
    </w:p>
    <w:p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rsidTr="001274E4">
        <w:trPr>
          <w:trHeight w:val="270"/>
        </w:trPr>
        <w:tc>
          <w:tcPr>
            <w:tcW w:w="1146" w:type="dxa"/>
            <w:vMerge w:val="restart"/>
          </w:tcPr>
          <w:p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rsidTr="001274E4">
        <w:tc>
          <w:tcPr>
            <w:tcW w:w="1146" w:type="dxa"/>
            <w:vMerge/>
          </w:tcPr>
          <w:p w:rsidR="00B845D8" w:rsidRPr="00C242A0" w:rsidRDefault="00B845D8" w:rsidP="001274E4">
            <w:pPr>
              <w:rPr>
                <w:rFonts w:ascii="Arial" w:hAnsi="Arial" w:cs="Arial"/>
              </w:rPr>
            </w:pPr>
          </w:p>
        </w:tc>
        <w:tc>
          <w:tcPr>
            <w:tcW w:w="8214" w:type="dxa"/>
          </w:tcPr>
          <w:p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rsidR="00B845D8" w:rsidRPr="00A83AA3" w:rsidRDefault="00B845D8" w:rsidP="00A83AA3">
            <w:pPr>
              <w:rPr>
                <w:rFonts w:ascii="Arial" w:hAnsi="Arial" w:cs="Arial"/>
                <w:b/>
                <w:sz w:val="28"/>
                <w:szCs w:val="28"/>
              </w:rPr>
            </w:pPr>
            <w:r w:rsidRPr="00A83AA3">
              <w:rPr>
                <w:rFonts w:ascii="Arial" w:hAnsi="Arial" w:cs="Arial"/>
                <w:b/>
                <w:color w:val="C45911" w:themeColor="accent2" w:themeShade="BF"/>
                <w:sz w:val="28"/>
                <w:szCs w:val="28"/>
              </w:rPr>
              <w:t>Rulemaking Name</w:t>
            </w:r>
          </w:p>
        </w:tc>
      </w:tr>
      <w:tr w:rsidR="00B845D8" w:rsidTr="001274E4">
        <w:tc>
          <w:tcPr>
            <w:tcW w:w="1146" w:type="dxa"/>
            <w:vMerge/>
          </w:tcPr>
          <w:p w:rsidR="00B845D8" w:rsidRPr="00C242A0" w:rsidRDefault="00B845D8" w:rsidP="001274E4">
            <w:pPr>
              <w:rPr>
                <w:rFonts w:ascii="Arial" w:hAnsi="Arial" w:cs="Arial"/>
              </w:rPr>
            </w:pPr>
          </w:p>
        </w:tc>
        <w:tc>
          <w:tcPr>
            <w:tcW w:w="8214" w:type="dxa"/>
          </w:tcPr>
          <w:p w:rsidR="00B845D8" w:rsidRPr="00C242A0" w:rsidRDefault="00B845D8" w:rsidP="001274E4">
            <w:pPr>
              <w:rPr>
                <w:rFonts w:ascii="Arial" w:hAnsi="Arial" w:cs="Arial"/>
              </w:rPr>
            </w:pPr>
          </w:p>
        </w:tc>
      </w:tr>
    </w:tbl>
    <w:p w:rsidR="00B845D8" w:rsidRDefault="00B845D8" w:rsidP="00B845D8">
      <w:pPr>
        <w:rPr>
          <w:rFonts w:ascii="Arial" w:hAnsi="Arial" w:cs="Arial"/>
          <w:b/>
          <w:sz w:val="32"/>
          <w:szCs w:val="32"/>
        </w:rPr>
      </w:pPr>
      <w:r w:rsidRPr="002853BB">
        <w:rPr>
          <w:rFonts w:ascii="Arial" w:hAnsi="Arial" w:cs="Arial"/>
          <w:b/>
          <w:sz w:val="32"/>
          <w:szCs w:val="32"/>
        </w:rPr>
        <w:t>Table of Contents</w:t>
      </w:r>
    </w:p>
    <w:p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rsidR="00295FCD" w:rsidRDefault="00380032">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rsidR="002F2F6F" w:rsidRPr="00A83AA3" w:rsidRDefault="002F2F6F" w:rsidP="00A83AA3">
      <w:pPr>
        <w:pStyle w:val="instructions"/>
      </w:pPr>
      <w:r w:rsidRPr="00A83AA3">
        <w:t>Choose one and delete the others, or draft your own recommendation based on these examples.</w:t>
      </w:r>
    </w:p>
    <w:p w:rsidR="002F2F6F" w:rsidRDefault="002F2F6F" w:rsidP="00A83AA3">
      <w:pPr>
        <w:pStyle w:val="instructions"/>
      </w:pPr>
    </w:p>
    <w:p w:rsidR="002F2F6F" w:rsidRPr="001404B0" w:rsidRDefault="002F2F6F" w:rsidP="002F2F6F">
      <w:r w:rsidRPr="001404B0">
        <w:t>DEQ recommends that the Environmental Quality Commission adopt the proposed rules in Attachment A as part of Chapter 340 of the Oregon Administrative Rules.</w:t>
      </w:r>
    </w:p>
    <w:p w:rsidR="002F2F6F" w:rsidRDefault="002F2F6F" w:rsidP="002F2F6F"/>
    <w:p w:rsidR="002F2F6F" w:rsidRDefault="002F2F6F" w:rsidP="00A83AA3">
      <w:pPr>
        <w:pStyle w:val="instructions"/>
      </w:pPr>
      <w:r>
        <w:t>You must include this exact language for SIP rulemakings.</w:t>
      </w:r>
    </w:p>
    <w:p w:rsidR="002F2F6F" w:rsidRDefault="002F2F6F" w:rsidP="00A83AA3">
      <w:pPr>
        <w:pStyle w:val="instructions"/>
      </w:pPr>
    </w:p>
    <w:p w:rsidR="002F2F6F" w:rsidRPr="001404B0" w:rsidRDefault="002F2F6F" w:rsidP="002F2F6F">
      <w:r w:rsidRPr="001404B0">
        <w:t>DEQ recommends that the Environmental Quality Commission:</w:t>
      </w:r>
    </w:p>
    <w:p w:rsidR="002F2F6F" w:rsidRPr="001404B0" w:rsidRDefault="002F2F6F" w:rsidP="002F2F6F">
      <w:r w:rsidRPr="001404B0">
        <w:t>Adopt the proposed rules in Attachment A as part of chapter 340 of the Oregon Administrative Rules; and</w:t>
      </w:r>
    </w:p>
    <w:p w:rsidR="002F2F6F" w:rsidRPr="001404B0" w:rsidRDefault="002F2F6F" w:rsidP="002F2F6F">
      <w:pPr>
        <w:rPr>
          <w:b/>
        </w:rPr>
      </w:pPr>
    </w:p>
    <w:p w:rsidR="002F2F6F" w:rsidRPr="001404B0" w:rsidRDefault="002F2F6F" w:rsidP="002F2F6F">
      <w:r w:rsidRPr="001404B0">
        <w:t>Approve incorporating these rule amendments into the Oregon Clean Air Act State Implementation Plan under OAR 340-200-0040; and</w:t>
      </w:r>
    </w:p>
    <w:p w:rsidR="002F2F6F" w:rsidRPr="001404B0" w:rsidRDefault="002F2F6F" w:rsidP="002F2F6F">
      <w:pPr>
        <w:rPr>
          <w:b/>
        </w:rPr>
      </w:pPr>
    </w:p>
    <w:p w:rsidR="002F2F6F" w:rsidRDefault="002F2F6F" w:rsidP="002F2F6F">
      <w:r w:rsidRPr="001404B0">
        <w:t>Direct DEQ to submit the SIP revision to the U.S. Environmental Protection Agency for approval.</w:t>
      </w:r>
    </w:p>
    <w:p w:rsidR="002F2F6F" w:rsidRDefault="002F2F6F" w:rsidP="002F2F6F">
      <w:r>
        <w:br w:type="page"/>
      </w:r>
    </w:p>
    <w:p w:rsidR="002F2F6F" w:rsidRPr="003C26EE" w:rsidRDefault="002F2F6F" w:rsidP="002F2F6F">
      <w:pPr>
        <w:pStyle w:val="Heading1"/>
      </w:pPr>
      <w:bookmarkStart w:id="3" w:name="_Toc3988345"/>
      <w:bookmarkStart w:id="4" w:name="_Toc4051277"/>
      <w:r>
        <w:lastRenderedPageBreak/>
        <w:t>Introduction</w:t>
      </w:r>
      <w:bookmarkEnd w:id="3"/>
      <w:bookmarkEnd w:id="4"/>
    </w:p>
    <w:p w:rsidR="002F2F6F" w:rsidRDefault="002F2F6F" w:rsidP="00A83AA3">
      <w:pPr>
        <w:pStyle w:val="instructions"/>
      </w:pPr>
      <w:r>
        <w:t>Copy and paste from Notice of Rulemaking.</w:t>
      </w:r>
    </w:p>
    <w:p w:rsidR="002F2F6F" w:rsidRPr="003C26EE" w:rsidRDefault="002F2F6F" w:rsidP="002F2F6F"/>
    <w:p w:rsidR="002F2F6F" w:rsidRDefault="002F2F6F" w:rsidP="002F2F6F">
      <w:r w:rsidRPr="001404B0">
        <w:rPr>
          <w:noProof/>
        </w:rPr>
        <mc:AlternateContent>
          <mc:Choice Requires="wps">
            <w:drawing>
              <wp:inline distT="0" distB="0" distL="0" distR="0" wp14:anchorId="55121776" wp14:editId="321AF577">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rsidR="002F2F6F" w:rsidRPr="003C26EE" w:rsidRDefault="002F2F6F" w:rsidP="002F2F6F">
      <w:pPr>
        <w:pStyle w:val="Heading1"/>
      </w:pPr>
      <w:bookmarkStart w:id="5" w:name="_Toc3988346"/>
      <w:bookmarkStart w:id="6" w:name="_Toc4051278"/>
      <w:r w:rsidRPr="003C26EE">
        <w:lastRenderedPageBreak/>
        <w:t>Optional Additional Topic</w:t>
      </w:r>
      <w:bookmarkEnd w:id="5"/>
      <w:bookmarkEnd w:id="6"/>
    </w:p>
    <w:p w:rsidR="002F2F6F" w:rsidRDefault="002F2F6F" w:rsidP="00A83AA3">
      <w:pPr>
        <w:pStyle w:val="instructions"/>
      </w:pPr>
      <w:r>
        <w:t>This section is optional. If not used, it should be deleted. This section is to include information you think is important that is not covered in another section.</w:t>
      </w:r>
    </w:p>
    <w:p w:rsidR="002F2F6F" w:rsidRPr="003C26EE" w:rsidRDefault="002F2F6F" w:rsidP="002F2F6F"/>
    <w:p w:rsidR="002F2F6F" w:rsidRDefault="002F2F6F" w:rsidP="002F2F6F">
      <w:pPr>
        <w:pStyle w:val="Heading2"/>
      </w:pPr>
      <w:r w:rsidRPr="001404B0">
        <w:rPr>
          <w:noProof/>
        </w:rPr>
        <mc:AlternateContent>
          <mc:Choice Requires="wps">
            <w:drawing>
              <wp:inline distT="0" distB="0" distL="0" distR="0" wp14:anchorId="4F47A9C6" wp14:editId="0B48FF14">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Pr>
        <w:pStyle w:val="Heading2"/>
      </w:pPr>
    </w:p>
    <w:p w:rsidR="002F2F6F" w:rsidRDefault="002F2F6F" w:rsidP="002F2F6F">
      <w:pPr>
        <w:pStyle w:val="Heading2"/>
      </w:pPr>
    </w:p>
    <w:p w:rsidR="002F2F6F" w:rsidRPr="003C26EE" w:rsidRDefault="002F2F6F" w:rsidP="002F2F6F">
      <w:pPr>
        <w:pStyle w:val="Heading2"/>
      </w:pPr>
      <w:r w:rsidRPr="003C26EE">
        <w:t xml:space="preserve">Enter freeform title here </w:t>
      </w:r>
    </w:p>
    <w:p w:rsidR="002F2F6F" w:rsidRPr="003C26EE" w:rsidRDefault="002F2F6F" w:rsidP="002F2F6F">
      <w:r w:rsidRPr="003C26EE">
        <w:t>TEXT</w:t>
      </w:r>
    </w:p>
    <w:p w:rsidR="002F2F6F" w:rsidRPr="003C26EE" w:rsidRDefault="002F2F6F" w:rsidP="002F2F6F"/>
    <w:p w:rsidR="002F2F6F" w:rsidRPr="003C26EE" w:rsidRDefault="002F2F6F" w:rsidP="002F2F6F">
      <w:pPr>
        <w:pStyle w:val="Heading2"/>
      </w:pPr>
      <w:r w:rsidRPr="003C26EE">
        <w:t xml:space="preserve">Enter freeform title here </w:t>
      </w:r>
    </w:p>
    <w:p w:rsidR="002F2F6F" w:rsidRDefault="002F2F6F" w:rsidP="002F2F6F">
      <w:r w:rsidRPr="003C26EE">
        <w:t>TEXT</w:t>
      </w:r>
    </w:p>
    <w:p w:rsidR="002F2F6F" w:rsidRPr="003C26EE" w:rsidRDefault="002F2F6F" w:rsidP="002F2F6F">
      <w:r w:rsidRPr="003C26EE">
        <w:br w:type="page"/>
      </w:r>
    </w:p>
    <w:p w:rsidR="002F2F6F" w:rsidRPr="003C26EE" w:rsidRDefault="002F2F6F" w:rsidP="002F2F6F">
      <w:pPr>
        <w:pStyle w:val="Heading1"/>
      </w:pPr>
      <w:bookmarkStart w:id="7" w:name="_Toc3988347"/>
      <w:bookmarkStart w:id="8" w:name="_Toc4051279"/>
      <w:r w:rsidRPr="003C26EE">
        <w:lastRenderedPageBreak/>
        <w:t>Statement of need</w:t>
      </w:r>
      <w:bookmarkEnd w:id="7"/>
      <w:bookmarkEnd w:id="8"/>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9" w:name="_Toc3988348"/>
      <w:bookmarkStart w:id="10" w:name="_Toc4051280"/>
      <w:r w:rsidRPr="003C26EE">
        <w:lastRenderedPageBreak/>
        <w:t>Rules affected, authorities, supporting documents</w:t>
      </w:r>
      <w:bookmarkEnd w:id="9"/>
      <w:bookmarkEnd w:id="10"/>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rsidR="002F2F6F" w:rsidRDefault="002F2F6F" w:rsidP="002F2F6F">
      <w:pPr>
        <w:rPr>
          <w:rStyle w:val="instructionsChar"/>
        </w:rPr>
      </w:pPr>
      <w:r>
        <w:rPr>
          <w:rStyle w:val="instructionsChar"/>
        </w:rPr>
        <w:t>Copy and paste from Notice of Rulemaking.</w:t>
      </w:r>
    </w:p>
    <w:p w:rsidR="002F2F6F" w:rsidRDefault="002F2F6F" w:rsidP="002F2F6F">
      <w:pPr>
        <w:rPr>
          <w:rStyle w:val="instructionsChar"/>
        </w:rPr>
      </w:pPr>
    </w:p>
    <w:p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rsidR="002F2F6F" w:rsidRPr="003C26EE" w:rsidRDefault="002F2F6F" w:rsidP="002F2F6F">
      <w:pPr>
        <w:pStyle w:val="Heading1"/>
      </w:pPr>
      <w:bookmarkStart w:id="18" w:name="_Toc3988352"/>
      <w:bookmarkStart w:id="19" w:name="_Toc4051284"/>
      <w:r w:rsidRPr="003C26EE">
        <w:lastRenderedPageBreak/>
        <w:t>Land use</w:t>
      </w:r>
      <w:bookmarkEnd w:id="18"/>
      <w:bookmarkEnd w:id="19"/>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r>
        <w:br w:type="page"/>
      </w:r>
    </w:p>
    <w:p w:rsidR="002F2F6F" w:rsidRPr="003C26EE" w:rsidRDefault="002F2F6F" w:rsidP="002F2F6F">
      <w:pPr>
        <w:pStyle w:val="Heading1"/>
      </w:pPr>
      <w:bookmarkStart w:id="20" w:name="_Toc3988353"/>
      <w:bookmarkStart w:id="21" w:name="_Toc4051285"/>
      <w:r w:rsidRPr="003C26EE">
        <w:lastRenderedPageBreak/>
        <w:t>EQC Prior Involvement</w:t>
      </w:r>
      <w:bookmarkEnd w:id="20"/>
      <w:bookmarkEnd w:id="21"/>
    </w:p>
    <w:p w:rsidR="002F2F6F" w:rsidRDefault="002F2F6F" w:rsidP="00A83AA3">
      <w:pPr>
        <w:pStyle w:val="instructions"/>
      </w:pPr>
      <w:r>
        <w:t>Copy and paste from Notice of Rulemaking.</w:t>
      </w:r>
    </w:p>
    <w:p w:rsidR="002F2F6F" w:rsidRDefault="002F2F6F" w:rsidP="00A83AA3">
      <w:pPr>
        <w:pStyle w:val="instructions"/>
      </w:pPr>
    </w:p>
    <w:p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p w:rsidR="002F2F6F" w:rsidRDefault="002F2F6F" w:rsidP="002F2F6F">
      <w:r>
        <w:br w:type="page"/>
      </w:r>
    </w:p>
    <w:p w:rsidR="002F2F6F" w:rsidRPr="003C26EE" w:rsidRDefault="002F2F6F" w:rsidP="002F2F6F">
      <w:pPr>
        <w:pStyle w:val="Heading1"/>
      </w:pPr>
      <w:bookmarkStart w:id="22" w:name="_Toc3988354"/>
      <w:bookmarkStart w:id="23" w:name="_Toc4051286"/>
      <w:r w:rsidRPr="003C26EE">
        <w:lastRenderedPageBreak/>
        <w:t>Advisory Committee</w:t>
      </w:r>
      <w:bookmarkEnd w:id="22"/>
      <w:bookmarkEnd w:id="23"/>
    </w:p>
    <w:p w:rsidR="002F2F6F" w:rsidRDefault="002F2F6F" w:rsidP="00A83AA3">
      <w:pPr>
        <w:pStyle w:val="instructions"/>
      </w:pPr>
      <w:r>
        <w:t>Copy and paste from Notice of Rulemaking.</w:t>
      </w:r>
    </w:p>
    <w:p w:rsidR="002F2F6F" w:rsidRDefault="002F2F6F" w:rsidP="00A83AA3">
      <w:pPr>
        <w:pStyle w:val="instructions"/>
      </w:pPr>
    </w:p>
    <w:p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Default="002F2F6F" w:rsidP="002F2F6F"/>
    <w:p w:rsidR="002F2F6F" w:rsidRDefault="002F2F6F" w:rsidP="002F2F6F">
      <w:r>
        <w:br w:type="page"/>
      </w:r>
    </w:p>
    <w:p w:rsidR="002F2F6F" w:rsidRPr="003C26EE" w:rsidRDefault="002F2F6F" w:rsidP="002F2F6F">
      <w:pPr>
        <w:pStyle w:val="Heading1"/>
      </w:pPr>
      <w:bookmarkStart w:id="24" w:name="_Toc3988355"/>
      <w:bookmarkStart w:id="25" w:name="_Toc4051287"/>
      <w:r w:rsidRPr="003C26EE">
        <w:lastRenderedPageBreak/>
        <w:t>Public Engagement</w:t>
      </w:r>
      <w:bookmarkEnd w:id="24"/>
      <w:bookmarkEnd w:id="25"/>
    </w:p>
    <w:p w:rsidR="002F2F6F" w:rsidRDefault="002F2F6F" w:rsidP="002F2F6F">
      <w:pPr>
        <w:rPr>
          <w:rStyle w:val="instructionsChar"/>
        </w:rPr>
      </w:pPr>
      <w:r>
        <w:rPr>
          <w:rStyle w:val="instructionsChar"/>
        </w:rPr>
        <w:t>Copy and paste from Notice of Rulemaking.</w:t>
      </w:r>
    </w:p>
    <w:p w:rsidR="002F2F6F" w:rsidRDefault="002F2F6F" w:rsidP="002F2F6F">
      <w:pPr>
        <w:rPr>
          <w:rStyle w:val="instructionsChar"/>
        </w:rPr>
      </w:pPr>
    </w:p>
    <w:p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2F2F6F" w:rsidRDefault="002F2F6F" w:rsidP="002F2F6F"/>
    <w:p w:rsidR="002F2F6F" w:rsidRPr="003C26EE" w:rsidRDefault="002F2F6F" w:rsidP="002F2F6F"/>
    <w:p w:rsidR="002F2F6F" w:rsidRDefault="002F2F6F" w:rsidP="002F2F6F">
      <w:r>
        <w:br w:type="page"/>
      </w:r>
    </w:p>
    <w:p w:rsidR="002F2F6F" w:rsidRDefault="002F2F6F" w:rsidP="001F7800">
      <w:pPr>
        <w:pStyle w:val="Heading2"/>
      </w:pPr>
      <w:bookmarkStart w:id="26" w:name="_Toc3988356"/>
      <w:bookmarkStart w:id="27" w:name="_Toc4051288"/>
      <w:r>
        <w:lastRenderedPageBreak/>
        <w:t>Public Hearing</w:t>
      </w:r>
      <w:bookmarkEnd w:id="26"/>
      <w:bookmarkEnd w:id="27"/>
    </w:p>
    <w:p w:rsidR="002F2F6F" w:rsidRDefault="002F2F6F" w:rsidP="00A83AA3">
      <w:pPr>
        <w:pStyle w:val="instructions"/>
      </w:pPr>
      <w:r>
        <w:t>New section – not copied from Notice of Rulemaking</w:t>
      </w:r>
    </w:p>
    <w:p w:rsidR="002F2F6F" w:rsidRDefault="002F2F6F" w:rsidP="002F2F6F"/>
    <w:p w:rsidR="002F2F6F" w:rsidRPr="001404B0" w:rsidRDefault="002F2F6F" w:rsidP="002F2F6F">
      <w:r w:rsidRPr="001404B0">
        <w:t>DEQ held</w:t>
      </w:r>
      <w:r>
        <w:t xml:space="preserve"> </w:t>
      </w:r>
      <w:r w:rsidRPr="00A135B0">
        <w:rPr>
          <w:rStyle w:val="instructionsChar"/>
        </w:rPr>
        <w:t>one (a) public hearing(s)</w:t>
      </w:r>
      <w:r w:rsidRPr="001404B0">
        <w:t xml:space="preserve">. 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rsidR="002F2F6F" w:rsidRPr="00A135B0" w:rsidRDefault="002F2F6F" w:rsidP="002F2F6F"/>
    <w:p w:rsidR="002F2F6F" w:rsidRPr="00794AF3" w:rsidRDefault="002F2F6F" w:rsidP="001F7800">
      <w:pPr>
        <w:pStyle w:val="Heading3"/>
      </w:pPr>
      <w:r w:rsidRPr="001404B0">
        <w:t>Presiding Officers’ Record</w:t>
      </w:r>
    </w:p>
    <w:p w:rsidR="002F2F6F" w:rsidRPr="001404B0" w:rsidRDefault="002F2F6F" w:rsidP="002F2F6F"/>
    <w:p w:rsidR="002F2F6F" w:rsidRPr="001404B0" w:rsidRDefault="002F2F6F" w:rsidP="001F7800">
      <w:pPr>
        <w:pStyle w:val="Heading4"/>
      </w:pPr>
      <w:r w:rsidRPr="001404B0">
        <w:t>Hearing 1</w:t>
      </w:r>
    </w:p>
    <w:p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Date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Place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Start Time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End Time</w:t>
            </w:r>
          </w:p>
        </w:tc>
        <w:tc>
          <w:tcPr>
            <w:tcW w:w="6763" w:type="dxa"/>
            <w:vAlign w:val="center"/>
          </w:tcPr>
          <w:p w:rsidR="002F2F6F" w:rsidRPr="00A135B0" w:rsidRDefault="002F2F6F" w:rsidP="00A112DA">
            <w:pPr>
              <w:rPr>
                <w:vanish/>
              </w:rPr>
            </w:pPr>
          </w:p>
        </w:tc>
      </w:tr>
      <w:tr w:rsidR="002F2F6F" w:rsidRPr="001404B0" w:rsidTr="00A112DA">
        <w:trPr>
          <w:trHeight w:val="339"/>
        </w:trPr>
        <w:tc>
          <w:tcPr>
            <w:tcW w:w="2155" w:type="dxa"/>
            <w:vAlign w:val="center"/>
          </w:tcPr>
          <w:p w:rsidR="002F2F6F" w:rsidRPr="00A135B0" w:rsidRDefault="002F2F6F" w:rsidP="00A112DA">
            <w:pPr>
              <w:rPr>
                <w:rFonts w:ascii="Arial" w:hAnsi="Arial" w:cs="Arial"/>
                <w:vanish/>
                <w:sz w:val="22"/>
                <w:szCs w:val="22"/>
              </w:rPr>
            </w:pPr>
            <w:r w:rsidRPr="00A135B0">
              <w:t>Presiding Officer</w:t>
            </w:r>
          </w:p>
        </w:tc>
        <w:tc>
          <w:tcPr>
            <w:tcW w:w="6763" w:type="dxa"/>
            <w:vAlign w:val="center"/>
          </w:tcPr>
          <w:p w:rsidR="002F2F6F" w:rsidRPr="00A135B0" w:rsidRDefault="002F2F6F" w:rsidP="00A112DA">
            <w:pPr>
              <w:rPr>
                <w:vanish/>
              </w:rPr>
            </w:pPr>
          </w:p>
        </w:tc>
      </w:tr>
    </w:tbl>
    <w:p w:rsidR="002F2F6F" w:rsidRDefault="002F2F6F" w:rsidP="002F2F6F"/>
    <w:p w:rsidR="002F2F6F" w:rsidRPr="001404B0" w:rsidRDefault="002F2F6F" w:rsidP="002F2F6F">
      <w:pPr>
        <w:ind w:right="634"/>
        <w:rPr>
          <w:vanish/>
        </w:rPr>
      </w:pPr>
    </w:p>
    <w:p w:rsidR="002F2F6F" w:rsidRPr="001404B0" w:rsidRDefault="002F2F6F" w:rsidP="001F7800">
      <w:pPr>
        <w:pStyle w:val="Heading4"/>
      </w:pPr>
      <w:r w:rsidRPr="001404B0">
        <w:t xml:space="preserve">Presiding Officer: </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rsidR="002F2F6F" w:rsidRPr="001404B0" w:rsidRDefault="002F2F6F" w:rsidP="002F2F6F">
      <w:pPr>
        <w:tabs>
          <w:tab w:val="left" w:pos="-1440"/>
          <w:tab w:val="left" w:pos="-720"/>
        </w:tabs>
        <w:suppressAutoHyphens/>
      </w:pPr>
    </w:p>
    <w:p w:rsidR="002F2F6F" w:rsidRPr="001404B0" w:rsidRDefault="002F2F6F" w:rsidP="00A83AA3">
      <w:pPr>
        <w:pStyle w:val="instructions"/>
      </w:pPr>
      <w:r w:rsidRPr="001404B0">
        <w:t>EITHER:</w:t>
      </w:r>
    </w:p>
    <w:p w:rsidR="002F2F6F" w:rsidRPr="001404B0" w:rsidRDefault="002F2F6F" w:rsidP="002F2F6F">
      <w:pPr>
        <w:tabs>
          <w:tab w:val="left" w:pos="-1440"/>
          <w:tab w:val="left" w:pos="-720"/>
        </w:tabs>
        <w:suppressAutoHyphens/>
      </w:pPr>
    </w:p>
    <w:p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rsidR="002F2F6F" w:rsidRPr="001404B0" w:rsidRDefault="002F2F6F" w:rsidP="002F2F6F"/>
    <w:p w:rsidR="002F2F6F" w:rsidRPr="00DE281B" w:rsidRDefault="002F2F6F" w:rsidP="00A83AA3">
      <w:pPr>
        <w:pStyle w:val="instructions"/>
      </w:pPr>
      <w:r w:rsidRPr="001404B0">
        <w:t>OR:</w:t>
      </w:r>
    </w:p>
    <w:p w:rsidR="002F2F6F" w:rsidRPr="001404B0" w:rsidRDefault="002F2F6F" w:rsidP="002F2F6F"/>
    <w:p w:rsidR="002F2F6F" w:rsidRDefault="002F2F6F" w:rsidP="002F2F6F">
      <w:r w:rsidRPr="001404B0">
        <w:t xml:space="preserve">No person presented any oral testimony or written comments. </w:t>
      </w:r>
      <w:r>
        <w:br w:type="page"/>
      </w:r>
    </w:p>
    <w:p w:rsidR="002F2F6F" w:rsidRPr="001404B0" w:rsidRDefault="002F2F6F" w:rsidP="001F7800">
      <w:pPr>
        <w:pStyle w:val="Heading2"/>
      </w:pPr>
      <w:bookmarkStart w:id="28" w:name="_Toc2850647"/>
      <w:bookmarkStart w:id="29" w:name="_Toc3988357"/>
      <w:bookmarkStart w:id="30" w:name="_Toc4051289"/>
      <w:r w:rsidRPr="001404B0">
        <w:lastRenderedPageBreak/>
        <w:t>Summary of Public Comments and DEQ Responses</w:t>
      </w:r>
      <w:bookmarkEnd w:id="28"/>
      <w:bookmarkEnd w:id="29"/>
      <w:bookmarkEnd w:id="30"/>
    </w:p>
    <w:p w:rsidR="002F2F6F" w:rsidRDefault="002F2F6F" w:rsidP="002F2F6F">
      <w:pPr>
        <w:pStyle w:val="Heading2"/>
        <w:rPr>
          <w:rFonts w:cs="Arial"/>
          <w:szCs w:val="24"/>
        </w:rPr>
      </w:pPr>
    </w:p>
    <w:p w:rsidR="002F2F6F" w:rsidRPr="00794AF3" w:rsidRDefault="002F2F6F" w:rsidP="001F7800">
      <w:pPr>
        <w:pStyle w:val="Heading3"/>
      </w:pPr>
      <w:r w:rsidRPr="001404B0">
        <w:t>Public comment period</w:t>
      </w:r>
    </w:p>
    <w:p w:rsidR="002F2F6F" w:rsidRPr="001404B0" w:rsidRDefault="002F2F6F" w:rsidP="002F2F6F">
      <w:pPr>
        <w:rPr>
          <w:szCs w:val="22"/>
        </w:rPr>
      </w:pPr>
    </w:p>
    <w:p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rsidR="002F2F6F" w:rsidRPr="00635335" w:rsidRDefault="002F2F6F" w:rsidP="002F2F6F"/>
    <w:p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rsidR="002F2F6F" w:rsidRPr="001404B0" w:rsidRDefault="002F2F6F" w:rsidP="002F2F6F"/>
    <w:p w:rsidR="002F2F6F" w:rsidRPr="001404B0" w:rsidRDefault="002F2F6F" w:rsidP="00A83AA3">
      <w:pPr>
        <w:pStyle w:val="instructions"/>
      </w:pPr>
      <w:r w:rsidRPr="001404B0">
        <w:t>Select one of the following two statements:</w:t>
      </w:r>
    </w:p>
    <w:p w:rsidR="002F2F6F" w:rsidRPr="001404B0" w:rsidRDefault="002F2F6F" w:rsidP="002F2F6F"/>
    <w:p w:rsidR="002F2F6F" w:rsidRPr="001404B0" w:rsidRDefault="002F2F6F" w:rsidP="002F2F6F">
      <w:r w:rsidRPr="001404B0">
        <w:t>DEQ did not change the proposed rules in response to comments.</w:t>
      </w:r>
    </w:p>
    <w:p w:rsidR="002F2F6F" w:rsidRPr="001404B0" w:rsidRDefault="002F2F6F" w:rsidP="002F2F6F"/>
    <w:p w:rsidR="002F2F6F" w:rsidRPr="001404B0" w:rsidRDefault="002F2F6F" w:rsidP="002F2F6F">
      <w:r w:rsidRPr="001404B0">
        <w:t>DEQ changed the proposed rules in response to comments described in the response sections below.</w:t>
      </w:r>
    </w:p>
    <w:p w:rsidR="002F2F6F" w:rsidRDefault="002F2F6F" w:rsidP="002F2F6F"/>
    <w:p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rsidR="002F2F6F" w:rsidRDefault="002F2F6F" w:rsidP="00A83AA3">
      <w:pPr>
        <w:pStyle w:val="instructions"/>
      </w:pPr>
    </w:p>
    <w:p w:rsidR="002F2F6F" w:rsidRPr="00A135B0" w:rsidRDefault="002F2F6F" w:rsidP="00A83AA3">
      <w:pPr>
        <w:pStyle w:val="instructions"/>
      </w:pPr>
      <w:r>
        <w:t>OPTION ONE</w:t>
      </w:r>
    </w:p>
    <w:p w:rsidR="002F2F6F" w:rsidRPr="00A135B0" w:rsidRDefault="002F2F6F" w:rsidP="002F2F6F"/>
    <w:p w:rsidR="002F2F6F" w:rsidRPr="008839CF" w:rsidRDefault="002F2F6F" w:rsidP="001F7800">
      <w:pPr>
        <w:pStyle w:val="Heading4"/>
      </w:pPr>
      <w:r w:rsidRPr="008839CF">
        <w:t xml:space="preserve">Comment 1 </w:t>
      </w:r>
    </w:p>
    <w:p w:rsidR="00380032" w:rsidRDefault="00380032" w:rsidP="00A83AA3"/>
    <w:p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rsidR="002F2F6F" w:rsidRPr="001404B0" w:rsidRDefault="002F2F6F" w:rsidP="00A83AA3">
      <w:pPr>
        <w:pStyle w:val="instructions"/>
      </w:pPr>
    </w:p>
    <w:p w:rsidR="002F2F6F" w:rsidRPr="001404B0" w:rsidRDefault="002F2F6F" w:rsidP="00A83AA3">
      <w:pPr>
        <w:pStyle w:val="instructions"/>
      </w:pPr>
    </w:p>
    <w:p w:rsidR="002F2F6F" w:rsidRPr="001404B0" w:rsidRDefault="002F2F6F" w:rsidP="001F7800">
      <w:pPr>
        <w:pStyle w:val="Heading4"/>
      </w:pPr>
      <w:r w:rsidRPr="001404B0">
        <w:t>Response</w:t>
      </w:r>
    </w:p>
    <w:p w:rsidR="002F2F6F" w:rsidRPr="001404B0" w:rsidRDefault="002F2F6F" w:rsidP="002F2F6F">
      <w:r w:rsidRPr="001404B0">
        <w:tab/>
      </w:r>
    </w:p>
    <w:p w:rsidR="002F2F6F" w:rsidRPr="001404B0" w:rsidRDefault="002F2F6F" w:rsidP="002F2F6F"/>
    <w:p w:rsidR="002F2F6F" w:rsidRPr="001404B0" w:rsidRDefault="002F2F6F" w:rsidP="002F2F6F"/>
    <w:p w:rsidR="002F2F6F" w:rsidRPr="001404B0" w:rsidRDefault="002F2F6F" w:rsidP="001F7800">
      <w:pPr>
        <w:pStyle w:val="Heading4"/>
      </w:pPr>
      <w:r w:rsidRPr="001404B0">
        <w:t>Comment 2</w:t>
      </w:r>
    </w:p>
    <w:p w:rsidR="00380032" w:rsidRDefault="00380032" w:rsidP="002E490A"/>
    <w:p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rsidR="002F2F6F" w:rsidRPr="001404B0" w:rsidRDefault="002F2F6F" w:rsidP="00A83AA3">
      <w:pPr>
        <w:pStyle w:val="instructions"/>
      </w:pPr>
    </w:p>
    <w:p w:rsidR="002F2F6F" w:rsidRPr="001404B0" w:rsidRDefault="002F2F6F" w:rsidP="00A83AA3">
      <w:pPr>
        <w:pStyle w:val="instructions"/>
      </w:pPr>
    </w:p>
    <w:p w:rsidR="002F2F6F" w:rsidRPr="001404B0" w:rsidRDefault="002F2F6F" w:rsidP="001F7800">
      <w:pPr>
        <w:pStyle w:val="Heading4"/>
      </w:pPr>
      <w:r w:rsidRPr="001404B0">
        <w:t>Response</w:t>
      </w:r>
    </w:p>
    <w:p w:rsidR="002F2F6F" w:rsidRPr="001404B0" w:rsidRDefault="002F2F6F" w:rsidP="002F2F6F">
      <w:r w:rsidRPr="001404B0">
        <w:tab/>
      </w:r>
    </w:p>
    <w:p w:rsidR="002F2F6F" w:rsidRPr="001404B0" w:rsidRDefault="002F2F6F" w:rsidP="002F2F6F"/>
    <w:p w:rsidR="002F2F6F" w:rsidRPr="001404B0" w:rsidRDefault="002F2F6F" w:rsidP="002F2F6F"/>
    <w:p w:rsidR="002F2F6F" w:rsidRPr="001404B0" w:rsidRDefault="002F2F6F" w:rsidP="001F7800">
      <w:pPr>
        <w:pStyle w:val="Heading4"/>
      </w:pPr>
      <w:r w:rsidRPr="001404B0">
        <w:t>Comment 3</w:t>
      </w:r>
    </w:p>
    <w:p w:rsidR="00380032" w:rsidRDefault="00380032" w:rsidP="002E490A"/>
    <w:p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rsidR="002E490A" w:rsidRDefault="002E490A" w:rsidP="002F2F6F">
      <w:pPr>
        <w:pStyle w:val="Heading3"/>
      </w:pPr>
    </w:p>
    <w:p w:rsidR="002F2F6F" w:rsidRPr="001404B0" w:rsidRDefault="002F2F6F" w:rsidP="001F7800">
      <w:pPr>
        <w:pStyle w:val="Heading4"/>
      </w:pPr>
      <w:r w:rsidRPr="001404B0">
        <w:t>Response</w:t>
      </w:r>
    </w:p>
    <w:p w:rsidR="002F2F6F" w:rsidRPr="00A135B0" w:rsidRDefault="002F2F6F" w:rsidP="002F2F6F">
      <w:r w:rsidRPr="001404B0">
        <w:tab/>
      </w:r>
      <w:r w:rsidRPr="00A135B0">
        <w:t>  </w:t>
      </w:r>
    </w:p>
    <w:p w:rsidR="002F2F6F" w:rsidRDefault="002F2F6F" w:rsidP="00A83AA3">
      <w:pPr>
        <w:pStyle w:val="instructions"/>
      </w:pPr>
      <w:r>
        <w:t>OPTION TWO</w:t>
      </w:r>
    </w:p>
    <w:p w:rsidR="002F2F6F" w:rsidRPr="00794AF3" w:rsidRDefault="002F2F6F" w:rsidP="00A83AA3">
      <w:pPr>
        <w:pStyle w:val="instructions"/>
      </w:pPr>
    </w:p>
    <w:p w:rsidR="002F2F6F" w:rsidRPr="001404B0" w:rsidRDefault="002F2F6F" w:rsidP="001F7800">
      <w:pPr>
        <w:pStyle w:val="Heading3"/>
      </w:pPr>
      <w:r w:rsidRPr="001404B0">
        <w:t>Comments received by close of public comment period</w:t>
      </w:r>
    </w:p>
    <w:p w:rsidR="002F2F6F" w:rsidRPr="001404B0" w:rsidRDefault="002F2F6F" w:rsidP="002F2F6F"/>
    <w:p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rsidR="002F2F6F" w:rsidRPr="001404B0" w:rsidRDefault="002F2F6F" w:rsidP="002F2F6F"/>
    <w:p w:rsidR="002F2F6F" w:rsidRPr="001404B0" w:rsidRDefault="002F2F6F" w:rsidP="00A83AA3">
      <w:pPr>
        <w:pStyle w:val="instructions"/>
      </w:pPr>
      <w:r w:rsidRPr="001404B0">
        <w:t>Use one of the two alternate formats for listing commenters; either a list or a table.</w:t>
      </w:r>
    </w:p>
    <w:p w:rsidR="002F2F6F" w:rsidRPr="001404B0" w:rsidRDefault="002F2F6F" w:rsidP="002F2F6F"/>
    <w:p w:rsidR="002F2F6F" w:rsidRPr="001404B0" w:rsidRDefault="002F2F6F" w:rsidP="001F7800">
      <w:pPr>
        <w:pStyle w:val="Heading4"/>
      </w:pPr>
      <w:r w:rsidRPr="001F7800">
        <w:t>Commenter 1</w:t>
      </w:r>
      <w:r w:rsidRPr="001F7800">
        <w:tab/>
      </w:r>
      <w:r w:rsidRPr="00767D98">
        <w:rPr>
          <w:rStyle w:val="instructionsChar"/>
        </w:rPr>
        <w:t>NAME</w:t>
      </w:r>
    </w:p>
    <w:p w:rsidR="002F2F6F" w:rsidRPr="001404B0" w:rsidRDefault="002F2F6F" w:rsidP="002F2F6F"/>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rsidR="002F2F6F" w:rsidRPr="001404B0" w:rsidRDefault="002F2F6F" w:rsidP="002F2F6F"/>
    <w:p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rsidR="002F2F6F" w:rsidRPr="001404B0" w:rsidRDefault="002F2F6F" w:rsidP="002F2F6F"/>
    <w:p w:rsidR="002F2F6F" w:rsidRDefault="002F2F6F" w:rsidP="00A83AA3">
      <w:pPr>
        <w:pStyle w:val="instructions"/>
      </w:pPr>
      <w:r>
        <w:t>OPTION THREE</w:t>
      </w:r>
    </w:p>
    <w:p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r w:rsidR="002F2F6F" w:rsidRPr="001404B0"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r w:rsidR="002F2F6F" w:rsidRPr="001404B0"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r>
    </w:tbl>
    <w:p w:rsidR="002F2F6F" w:rsidRPr="001404B0" w:rsidRDefault="002F2F6F" w:rsidP="002F2F6F"/>
    <w:p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rsidR="002F2F6F" w:rsidRPr="001404B0" w:rsidRDefault="002F2F6F" w:rsidP="00A112DA">
            <w:pPr>
              <w:rPr>
                <w:sz w:val="22"/>
                <w:szCs w:val="22"/>
              </w:rPr>
            </w:pPr>
          </w:p>
        </w:tc>
      </w:tr>
      <w:tr w:rsidR="002F2F6F" w:rsidRPr="001404B0"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rsidR="002F2F6F" w:rsidRPr="001404B0" w:rsidRDefault="002F2F6F" w:rsidP="00A112DA">
            <w:pPr>
              <w:rPr>
                <w:sz w:val="22"/>
                <w:szCs w:val="22"/>
              </w:rPr>
            </w:pPr>
          </w:p>
        </w:tc>
      </w:tr>
      <w:tr w:rsidR="002F2F6F" w:rsidRPr="001404B0"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rsidR="002F2F6F" w:rsidRPr="001404B0" w:rsidRDefault="002F2F6F" w:rsidP="00A112DA">
            <w:pPr>
              <w:rPr>
                <w:sz w:val="22"/>
                <w:szCs w:val="22"/>
              </w:rPr>
            </w:pPr>
          </w:p>
        </w:tc>
      </w:tr>
    </w:tbl>
    <w:p w:rsidR="002F2F6F" w:rsidRPr="001404B0" w:rsidRDefault="002F2F6F" w:rsidP="002F2F6F"/>
    <w:p w:rsidR="002F2F6F" w:rsidRPr="001404B0" w:rsidRDefault="002F2F6F" w:rsidP="002F2F6F"/>
    <w:p w:rsidR="002F2F6F" w:rsidRDefault="002F2F6F" w:rsidP="002F2F6F">
      <w:r>
        <w:br w:type="page"/>
      </w:r>
    </w:p>
    <w:p w:rsidR="002F2F6F" w:rsidRDefault="002F2F6F" w:rsidP="002F2F6F">
      <w:pPr>
        <w:pStyle w:val="Heading1"/>
      </w:pPr>
      <w:bookmarkStart w:id="31" w:name="_Toc3988358"/>
      <w:bookmarkStart w:id="32" w:name="_Toc4051290"/>
      <w:r>
        <w:lastRenderedPageBreak/>
        <w:t>Implementation</w:t>
      </w:r>
      <w:bookmarkEnd w:id="31"/>
      <w:bookmarkEnd w:id="32"/>
    </w:p>
    <w:p w:rsidR="002F2F6F" w:rsidRDefault="002F2F6F" w:rsidP="00A83AA3">
      <w:pPr>
        <w:pStyle w:val="instructions"/>
      </w:pPr>
      <w:r>
        <w:t>Do not copy from Notice of Rulemaking.</w:t>
      </w:r>
    </w:p>
    <w:p w:rsidR="002F2F6F" w:rsidRPr="001404B0" w:rsidRDefault="002F2F6F" w:rsidP="002F2F6F">
      <w:pPr>
        <w:pStyle w:val="Heading2"/>
      </w:pPr>
      <w:r w:rsidRPr="001404B0">
        <w:t>Notification</w:t>
      </w:r>
    </w:p>
    <w:p w:rsidR="00380032" w:rsidRDefault="00380032" w:rsidP="002F2F6F"/>
    <w:p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rsidR="002F2F6F" w:rsidRDefault="002F2F6F" w:rsidP="002F2F6F">
      <w:pPr>
        <w:pStyle w:val="ListParagraph"/>
        <w:numPr>
          <w:ilvl w:val="0"/>
          <w:numId w:val="2"/>
        </w:numPr>
      </w:pPr>
      <w:r>
        <w:t xml:space="preserve"> </w:t>
      </w:r>
    </w:p>
    <w:p w:rsidR="002F2F6F" w:rsidRDefault="002F2F6F" w:rsidP="002F2F6F">
      <w:pPr>
        <w:pStyle w:val="ListParagraph"/>
        <w:numPr>
          <w:ilvl w:val="0"/>
          <w:numId w:val="2"/>
        </w:numPr>
      </w:pPr>
      <w:r>
        <w:t xml:space="preserve"> </w:t>
      </w:r>
    </w:p>
    <w:p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rsidR="002F2F6F" w:rsidRPr="001404B0" w:rsidRDefault="002F2F6F" w:rsidP="002F2F6F"/>
    <w:p w:rsidR="002F2F6F" w:rsidRPr="001404B0" w:rsidRDefault="002F2F6F" w:rsidP="002F2F6F">
      <w:pPr>
        <w:pStyle w:val="Heading2"/>
      </w:pPr>
      <w:r w:rsidRPr="001404B0">
        <w:t>Compliance and enforcement</w:t>
      </w:r>
    </w:p>
    <w:p w:rsidR="00380032" w:rsidRDefault="00380032" w:rsidP="002F2F6F"/>
    <w:p w:rsidR="002F2F6F" w:rsidRPr="001404B0" w:rsidRDefault="002F2F6F" w:rsidP="002F2F6F">
      <w:r w:rsidRPr="001404B0">
        <w:t>Affected parties -Text</w:t>
      </w:r>
    </w:p>
    <w:p w:rsidR="002F2F6F" w:rsidRPr="001404B0" w:rsidRDefault="002F2F6F" w:rsidP="002F2F6F">
      <w:r w:rsidRPr="001404B0">
        <w:t>DEQ staff - Text</w:t>
      </w:r>
    </w:p>
    <w:p w:rsidR="002F2F6F" w:rsidRPr="001404B0" w:rsidRDefault="002F2F6F" w:rsidP="002F2F6F"/>
    <w:p w:rsidR="002F2F6F" w:rsidRPr="001404B0" w:rsidRDefault="002F2F6F" w:rsidP="002F2F6F">
      <w:pPr>
        <w:pStyle w:val="Heading2"/>
      </w:pPr>
      <w:r w:rsidRPr="001404B0">
        <w:t>Measuring, sampling, monitoring and reporting</w:t>
      </w:r>
    </w:p>
    <w:p w:rsidR="00380032" w:rsidRDefault="00380032" w:rsidP="002F2F6F"/>
    <w:p w:rsidR="002F2F6F" w:rsidRPr="001404B0" w:rsidRDefault="002F2F6F" w:rsidP="002F2F6F">
      <w:r w:rsidRPr="001404B0">
        <w:t>Affected parties - Text</w:t>
      </w:r>
    </w:p>
    <w:p w:rsidR="002F2F6F" w:rsidRPr="001404B0" w:rsidRDefault="002F2F6F" w:rsidP="002F2F6F">
      <w:r w:rsidRPr="001404B0">
        <w:t>DEQ staff - Text</w:t>
      </w:r>
    </w:p>
    <w:p w:rsidR="002F2F6F" w:rsidRPr="001404B0" w:rsidRDefault="002F2F6F" w:rsidP="002F2F6F"/>
    <w:p w:rsidR="002F2F6F" w:rsidRPr="001404B0" w:rsidRDefault="002F2F6F" w:rsidP="002F2F6F">
      <w:pPr>
        <w:pStyle w:val="Heading2"/>
      </w:pPr>
      <w:r w:rsidRPr="001404B0">
        <w:t>Systems</w:t>
      </w:r>
    </w:p>
    <w:p w:rsidR="00380032" w:rsidRDefault="00380032" w:rsidP="002F2F6F"/>
    <w:p w:rsidR="002F2F6F" w:rsidRPr="001404B0" w:rsidRDefault="002F2F6F" w:rsidP="002F2F6F">
      <w:r w:rsidRPr="001404B0">
        <w:t>Website - Text</w:t>
      </w:r>
    </w:p>
    <w:p w:rsidR="002F2F6F" w:rsidRPr="001404B0" w:rsidRDefault="002F2F6F" w:rsidP="002F2F6F">
      <w:r w:rsidRPr="001404B0">
        <w:t>Database - Text</w:t>
      </w:r>
    </w:p>
    <w:p w:rsidR="002F2F6F" w:rsidRPr="001404B0" w:rsidRDefault="002F2F6F" w:rsidP="002F2F6F">
      <w:r w:rsidRPr="001404B0">
        <w:t>Invoicing - Text</w:t>
      </w:r>
    </w:p>
    <w:p w:rsidR="002F2F6F" w:rsidRPr="001404B0" w:rsidRDefault="002F2F6F" w:rsidP="002F2F6F"/>
    <w:p w:rsidR="002F2F6F" w:rsidRPr="001404B0" w:rsidRDefault="002F2F6F" w:rsidP="002F2F6F">
      <w:pPr>
        <w:pStyle w:val="Heading2"/>
      </w:pPr>
      <w:r w:rsidRPr="001404B0">
        <w:t>Training</w:t>
      </w:r>
    </w:p>
    <w:p w:rsidR="00380032" w:rsidRDefault="00380032" w:rsidP="002F2F6F"/>
    <w:p w:rsidR="002F2F6F" w:rsidRPr="001404B0" w:rsidRDefault="002F2F6F" w:rsidP="002F2F6F">
      <w:r w:rsidRPr="001404B0">
        <w:t>Affected parties - Text</w:t>
      </w:r>
    </w:p>
    <w:p w:rsidR="002F2F6F" w:rsidRPr="001404B0" w:rsidRDefault="002F2F6F" w:rsidP="002F2F6F">
      <w:r w:rsidRPr="001404B0">
        <w:t>DEQ staff - Text</w:t>
      </w:r>
    </w:p>
    <w:p w:rsidR="002F2F6F" w:rsidRPr="001B2D5C" w:rsidRDefault="002F2F6F" w:rsidP="002F2F6F"/>
    <w:p w:rsidR="002F2F6F" w:rsidRDefault="002F2F6F" w:rsidP="002F2F6F"/>
    <w:p w:rsidR="002F2F6F" w:rsidRDefault="002F2F6F" w:rsidP="002F2F6F">
      <w:r>
        <w:br w:type="page"/>
      </w:r>
    </w:p>
    <w:p w:rsidR="002F2F6F" w:rsidRDefault="002F2F6F" w:rsidP="002F2F6F">
      <w:pPr>
        <w:pStyle w:val="Heading1"/>
      </w:pPr>
      <w:bookmarkStart w:id="33" w:name="_Toc3988359"/>
      <w:bookmarkStart w:id="34" w:name="_Toc4051291"/>
      <w:r>
        <w:lastRenderedPageBreak/>
        <w:t>Five Year Review</w:t>
      </w:r>
      <w:bookmarkEnd w:id="33"/>
      <w:bookmarkEnd w:id="34"/>
    </w:p>
    <w:p w:rsidR="002F2F6F" w:rsidRDefault="002F2F6F" w:rsidP="00A83AA3">
      <w:pPr>
        <w:pStyle w:val="instructions"/>
      </w:pPr>
      <w:r>
        <w:t>Leave blank – rules coordinator will complete this section</w:t>
      </w:r>
    </w:p>
    <w:p w:rsidR="002F2F6F" w:rsidRPr="00DE281B" w:rsidRDefault="002F2F6F" w:rsidP="00A83AA3">
      <w:pPr>
        <w:pStyle w:val="instructions"/>
      </w:pPr>
      <w:r w:rsidRPr="00450EC9">
        <w:t>ORS 183.405</w:t>
      </w:r>
    </w:p>
    <w:p w:rsidR="002F2F6F" w:rsidRPr="00DE281B" w:rsidRDefault="002F2F6F" w:rsidP="002F2F6F">
      <w:pPr>
        <w:pStyle w:val="Heading2"/>
      </w:pPr>
      <w:r w:rsidRPr="00450EC9">
        <w:t xml:space="preserve">Requirement </w:t>
      </w:r>
      <w:r w:rsidRPr="00DE281B">
        <w:tab/>
        <w:t xml:space="preserve"> </w:t>
      </w:r>
    </w:p>
    <w:p w:rsidR="00380032" w:rsidRDefault="00380032" w:rsidP="002F2F6F"/>
    <w:p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rsidR="002F2F6F" w:rsidRPr="001404B0" w:rsidRDefault="002F2F6F" w:rsidP="002F2F6F">
      <w:pPr>
        <w:rPr>
          <w:sz w:val="20"/>
          <w:szCs w:val="20"/>
        </w:rPr>
      </w:pPr>
      <w:r w:rsidRPr="001404B0">
        <w:t xml:space="preserve"> </w:t>
      </w:r>
    </w:p>
    <w:p w:rsidR="002F2F6F" w:rsidRPr="001404B0" w:rsidRDefault="002F2F6F" w:rsidP="002F2F6F">
      <w:pPr>
        <w:pStyle w:val="Heading3"/>
      </w:pPr>
      <w:r w:rsidRPr="001404B0">
        <w:t xml:space="preserve">Exemption from five-year rule review </w:t>
      </w:r>
    </w:p>
    <w:p w:rsidR="002F2F6F" w:rsidRPr="001404B0" w:rsidRDefault="002F2F6F" w:rsidP="002F2F6F"/>
    <w:p w:rsidR="002F2F6F" w:rsidRPr="001404B0" w:rsidRDefault="002F2F6F" w:rsidP="00A83AA3">
      <w:pPr>
        <w:pStyle w:val="instructions"/>
      </w:pPr>
      <w:r w:rsidRPr="001404B0">
        <w:t>DELETE THIS PARAGRAPH IF NO RULES ARE EXEMPT FROM REVIEW:</w:t>
      </w:r>
    </w:p>
    <w:p w:rsidR="002F2F6F" w:rsidRPr="001404B0" w:rsidRDefault="002F2F6F" w:rsidP="002F2F6F"/>
    <w:p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rsidR="002F2F6F" w:rsidRPr="001404B0" w:rsidRDefault="002F2F6F" w:rsidP="002F2F6F"/>
    <w:p w:rsidR="002F2F6F" w:rsidRPr="001404B0" w:rsidRDefault="002F2F6F" w:rsidP="00A83AA3">
      <w:pPr>
        <w:pStyle w:val="instructions"/>
      </w:pPr>
      <w:r w:rsidRPr="001404B0">
        <w:t>DELETE ANY THAT DON’T APPLY:</w:t>
      </w:r>
    </w:p>
    <w:p w:rsidR="002F2F6F" w:rsidRPr="001404B0" w:rsidRDefault="002F2F6F" w:rsidP="002F2F6F"/>
    <w:p w:rsidR="002F2F6F" w:rsidRPr="001404B0" w:rsidRDefault="002F2F6F" w:rsidP="002F2F6F">
      <w:r w:rsidRPr="001404B0">
        <w:t xml:space="preserve"> Amend or repeal an existing rule. ORS 183.405(4).</w:t>
      </w:r>
    </w:p>
    <w:p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rsidR="002F2F6F" w:rsidRPr="001404B0" w:rsidRDefault="002F2F6F" w:rsidP="002F2F6F">
      <w:r w:rsidRPr="001404B0">
        <w:t xml:space="preserve"> Correct errors or omissions in the existing rules. ORS 183.405(d).</w:t>
      </w:r>
    </w:p>
    <w:p w:rsidR="002F2F6F" w:rsidRPr="001404B0" w:rsidRDefault="002F2F6F" w:rsidP="002F2F6F">
      <w:r w:rsidRPr="001404B0">
        <w:tab/>
      </w:r>
    </w:p>
    <w:p w:rsidR="002F2F6F" w:rsidRPr="001404B0" w:rsidRDefault="002F2F6F" w:rsidP="00A83AA3">
      <w:pPr>
        <w:pStyle w:val="instructions"/>
      </w:pPr>
      <w:r w:rsidRPr="001404B0">
        <w:t>DELETE THIS PARAGRAPH IF ANY OF THE RULES ARE EXEMPT FROM REVIEW:</w:t>
      </w:r>
    </w:p>
    <w:p w:rsidR="002F2F6F" w:rsidRPr="001404B0" w:rsidRDefault="002F2F6F" w:rsidP="002F2F6F"/>
    <w:p w:rsidR="002F2F6F" w:rsidRPr="00DE281B" w:rsidRDefault="002F2F6F" w:rsidP="002F2F6F">
      <w:r w:rsidRPr="001404B0">
        <w:t xml:space="preserve">None of these proposed rules are exempt from the five-year review under ORS 183.405(4) and 183.405 (5) of the Administrative Procedures Act.  </w:t>
      </w:r>
    </w:p>
    <w:p w:rsidR="002F2F6F" w:rsidRDefault="002F2F6F" w:rsidP="002F2F6F"/>
    <w:p w:rsidR="002F2F6F" w:rsidRPr="00E62940" w:rsidRDefault="002F2F6F" w:rsidP="002F2F6F">
      <w:pPr>
        <w:pStyle w:val="Heading3"/>
      </w:pPr>
      <w:r w:rsidRPr="00E62940">
        <w:t xml:space="preserve">Five-year rule review required  </w:t>
      </w:r>
    </w:p>
    <w:p w:rsidR="00380032" w:rsidRDefault="00380032" w:rsidP="002F2F6F"/>
    <w:p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rsidR="002F2F6F" w:rsidRPr="001404B0" w:rsidRDefault="002F2F6F" w:rsidP="00380032">
      <w:pPr>
        <w:pStyle w:val="ListParagraph"/>
        <w:numPr>
          <w:ilvl w:val="0"/>
          <w:numId w:val="22"/>
        </w:numPr>
      </w:pPr>
      <w:r w:rsidRPr="001404B0">
        <w:t>The rule has had the intended effect</w:t>
      </w:r>
    </w:p>
    <w:p w:rsidR="002F2F6F" w:rsidRPr="001404B0" w:rsidRDefault="002F2F6F" w:rsidP="00380032">
      <w:pPr>
        <w:pStyle w:val="ListParagraph"/>
        <w:numPr>
          <w:ilvl w:val="0"/>
          <w:numId w:val="22"/>
        </w:numPr>
      </w:pPr>
      <w:r w:rsidRPr="001404B0">
        <w:t>The anticipated fiscal impact of the rule was underestimated or overestimated</w:t>
      </w:r>
    </w:p>
    <w:p w:rsidR="002F2F6F" w:rsidRPr="001404B0" w:rsidRDefault="002F2F6F" w:rsidP="00380032">
      <w:pPr>
        <w:pStyle w:val="ListParagraph"/>
        <w:numPr>
          <w:ilvl w:val="0"/>
          <w:numId w:val="22"/>
        </w:numPr>
      </w:pPr>
      <w:r w:rsidRPr="001404B0">
        <w:t>Subsequent changes in the law require that the rule be repealed or amended</w:t>
      </w:r>
    </w:p>
    <w:p w:rsidR="002F2F6F" w:rsidRPr="001404B0" w:rsidRDefault="002F2F6F" w:rsidP="00380032">
      <w:pPr>
        <w:pStyle w:val="ListParagraph"/>
        <w:numPr>
          <w:ilvl w:val="0"/>
          <w:numId w:val="22"/>
        </w:numPr>
      </w:pPr>
      <w:r w:rsidRPr="001404B0">
        <w:t>There is continued need for the rule.</w:t>
      </w:r>
    </w:p>
    <w:p w:rsidR="00380032" w:rsidRDefault="00380032" w:rsidP="002F2F6F"/>
    <w:p w:rsidR="002F2F6F" w:rsidRDefault="002F2F6F" w:rsidP="002F2F6F">
      <w:r w:rsidRPr="001404B0">
        <w:t>DEQ will use “available information” to comply with the review requirement allowed under ORS 183.405 (2).</w:t>
      </w:r>
    </w:p>
    <w:p w:rsidR="00380032" w:rsidRPr="001404B0" w:rsidRDefault="00380032" w:rsidP="002F2F6F">
      <w:bookmarkStart w:id="35" w:name="_GoBack"/>
      <w:bookmarkEnd w:id="35"/>
    </w:p>
    <w:p w:rsidR="002F2F6F" w:rsidRDefault="002F2F6F" w:rsidP="002F2F6F">
      <w:r w:rsidRPr="001404B0">
        <w:t>DEQ will provide the five-year rule review report to the advisory committee to comply with ORS 183.405 (3)</w:t>
      </w:r>
      <w:r>
        <w:t>.</w:t>
      </w:r>
    </w:p>
    <w:p w:rsidR="002F2F6F" w:rsidRPr="00450EC9" w:rsidRDefault="002F2F6F" w:rsidP="002F2F6F"/>
    <w:p w:rsidR="002F2F6F" w:rsidRDefault="002F2F6F" w:rsidP="002F2F6F"/>
    <w:p w:rsidR="002F2F6F" w:rsidRDefault="002F2F6F" w:rsidP="002F2F6F">
      <w:pPr>
        <w:sectPr w:rsidR="002F2F6F" w:rsidSect="00A112DA">
          <w:footerReference w:type="default" r:id="rId22"/>
          <w:pgSz w:w="12240" w:h="15840"/>
          <w:pgMar w:top="1440" w:right="1440" w:bottom="1440" w:left="1440" w:header="720" w:footer="720" w:gutter="360"/>
          <w:cols w:space="720"/>
          <w:docGrid w:linePitch="360"/>
        </w:sectPr>
      </w:pPr>
    </w:p>
    <w:p w:rsidR="002F2F6F" w:rsidRPr="003C26EE" w:rsidRDefault="002F2F6F" w:rsidP="002F2F6F">
      <w:pPr>
        <w:pStyle w:val="Heading1"/>
      </w:pPr>
      <w:bookmarkStart w:id="36" w:name="_Toc3988360"/>
      <w:bookmarkStart w:id="37" w:name="_Toc4051292"/>
      <w:r w:rsidRPr="003C26EE">
        <w:lastRenderedPageBreak/>
        <w:t>Accessibility Information</w:t>
      </w:r>
      <w:bookmarkEnd w:id="36"/>
      <w:bookmarkEnd w:id="37"/>
    </w:p>
    <w:p w:rsidR="002F2F6F" w:rsidRPr="003C26EE" w:rsidRDefault="002F2F6F" w:rsidP="002F2F6F"/>
    <w:p w:rsidR="002F2F6F" w:rsidRPr="003C26EE" w:rsidRDefault="002F2F6F" w:rsidP="002F2F6F">
      <w:r w:rsidRPr="003C26EE">
        <w:t>You may review copies of all documents referenced in this announcement at:</w:t>
      </w:r>
    </w:p>
    <w:p w:rsidR="002F2F6F" w:rsidRPr="003C26EE" w:rsidRDefault="002F2F6F" w:rsidP="002F2F6F">
      <w:r w:rsidRPr="003C26EE">
        <w:t>Oregon Department of Environmental Quality</w:t>
      </w:r>
    </w:p>
    <w:p w:rsidR="002F2F6F" w:rsidRPr="003C26EE" w:rsidRDefault="002F2F6F" w:rsidP="002F2F6F">
      <w:r w:rsidRPr="003C26EE">
        <w:t>700 NE Multnomah St., Ste. 600</w:t>
      </w:r>
    </w:p>
    <w:p w:rsidR="002F2F6F" w:rsidRPr="003C26EE" w:rsidRDefault="002F2F6F" w:rsidP="002F2F6F">
      <w:r w:rsidRPr="003C26EE">
        <w:t>Portland, OR, 97232</w:t>
      </w:r>
    </w:p>
    <w:p w:rsidR="002F2F6F" w:rsidRPr="003C26EE" w:rsidRDefault="002F2F6F" w:rsidP="002F2F6F"/>
    <w:p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xml:space="preserve">, </w:t>
      </w:r>
      <w:proofErr w:type="gramStart"/>
      <w:r w:rsidRPr="003C26EE">
        <w:t>PHONE</w:t>
      </w:r>
      <w:proofErr w:type="gramEnd"/>
      <w:r w:rsidRPr="003C26EE">
        <w:t xml:space="preserve"> NO. (800-452-4011, ext. 5622 toll-free in Oregon).</w:t>
      </w:r>
    </w:p>
    <w:p w:rsidR="002F2F6F" w:rsidRPr="003C26EE" w:rsidRDefault="002F2F6F" w:rsidP="002F2F6F"/>
    <w:p w:rsidR="002F2F6F" w:rsidRPr="003C26EE" w:rsidRDefault="002F2F6F" w:rsidP="002F2F6F">
      <w:r w:rsidRPr="003C26EE">
        <w:t xml:space="preserve">DEQ can provide documents in an alternate format or in a language other than English upon request. Call DEQ at 800-452-4011 or email </w:t>
      </w:r>
      <w:hyperlink r:id="rId23" w:history="1">
        <w:r w:rsidRPr="003C26EE">
          <w:rPr>
            <w:rStyle w:val="Hyperlink"/>
          </w:rPr>
          <w:t>deqinfo@deq.state.or.us</w:t>
        </w:r>
      </w:hyperlink>
      <w:r w:rsidRPr="003C26EE">
        <w:t xml:space="preserve">. </w:t>
      </w:r>
    </w:p>
    <w:p w:rsidR="002F2F6F" w:rsidRPr="003C26EE" w:rsidRDefault="002F2F6F" w:rsidP="002F2F6F"/>
    <w:p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DA" w:rsidRDefault="00A112DA" w:rsidP="002D6C99">
      <w:r>
        <w:separator/>
      </w:r>
    </w:p>
  </w:endnote>
  <w:endnote w:type="continuationSeparator" w:id="0">
    <w:p w:rsidR="00A112DA" w:rsidRDefault="00A112D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pPr>
      <w:pStyle w:val="Footer"/>
      <w:jc w:val="right"/>
    </w:pPr>
  </w:p>
  <w:p w:rsidR="00A112DA" w:rsidRDefault="00A11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pPr>
      <w:pStyle w:val="Footer"/>
      <w:jc w:val="right"/>
    </w:pPr>
  </w:p>
  <w:p w:rsidR="00A112DA" w:rsidRDefault="00A1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380032">
          <w:rPr>
            <w:noProof/>
          </w:rPr>
          <w:t>8</w:t>
        </w:r>
        <w:r>
          <w:rPr>
            <w:noProof/>
          </w:rPr>
          <w:fldChar w:fldCharType="end"/>
        </w:r>
      </w:p>
    </w:sdtContent>
  </w:sdt>
  <w:p w:rsidR="00A112DA" w:rsidRDefault="00A112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112DA" w:rsidRDefault="00A112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rsidR="00A112DA" w:rsidRDefault="00A112DA">
        <w:pPr>
          <w:pStyle w:val="Footer"/>
          <w:jc w:val="right"/>
        </w:pPr>
        <w:r>
          <w:fldChar w:fldCharType="begin"/>
        </w:r>
        <w:r>
          <w:instrText xml:space="preserve"> PAGE   \* MERGEFORMAT </w:instrText>
        </w:r>
        <w:r>
          <w:fldChar w:fldCharType="separate"/>
        </w:r>
        <w:r w:rsidR="00380032">
          <w:rPr>
            <w:noProof/>
          </w:rPr>
          <w:t>1</w:t>
        </w:r>
        <w:r>
          <w:rPr>
            <w:noProof/>
          </w:rPr>
          <w:fldChar w:fldCharType="end"/>
        </w:r>
      </w:p>
    </w:sdtContent>
  </w:sdt>
  <w:p w:rsidR="00A112DA" w:rsidRDefault="00A112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rsidR="00A112DA" w:rsidRPr="000F6EE6" w:rsidRDefault="00A112DA" w:rsidP="00A112DA">
        <w:pPr>
          <w:pStyle w:val="Footer"/>
        </w:pPr>
        <w:r w:rsidRPr="000F6EE6">
          <w:fldChar w:fldCharType="begin"/>
        </w:r>
        <w:r w:rsidRPr="000F6EE6">
          <w:instrText xml:space="preserve"> PAGE   \* MERGEFORMAT </w:instrText>
        </w:r>
        <w:r w:rsidRPr="000F6EE6">
          <w:fldChar w:fldCharType="separate"/>
        </w:r>
        <w:r w:rsidR="00380032">
          <w:rPr>
            <w:noProof/>
          </w:rPr>
          <w:t>20</w:t>
        </w:r>
        <w:r w:rsidRPr="000F6EE6">
          <w:fldChar w:fldCharType="end"/>
        </w:r>
      </w:p>
    </w:sdtContent>
  </w:sdt>
  <w:p w:rsidR="00A112DA" w:rsidRDefault="00A1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DA" w:rsidRDefault="00A112DA" w:rsidP="002D6C99">
      <w:r>
        <w:separator/>
      </w:r>
    </w:p>
  </w:footnote>
  <w:footnote w:type="continuationSeparator" w:id="0">
    <w:p w:rsidR="00A112DA" w:rsidRDefault="00A112D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Pr="00F72D05" w:rsidRDefault="00A112DA"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DA" w:rsidRDefault="00A112D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D0AB5"/>
    <w:multiLevelType w:val="multilevel"/>
    <w:tmpl w:val="1CC876B8"/>
    <w:numStyleLink w:val="StyleBulletedLatinCourierNewLeft075Hanging025"/>
  </w:abstractNum>
  <w:abstractNum w:abstractNumId="12" w15:restartNumberingAfterBreak="0">
    <w:nsid w:val="455E793F"/>
    <w:multiLevelType w:val="multilevel"/>
    <w:tmpl w:val="1CC876B8"/>
    <w:numStyleLink w:val="StyleBulletedLatinCourierNewLeft075Hanging025"/>
  </w:abstractNum>
  <w:abstractNum w:abstractNumId="13"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10C06"/>
    <w:multiLevelType w:val="multilevel"/>
    <w:tmpl w:val="1CC876B8"/>
    <w:numStyleLink w:val="StyleBulletedLatinCourierNewLeft075Hanging025"/>
  </w:abstractNum>
  <w:abstractNum w:abstractNumId="16"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0589A"/>
    <w:multiLevelType w:val="multilevel"/>
    <w:tmpl w:val="1CC876B8"/>
    <w:numStyleLink w:val="StyleBulletedLatinCourierNewLeft075Hanging025"/>
  </w:abstractNum>
  <w:abstractNum w:abstractNumId="18" w15:restartNumberingAfterBreak="0">
    <w:nsid w:val="675A2B92"/>
    <w:multiLevelType w:val="multilevel"/>
    <w:tmpl w:val="1CC876B8"/>
    <w:numStyleLink w:val="StyleBulletedLatinCourierNewLeft075Hanging025"/>
  </w:abstractNum>
  <w:abstractNum w:abstractNumId="19" w15:restartNumberingAfterBreak="0">
    <w:nsid w:val="6C8E5623"/>
    <w:multiLevelType w:val="multilevel"/>
    <w:tmpl w:val="1CC876B8"/>
    <w:numStyleLink w:val="StyleBulletedLatinCourierNewLeft075Hanging025"/>
  </w:abstractNum>
  <w:abstractNum w:abstractNumId="2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9"/>
  </w:num>
  <w:num w:numId="4">
    <w:abstractNumId w:val="7"/>
  </w:num>
  <w:num w:numId="5">
    <w:abstractNumId w:val="5"/>
  </w:num>
  <w:num w:numId="6">
    <w:abstractNumId w:val="0"/>
  </w:num>
  <w:num w:numId="7">
    <w:abstractNumId w:val="6"/>
  </w:num>
  <w:num w:numId="8">
    <w:abstractNumId w:val="10"/>
  </w:num>
  <w:num w:numId="9">
    <w:abstractNumId w:val="16"/>
  </w:num>
  <w:num w:numId="10">
    <w:abstractNumId w:val="13"/>
  </w:num>
  <w:num w:numId="11">
    <w:abstractNumId w:val="14"/>
  </w:num>
  <w:num w:numId="12">
    <w:abstractNumId w:val="20"/>
  </w:num>
  <w:num w:numId="13">
    <w:abstractNumId w:val="1"/>
  </w:num>
  <w:num w:numId="14">
    <w:abstractNumId w:val="3"/>
  </w:num>
  <w:num w:numId="15">
    <w:abstractNumId w:val="15"/>
  </w:num>
  <w:num w:numId="16">
    <w:abstractNumId w:val="18"/>
  </w:num>
  <w:num w:numId="17">
    <w:abstractNumId w:val="11"/>
  </w:num>
  <w:num w:numId="18">
    <w:abstractNumId w:val="19"/>
  </w:num>
  <w:num w:numId="19">
    <w:abstractNumId w:val="8"/>
  </w:num>
  <w:num w:numId="20">
    <w:abstractNumId w:val="17"/>
  </w:num>
  <w:num w:numId="21">
    <w:abstractNumId w:val="12"/>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1673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CF366-3096-42F4-B311-EFBB66F5020D}"/>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8DB0A328-AE88-4B6E-9C7C-3C2E5AA15204}"/>
</file>

<file path=docProps/app.xml><?xml version="1.0" encoding="utf-8"?>
<Properties xmlns="http://schemas.openxmlformats.org/officeDocument/2006/extended-properties" xmlns:vt="http://schemas.openxmlformats.org/officeDocument/2006/docPropsVTypes">
  <Template>7625CFCF.dotm</Template>
  <TotalTime>5</TotalTime>
  <Pages>23</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GOLDSTEIN Meyer</cp:lastModifiedBy>
  <cp:revision>4</cp:revision>
  <cp:lastPrinted>2013-02-28T21:12:00Z</cp:lastPrinted>
  <dcterms:created xsi:type="dcterms:W3CDTF">2019-03-21T16:05:00Z</dcterms:created>
  <dcterms:modified xsi:type="dcterms:W3CDTF">2019-04-03T18:43:00Z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