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C96EF1" w14:textId="77777777" w:rsidR="00B845D8" w:rsidRPr="003C26EE" w:rsidRDefault="00B845D8" w:rsidP="00B845D8">
      <w:pPr>
        <w:jc w:val="center"/>
        <w:rPr>
          <w:rFonts w:ascii="Arial" w:hAnsi="Arial" w:cs="Arial"/>
          <w:b/>
          <w:sz w:val="44"/>
          <w:szCs w:val="44"/>
        </w:rPr>
      </w:pPr>
      <w:r w:rsidRPr="003C26EE">
        <w:rPr>
          <w:rFonts w:ascii="Arial" w:hAnsi="Arial" w:cs="Arial"/>
          <w:b/>
          <w:sz w:val="44"/>
          <w:szCs w:val="44"/>
        </w:rPr>
        <w:t>Document Review Checklist</w:t>
      </w:r>
    </w:p>
    <w:p w14:paraId="62B219D2" w14:textId="77777777" w:rsidR="00B845D8" w:rsidRPr="003C26EE" w:rsidRDefault="00B845D8" w:rsidP="00B845D8"/>
    <w:p w14:paraId="65957A4F" w14:textId="77777777" w:rsidR="00B845D8" w:rsidRDefault="00B845D8" w:rsidP="009109DE">
      <w:pPr>
        <w:pStyle w:val="ListParagraph"/>
        <w:numPr>
          <w:ilvl w:val="0"/>
          <w:numId w:val="2"/>
        </w:numPr>
      </w:pPr>
      <w:r w:rsidRPr="00C30674">
        <w:t>Every document that will be shared with anyone outside of DEQ staff must go through management review. This includes reports and PowerPoint presentations.</w:t>
      </w:r>
    </w:p>
    <w:p w14:paraId="32820D8E" w14:textId="77777777" w:rsidR="00B845D8" w:rsidRDefault="00B845D8" w:rsidP="009109DE">
      <w:pPr>
        <w:pStyle w:val="ListParagraph"/>
        <w:numPr>
          <w:ilvl w:val="0"/>
          <w:numId w:val="2"/>
        </w:numPr>
      </w:pPr>
      <w:r w:rsidRPr="003C26EE">
        <w:t>The Notice of Rulemaking and EQC Staff Report must also be reviewed and approved by the relevant Division Administrator.</w:t>
      </w:r>
    </w:p>
    <w:p w14:paraId="424EC6CB" w14:textId="77777777" w:rsidR="00B845D8" w:rsidRPr="003C26EE" w:rsidRDefault="00B845D8" w:rsidP="009109DE">
      <w:pPr>
        <w:pStyle w:val="ListParagraph"/>
        <w:numPr>
          <w:ilvl w:val="0"/>
          <w:numId w:val="2"/>
        </w:numPr>
      </w:pPr>
      <w:r w:rsidRPr="003C26EE">
        <w:t>Each required reviewer should add their name and the date when they complete their final review and approve the document for distribution.</w:t>
      </w:r>
    </w:p>
    <w:p w14:paraId="632D3B27" w14:textId="77777777" w:rsidR="00B845D8" w:rsidRPr="003C26EE" w:rsidRDefault="00B845D8" w:rsidP="00B845D8"/>
    <w:tbl>
      <w:tblPr>
        <w:tblStyle w:val="TableGrid"/>
        <w:tblW w:w="0" w:type="auto"/>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2" w:space="0" w:color="000000" w:themeColor="text1"/>
          <w:insideV w:val="single" w:sz="12" w:space="0" w:color="000000" w:themeColor="text1"/>
        </w:tblBorders>
        <w:tblCellMar>
          <w:top w:w="29" w:type="dxa"/>
          <w:left w:w="29" w:type="dxa"/>
          <w:bottom w:w="29" w:type="dxa"/>
          <w:right w:w="29" w:type="dxa"/>
        </w:tblCellMar>
        <w:tblLook w:val="04A0" w:firstRow="1" w:lastRow="0" w:firstColumn="1" w:lastColumn="0" w:noHBand="0" w:noVBand="1"/>
      </w:tblPr>
      <w:tblGrid>
        <w:gridCol w:w="1852"/>
        <w:gridCol w:w="3343"/>
        <w:gridCol w:w="1373"/>
        <w:gridCol w:w="1373"/>
        <w:gridCol w:w="1373"/>
      </w:tblGrid>
      <w:tr w:rsidR="00B845D8" w:rsidRPr="003C26EE" w14:paraId="0019929C" w14:textId="77777777" w:rsidTr="001274E4">
        <w:trPr>
          <w:trHeight w:val="356"/>
        </w:trPr>
        <w:tc>
          <w:tcPr>
            <w:tcW w:w="9330" w:type="dxa"/>
            <w:gridSpan w:val="5"/>
            <w:vAlign w:val="center"/>
          </w:tcPr>
          <w:p w14:paraId="5943261A" w14:textId="77777777" w:rsidR="00B845D8" w:rsidRPr="003C26EE" w:rsidRDefault="00B845D8" w:rsidP="007A2FFF">
            <w:pPr>
              <w:jc w:val="center"/>
              <w:rPr>
                <w:rFonts w:ascii="Arial" w:hAnsi="Arial" w:cs="Arial"/>
                <w:b/>
                <w:sz w:val="32"/>
                <w:szCs w:val="32"/>
              </w:rPr>
            </w:pPr>
            <w:r w:rsidRPr="003C26EE">
              <w:rPr>
                <w:rFonts w:ascii="Arial" w:hAnsi="Arial" w:cs="Arial"/>
                <w:b/>
                <w:sz w:val="32"/>
                <w:szCs w:val="32"/>
              </w:rPr>
              <w:t>Document Review Sign Off Sheet</w:t>
            </w:r>
            <w:r>
              <w:rPr>
                <w:rFonts w:ascii="Arial" w:hAnsi="Arial" w:cs="Arial"/>
                <w:b/>
                <w:sz w:val="32"/>
                <w:szCs w:val="32"/>
              </w:rPr>
              <w:t xml:space="preserve"> – </w:t>
            </w:r>
            <w:r w:rsidR="002F2F6F">
              <w:rPr>
                <w:rFonts w:ascii="Arial" w:hAnsi="Arial" w:cs="Arial"/>
                <w:b/>
                <w:sz w:val="32"/>
                <w:szCs w:val="32"/>
              </w:rPr>
              <w:t>EQC Staff Report</w:t>
            </w:r>
          </w:p>
        </w:tc>
      </w:tr>
      <w:tr w:rsidR="00B845D8" w:rsidRPr="003C26EE" w14:paraId="05A514BB" w14:textId="77777777" w:rsidTr="001274E4">
        <w:trPr>
          <w:trHeight w:val="356"/>
        </w:trPr>
        <w:tc>
          <w:tcPr>
            <w:tcW w:w="1854" w:type="dxa"/>
            <w:vAlign w:val="center"/>
          </w:tcPr>
          <w:p w14:paraId="701A1202" w14:textId="77777777" w:rsidR="00B845D8" w:rsidRPr="003C26EE" w:rsidRDefault="00B845D8" w:rsidP="001274E4">
            <w:pPr>
              <w:jc w:val="center"/>
              <w:rPr>
                <w:rFonts w:ascii="Arial" w:hAnsi="Arial" w:cs="Arial"/>
                <w:b/>
                <w:sz w:val="28"/>
                <w:szCs w:val="28"/>
              </w:rPr>
            </w:pPr>
            <w:r w:rsidRPr="003C26EE">
              <w:rPr>
                <w:rFonts w:ascii="Arial" w:hAnsi="Arial" w:cs="Arial"/>
                <w:b/>
                <w:sz w:val="28"/>
                <w:szCs w:val="28"/>
              </w:rPr>
              <w:t>Reviewer</w:t>
            </w:r>
          </w:p>
        </w:tc>
        <w:tc>
          <w:tcPr>
            <w:tcW w:w="3351" w:type="dxa"/>
            <w:vAlign w:val="center"/>
          </w:tcPr>
          <w:p w14:paraId="3331BE6E" w14:textId="77777777" w:rsidR="00B845D8" w:rsidRPr="003C26EE" w:rsidRDefault="00B845D8" w:rsidP="001274E4">
            <w:pPr>
              <w:jc w:val="center"/>
              <w:rPr>
                <w:rFonts w:ascii="Arial" w:hAnsi="Arial" w:cs="Arial"/>
                <w:b/>
                <w:sz w:val="28"/>
                <w:szCs w:val="28"/>
              </w:rPr>
            </w:pPr>
            <w:r w:rsidRPr="003C26EE">
              <w:rPr>
                <w:rFonts w:ascii="Arial" w:hAnsi="Arial" w:cs="Arial"/>
                <w:b/>
                <w:sz w:val="28"/>
                <w:szCs w:val="28"/>
              </w:rPr>
              <w:t>Name</w:t>
            </w:r>
          </w:p>
        </w:tc>
        <w:tc>
          <w:tcPr>
            <w:tcW w:w="1375" w:type="dxa"/>
            <w:vAlign w:val="center"/>
          </w:tcPr>
          <w:p w14:paraId="16635236" w14:textId="77777777" w:rsidR="00B845D8" w:rsidRPr="003C26EE" w:rsidRDefault="00B845D8" w:rsidP="001274E4">
            <w:pPr>
              <w:jc w:val="center"/>
              <w:rPr>
                <w:rFonts w:ascii="Arial" w:hAnsi="Arial" w:cs="Arial"/>
                <w:b/>
                <w:sz w:val="28"/>
                <w:szCs w:val="28"/>
              </w:rPr>
            </w:pPr>
            <w:r w:rsidRPr="003C26EE">
              <w:rPr>
                <w:rFonts w:ascii="Arial" w:hAnsi="Arial" w:cs="Arial"/>
                <w:b/>
                <w:sz w:val="28"/>
                <w:szCs w:val="28"/>
              </w:rPr>
              <w:t>Date</w:t>
            </w:r>
          </w:p>
        </w:tc>
        <w:tc>
          <w:tcPr>
            <w:tcW w:w="1375" w:type="dxa"/>
            <w:vAlign w:val="center"/>
          </w:tcPr>
          <w:p w14:paraId="7B55A9B2" w14:textId="77777777" w:rsidR="00B845D8" w:rsidRPr="003C26EE" w:rsidRDefault="00B845D8" w:rsidP="001274E4">
            <w:pPr>
              <w:jc w:val="center"/>
              <w:rPr>
                <w:rFonts w:ascii="Arial" w:hAnsi="Arial" w:cs="Arial"/>
                <w:b/>
                <w:sz w:val="28"/>
                <w:szCs w:val="28"/>
              </w:rPr>
            </w:pPr>
            <w:r w:rsidRPr="003C26EE">
              <w:rPr>
                <w:rFonts w:ascii="Arial" w:hAnsi="Arial" w:cs="Arial"/>
                <w:b/>
                <w:sz w:val="28"/>
                <w:szCs w:val="28"/>
              </w:rPr>
              <w:t>Date</w:t>
            </w:r>
          </w:p>
        </w:tc>
        <w:tc>
          <w:tcPr>
            <w:tcW w:w="1375" w:type="dxa"/>
            <w:vAlign w:val="center"/>
          </w:tcPr>
          <w:p w14:paraId="205C07D4" w14:textId="77777777" w:rsidR="00B845D8" w:rsidRPr="003C26EE" w:rsidRDefault="00B845D8" w:rsidP="001274E4">
            <w:pPr>
              <w:jc w:val="center"/>
              <w:rPr>
                <w:rFonts w:ascii="Arial" w:hAnsi="Arial" w:cs="Arial"/>
                <w:b/>
                <w:sz w:val="28"/>
                <w:szCs w:val="28"/>
              </w:rPr>
            </w:pPr>
            <w:r w:rsidRPr="003C26EE">
              <w:rPr>
                <w:rFonts w:ascii="Arial" w:hAnsi="Arial" w:cs="Arial"/>
                <w:b/>
                <w:sz w:val="28"/>
                <w:szCs w:val="28"/>
              </w:rPr>
              <w:t>Date</w:t>
            </w:r>
          </w:p>
        </w:tc>
      </w:tr>
      <w:tr w:rsidR="00B845D8" w:rsidRPr="003C26EE" w14:paraId="18E16314" w14:textId="77777777" w:rsidTr="001274E4">
        <w:trPr>
          <w:trHeight w:val="356"/>
        </w:trPr>
        <w:tc>
          <w:tcPr>
            <w:tcW w:w="1854" w:type="dxa"/>
          </w:tcPr>
          <w:p w14:paraId="2918ECB4" w14:textId="77777777" w:rsidR="00B845D8" w:rsidRPr="003C26EE" w:rsidRDefault="00B845D8" w:rsidP="001274E4">
            <w:r w:rsidRPr="003C26EE">
              <w:t>Program Mgr.</w:t>
            </w:r>
          </w:p>
        </w:tc>
        <w:tc>
          <w:tcPr>
            <w:tcW w:w="3351" w:type="dxa"/>
            <w:vAlign w:val="center"/>
          </w:tcPr>
          <w:p w14:paraId="3C3D73A8" w14:textId="77777777" w:rsidR="00B845D8" w:rsidRPr="003C26EE" w:rsidRDefault="00B845D8" w:rsidP="001274E4"/>
        </w:tc>
        <w:tc>
          <w:tcPr>
            <w:tcW w:w="1375" w:type="dxa"/>
            <w:vAlign w:val="center"/>
          </w:tcPr>
          <w:p w14:paraId="1C8ACBB3" w14:textId="77777777" w:rsidR="00B845D8" w:rsidRPr="003C26EE" w:rsidRDefault="00B845D8" w:rsidP="001274E4"/>
        </w:tc>
        <w:tc>
          <w:tcPr>
            <w:tcW w:w="1375" w:type="dxa"/>
            <w:vAlign w:val="center"/>
          </w:tcPr>
          <w:p w14:paraId="13B55970" w14:textId="77777777" w:rsidR="00B845D8" w:rsidRPr="003C26EE" w:rsidRDefault="00B845D8" w:rsidP="001274E4"/>
        </w:tc>
        <w:tc>
          <w:tcPr>
            <w:tcW w:w="1375" w:type="dxa"/>
            <w:vAlign w:val="center"/>
          </w:tcPr>
          <w:p w14:paraId="2F34D523" w14:textId="77777777" w:rsidR="00B845D8" w:rsidRPr="003C26EE" w:rsidRDefault="00B845D8" w:rsidP="001274E4"/>
        </w:tc>
      </w:tr>
      <w:tr w:rsidR="00B845D8" w:rsidRPr="003C26EE" w14:paraId="5F12F8A5" w14:textId="77777777" w:rsidTr="001274E4">
        <w:trPr>
          <w:trHeight w:val="356"/>
        </w:trPr>
        <w:tc>
          <w:tcPr>
            <w:tcW w:w="1854" w:type="dxa"/>
          </w:tcPr>
          <w:p w14:paraId="19A2B50F" w14:textId="77777777" w:rsidR="00B845D8" w:rsidRPr="003C26EE" w:rsidRDefault="00B845D8" w:rsidP="001274E4">
            <w:r w:rsidRPr="003C26EE">
              <w:t>DA</w:t>
            </w:r>
          </w:p>
        </w:tc>
        <w:tc>
          <w:tcPr>
            <w:tcW w:w="3351" w:type="dxa"/>
            <w:vAlign w:val="center"/>
          </w:tcPr>
          <w:p w14:paraId="1208BC2C" w14:textId="77777777" w:rsidR="00B845D8" w:rsidRPr="003C26EE" w:rsidRDefault="00B845D8" w:rsidP="001274E4"/>
        </w:tc>
        <w:tc>
          <w:tcPr>
            <w:tcW w:w="1375" w:type="dxa"/>
            <w:vAlign w:val="center"/>
          </w:tcPr>
          <w:p w14:paraId="74278E8A" w14:textId="77777777" w:rsidR="00B845D8" w:rsidRPr="003C26EE" w:rsidRDefault="00B845D8" w:rsidP="001274E4"/>
        </w:tc>
        <w:tc>
          <w:tcPr>
            <w:tcW w:w="1375" w:type="dxa"/>
            <w:vAlign w:val="center"/>
          </w:tcPr>
          <w:p w14:paraId="2C944AEE" w14:textId="77777777" w:rsidR="00B845D8" w:rsidRPr="003C26EE" w:rsidRDefault="00B845D8" w:rsidP="001274E4"/>
        </w:tc>
        <w:tc>
          <w:tcPr>
            <w:tcW w:w="1375" w:type="dxa"/>
            <w:vAlign w:val="center"/>
          </w:tcPr>
          <w:p w14:paraId="500B5D9C" w14:textId="77777777" w:rsidR="00B845D8" w:rsidRPr="003C26EE" w:rsidRDefault="00B845D8" w:rsidP="001274E4"/>
        </w:tc>
      </w:tr>
      <w:tr w:rsidR="00B845D8" w:rsidRPr="003C26EE" w14:paraId="67D6F9A4" w14:textId="77777777" w:rsidTr="001274E4">
        <w:trPr>
          <w:trHeight w:val="356"/>
        </w:trPr>
        <w:tc>
          <w:tcPr>
            <w:tcW w:w="1854" w:type="dxa"/>
          </w:tcPr>
          <w:p w14:paraId="75D9BD03" w14:textId="77777777" w:rsidR="00B845D8" w:rsidRPr="003C26EE" w:rsidRDefault="00B845D8" w:rsidP="001274E4">
            <w:r w:rsidRPr="003C26EE">
              <w:t>Communications</w:t>
            </w:r>
          </w:p>
        </w:tc>
        <w:tc>
          <w:tcPr>
            <w:tcW w:w="3351" w:type="dxa"/>
            <w:vAlign w:val="center"/>
          </w:tcPr>
          <w:p w14:paraId="3D350B95" w14:textId="77777777" w:rsidR="00B845D8" w:rsidRPr="003C26EE" w:rsidRDefault="00B845D8" w:rsidP="001274E4"/>
        </w:tc>
        <w:tc>
          <w:tcPr>
            <w:tcW w:w="1375" w:type="dxa"/>
            <w:vAlign w:val="center"/>
          </w:tcPr>
          <w:p w14:paraId="370A37C2" w14:textId="77777777" w:rsidR="00B845D8" w:rsidRPr="003C26EE" w:rsidRDefault="00B845D8" w:rsidP="001274E4"/>
        </w:tc>
        <w:tc>
          <w:tcPr>
            <w:tcW w:w="1375" w:type="dxa"/>
            <w:vAlign w:val="center"/>
          </w:tcPr>
          <w:p w14:paraId="1E09E525" w14:textId="77777777" w:rsidR="00B845D8" w:rsidRPr="003C26EE" w:rsidRDefault="00B845D8" w:rsidP="001274E4"/>
        </w:tc>
        <w:tc>
          <w:tcPr>
            <w:tcW w:w="1375" w:type="dxa"/>
            <w:vAlign w:val="center"/>
          </w:tcPr>
          <w:p w14:paraId="7CA883D8" w14:textId="77777777" w:rsidR="00B845D8" w:rsidRPr="003C26EE" w:rsidRDefault="00B845D8" w:rsidP="001274E4"/>
        </w:tc>
      </w:tr>
      <w:tr w:rsidR="00B845D8" w:rsidRPr="003C26EE" w14:paraId="25148E4E" w14:textId="77777777" w:rsidTr="001274E4">
        <w:trPr>
          <w:trHeight w:val="356"/>
        </w:trPr>
        <w:tc>
          <w:tcPr>
            <w:tcW w:w="1854" w:type="dxa"/>
          </w:tcPr>
          <w:p w14:paraId="3D33F24D" w14:textId="77777777" w:rsidR="00B845D8" w:rsidRPr="003C26EE" w:rsidRDefault="00B845D8" w:rsidP="001274E4">
            <w:r w:rsidRPr="003C26EE">
              <w:t>ARC or AQRC</w:t>
            </w:r>
          </w:p>
        </w:tc>
        <w:tc>
          <w:tcPr>
            <w:tcW w:w="3351" w:type="dxa"/>
            <w:vAlign w:val="center"/>
          </w:tcPr>
          <w:p w14:paraId="0CE35921" w14:textId="77777777" w:rsidR="00B845D8" w:rsidRPr="003C26EE" w:rsidRDefault="00B845D8" w:rsidP="001274E4"/>
        </w:tc>
        <w:tc>
          <w:tcPr>
            <w:tcW w:w="1375" w:type="dxa"/>
            <w:vAlign w:val="center"/>
          </w:tcPr>
          <w:p w14:paraId="08DF02B6" w14:textId="77777777" w:rsidR="00B845D8" w:rsidRPr="003C26EE" w:rsidRDefault="00B845D8" w:rsidP="001274E4"/>
        </w:tc>
        <w:tc>
          <w:tcPr>
            <w:tcW w:w="1375" w:type="dxa"/>
            <w:vAlign w:val="center"/>
          </w:tcPr>
          <w:p w14:paraId="6E77AAAD" w14:textId="77777777" w:rsidR="00B845D8" w:rsidRPr="003C26EE" w:rsidRDefault="00B845D8" w:rsidP="001274E4"/>
        </w:tc>
        <w:tc>
          <w:tcPr>
            <w:tcW w:w="1375" w:type="dxa"/>
            <w:vAlign w:val="center"/>
          </w:tcPr>
          <w:p w14:paraId="7FDB8F47" w14:textId="77777777" w:rsidR="00B845D8" w:rsidRPr="003C26EE" w:rsidRDefault="00B845D8" w:rsidP="001274E4"/>
        </w:tc>
      </w:tr>
    </w:tbl>
    <w:p w14:paraId="20A41563" w14:textId="77777777" w:rsidR="00B845D8" w:rsidRPr="003C26EE" w:rsidRDefault="00B845D8" w:rsidP="00B845D8"/>
    <w:p w14:paraId="51D542A4" w14:textId="77777777" w:rsidR="00B845D8" w:rsidRPr="00A112DA" w:rsidRDefault="00B845D8" w:rsidP="00A83AA3">
      <w:pPr>
        <w:pStyle w:val="instructions"/>
      </w:pPr>
      <w:r w:rsidRPr="00A112DA">
        <w:t>Instructions for this form are in gold font</w:t>
      </w:r>
      <w:r w:rsidR="002F2F6F" w:rsidRPr="00A112DA">
        <w:t>.</w:t>
      </w:r>
    </w:p>
    <w:p w14:paraId="7D6A78F2" w14:textId="77777777" w:rsidR="002F2F6F" w:rsidRPr="00A112DA" w:rsidRDefault="002F2F6F" w:rsidP="00A83AA3">
      <w:pPr>
        <w:pStyle w:val="instructions"/>
      </w:pPr>
    </w:p>
    <w:p w14:paraId="78AEE747" w14:textId="77777777" w:rsidR="00B845D8" w:rsidRPr="00A112DA" w:rsidRDefault="00B845D8" w:rsidP="00A83AA3">
      <w:pPr>
        <w:pStyle w:val="instructions"/>
      </w:pPr>
      <w:r w:rsidRPr="00A112DA">
        <w:t>Delete all gold text before publishing document</w:t>
      </w:r>
      <w:r w:rsidR="002F2F6F" w:rsidRPr="00A112DA">
        <w:t>.</w:t>
      </w:r>
    </w:p>
    <w:p w14:paraId="68EB894C" w14:textId="77777777" w:rsidR="002F2F6F" w:rsidRPr="00A112DA" w:rsidRDefault="002F2F6F" w:rsidP="00A83AA3">
      <w:pPr>
        <w:pStyle w:val="instructions"/>
      </w:pPr>
    </w:p>
    <w:p w14:paraId="2EFF2837" w14:textId="77777777" w:rsidR="00B845D8" w:rsidRPr="00A112DA" w:rsidRDefault="00B845D8" w:rsidP="00A83AA3">
      <w:pPr>
        <w:pStyle w:val="instructions"/>
      </w:pPr>
      <w:r w:rsidRPr="00A112DA">
        <w:t xml:space="preserve">Links: </w:t>
      </w:r>
      <w:hyperlink r:id="rId11" w:history="1">
        <w:r w:rsidRPr="00A112DA">
          <w:rPr>
            <w:rStyle w:val="Hyperlink"/>
            <w:rFonts w:cs="Arial"/>
            <w:b/>
            <w:color w:val="C45911" w:themeColor="accent2" w:themeShade="BF"/>
          </w:rPr>
          <w:t>LINK</w:t>
        </w:r>
      </w:hyperlink>
      <w:r w:rsidRPr="00A112DA">
        <w:t xml:space="preserve"> go to SharePoint rulemaking resources and should be deleted before publishing</w:t>
      </w:r>
      <w:r w:rsidR="002F2F6F" w:rsidRPr="00A112DA">
        <w:t>.</w:t>
      </w:r>
    </w:p>
    <w:p w14:paraId="0DB68646" w14:textId="77777777" w:rsidR="00B845D8" w:rsidRPr="003C26EE" w:rsidRDefault="00B845D8" w:rsidP="00B845D8">
      <w:pPr>
        <w:rPr>
          <w:rFonts w:ascii="Arial" w:hAnsi="Arial" w:cs="Arial"/>
          <w:color w:val="C45911" w:themeColor="accent2" w:themeShade="BF"/>
        </w:rPr>
      </w:pPr>
    </w:p>
    <w:p w14:paraId="2E49D910" w14:textId="77777777" w:rsidR="00B845D8" w:rsidRDefault="00B845D8" w:rsidP="00B845D8">
      <w:pPr>
        <w:rPr>
          <w:rFonts w:ascii="Arial" w:hAnsi="Arial" w:cs="Arial"/>
          <w:color w:val="C45911" w:themeColor="accent2" w:themeShade="BF"/>
        </w:rPr>
      </w:pPr>
    </w:p>
    <w:p w14:paraId="6219060A" w14:textId="77777777" w:rsidR="00B845D8" w:rsidRDefault="00B845D8" w:rsidP="00B845D8">
      <w:pPr>
        <w:rPr>
          <w:rFonts w:ascii="Arial" w:hAnsi="Arial" w:cs="Arial"/>
          <w:color w:val="C45911" w:themeColor="accent2" w:themeShade="BF"/>
        </w:rPr>
      </w:pPr>
    </w:p>
    <w:p w14:paraId="7509958E" w14:textId="77777777" w:rsidR="00B845D8" w:rsidRDefault="00B845D8" w:rsidP="00B845D8">
      <w:pPr>
        <w:rPr>
          <w:rFonts w:ascii="Arial" w:hAnsi="Arial" w:cs="Arial"/>
          <w:color w:val="C45911" w:themeColor="accent2" w:themeShade="BF"/>
        </w:rPr>
      </w:pPr>
    </w:p>
    <w:p w14:paraId="0BBB6652" w14:textId="77777777" w:rsidR="00B845D8" w:rsidRDefault="00B845D8" w:rsidP="00B845D8">
      <w:pPr>
        <w:rPr>
          <w:rFonts w:ascii="Arial" w:hAnsi="Arial" w:cs="Arial"/>
          <w:color w:val="C45911" w:themeColor="accent2" w:themeShade="BF"/>
        </w:rPr>
      </w:pPr>
    </w:p>
    <w:p w14:paraId="2F510379" w14:textId="77777777" w:rsidR="00B845D8" w:rsidRDefault="00B845D8" w:rsidP="00B845D8">
      <w:pPr>
        <w:rPr>
          <w:rFonts w:ascii="Arial" w:hAnsi="Arial" w:cs="Arial"/>
          <w:color w:val="C45911" w:themeColor="accent2" w:themeShade="BF"/>
        </w:rPr>
      </w:pPr>
    </w:p>
    <w:p w14:paraId="51FF0ED3" w14:textId="77777777" w:rsidR="00B845D8" w:rsidRDefault="00B845D8" w:rsidP="00B845D8">
      <w:pPr>
        <w:rPr>
          <w:rFonts w:ascii="Arial" w:hAnsi="Arial" w:cs="Arial"/>
          <w:color w:val="C45911" w:themeColor="accent2" w:themeShade="BF"/>
        </w:rPr>
      </w:pPr>
    </w:p>
    <w:p w14:paraId="40E894A3" w14:textId="77777777" w:rsidR="00B845D8" w:rsidRDefault="00B845D8" w:rsidP="00B845D8">
      <w:pPr>
        <w:rPr>
          <w:rFonts w:ascii="Arial" w:hAnsi="Arial" w:cs="Arial"/>
          <w:color w:val="C45911" w:themeColor="accent2" w:themeShade="BF"/>
        </w:rPr>
      </w:pPr>
    </w:p>
    <w:p w14:paraId="359AFED7" w14:textId="77777777" w:rsidR="00B845D8" w:rsidRDefault="00B845D8" w:rsidP="00B845D8">
      <w:pPr>
        <w:rPr>
          <w:rFonts w:ascii="Arial" w:hAnsi="Arial" w:cs="Arial"/>
          <w:color w:val="C45911" w:themeColor="accent2" w:themeShade="BF"/>
        </w:rPr>
      </w:pPr>
    </w:p>
    <w:p w14:paraId="162F5ED7" w14:textId="77777777" w:rsidR="00B845D8" w:rsidRDefault="00B845D8" w:rsidP="00B845D8">
      <w:pPr>
        <w:rPr>
          <w:rFonts w:ascii="Arial" w:hAnsi="Arial" w:cs="Arial"/>
          <w:color w:val="C45911" w:themeColor="accent2" w:themeShade="BF"/>
        </w:rPr>
      </w:pPr>
    </w:p>
    <w:p w14:paraId="325624B0" w14:textId="77777777" w:rsidR="00B845D8" w:rsidRDefault="00B845D8" w:rsidP="00B845D8">
      <w:pPr>
        <w:rPr>
          <w:rFonts w:ascii="Arial" w:hAnsi="Arial" w:cs="Arial"/>
          <w:color w:val="C45911" w:themeColor="accent2" w:themeShade="BF"/>
        </w:rPr>
      </w:pPr>
    </w:p>
    <w:p w14:paraId="2DCA51D3" w14:textId="77777777" w:rsidR="00B845D8" w:rsidRDefault="00B845D8" w:rsidP="00B845D8">
      <w:pPr>
        <w:rPr>
          <w:rFonts w:ascii="Arial" w:hAnsi="Arial" w:cs="Arial"/>
          <w:color w:val="C45911" w:themeColor="accent2" w:themeShade="BF"/>
        </w:rPr>
      </w:pPr>
    </w:p>
    <w:p w14:paraId="45B1D5FB" w14:textId="77777777" w:rsidR="00B845D8" w:rsidRDefault="00B845D8" w:rsidP="00B845D8">
      <w:pPr>
        <w:rPr>
          <w:rFonts w:ascii="Arial" w:hAnsi="Arial" w:cs="Arial"/>
          <w:color w:val="C45911" w:themeColor="accent2" w:themeShade="BF"/>
        </w:rPr>
      </w:pPr>
    </w:p>
    <w:p w14:paraId="526ADF37" w14:textId="77777777" w:rsidR="00B845D8" w:rsidRDefault="00B845D8" w:rsidP="00B845D8">
      <w:pPr>
        <w:rPr>
          <w:rFonts w:ascii="Arial" w:hAnsi="Arial" w:cs="Arial"/>
          <w:color w:val="C45911" w:themeColor="accent2" w:themeShade="BF"/>
        </w:rPr>
      </w:pPr>
    </w:p>
    <w:p w14:paraId="6902236F" w14:textId="77777777" w:rsidR="00B845D8" w:rsidRDefault="00B845D8" w:rsidP="00B845D8">
      <w:pPr>
        <w:rPr>
          <w:rFonts w:ascii="Arial" w:hAnsi="Arial" w:cs="Arial"/>
          <w:color w:val="C45911" w:themeColor="accent2" w:themeShade="BF"/>
        </w:rPr>
      </w:pPr>
    </w:p>
    <w:p w14:paraId="12164D17" w14:textId="77777777" w:rsidR="00B845D8" w:rsidRDefault="00B845D8" w:rsidP="00B845D8">
      <w:pPr>
        <w:rPr>
          <w:rFonts w:ascii="Arial" w:hAnsi="Arial" w:cs="Arial"/>
          <w:color w:val="C45911" w:themeColor="accent2" w:themeShade="BF"/>
        </w:rPr>
      </w:pPr>
    </w:p>
    <w:p w14:paraId="7C98372E" w14:textId="77777777" w:rsidR="00B845D8" w:rsidRDefault="00B845D8" w:rsidP="00B845D8">
      <w:pPr>
        <w:rPr>
          <w:rFonts w:ascii="Arial" w:hAnsi="Arial" w:cs="Arial"/>
          <w:color w:val="C45911" w:themeColor="accent2" w:themeShade="BF"/>
        </w:rPr>
      </w:pPr>
    </w:p>
    <w:p w14:paraId="7689D904" w14:textId="77777777" w:rsidR="00B845D8" w:rsidRDefault="00B845D8" w:rsidP="00B845D8">
      <w:pPr>
        <w:rPr>
          <w:rFonts w:ascii="Arial" w:hAnsi="Arial" w:cs="Arial"/>
          <w:color w:val="C45911" w:themeColor="accent2" w:themeShade="BF"/>
        </w:rPr>
      </w:pPr>
    </w:p>
    <w:p w14:paraId="215771A8" w14:textId="77777777" w:rsidR="00B845D8" w:rsidRDefault="00B845D8" w:rsidP="00B845D8">
      <w:pPr>
        <w:rPr>
          <w:rFonts w:ascii="Arial" w:hAnsi="Arial" w:cs="Arial"/>
          <w:color w:val="C45911" w:themeColor="accent2" w:themeShade="BF"/>
        </w:rPr>
      </w:pPr>
    </w:p>
    <w:p w14:paraId="32AFEF9B" w14:textId="77777777" w:rsidR="00B845D8" w:rsidRDefault="00B845D8" w:rsidP="00B845D8">
      <w:pPr>
        <w:rPr>
          <w:rFonts w:ascii="Arial" w:hAnsi="Arial" w:cs="Arial"/>
          <w:color w:val="C45911" w:themeColor="accent2" w:themeShade="BF"/>
        </w:rPr>
      </w:pPr>
    </w:p>
    <w:p w14:paraId="2287E248" w14:textId="77777777" w:rsidR="00B845D8" w:rsidRPr="003C26EE" w:rsidRDefault="00B845D8" w:rsidP="00B845D8">
      <w:pPr>
        <w:rPr>
          <w:rFonts w:ascii="Arial" w:hAnsi="Arial" w:cs="Arial"/>
          <w:color w:val="C45911" w:themeColor="accent2" w:themeShade="BF"/>
        </w:rPr>
      </w:pPr>
    </w:p>
    <w:p w14:paraId="520096E2" w14:textId="77777777" w:rsidR="00B845D8" w:rsidRPr="003C26EE" w:rsidRDefault="00B845D8" w:rsidP="00B845D8">
      <w:pPr>
        <w:rPr>
          <w:rFonts w:ascii="Arial" w:hAnsi="Arial" w:cs="Arial"/>
          <w:color w:val="C45911" w:themeColor="accent2" w:themeShade="BF"/>
        </w:rPr>
      </w:pPr>
    </w:p>
    <w:p w14:paraId="7BA934D0" w14:textId="77777777" w:rsidR="00B845D8" w:rsidRPr="003C26EE" w:rsidRDefault="00B845D8" w:rsidP="00B845D8">
      <w:pPr>
        <w:rPr>
          <w:rFonts w:ascii="Arial" w:hAnsi="Arial" w:cs="Arial"/>
          <w:color w:val="C45911" w:themeColor="accent2" w:themeShade="BF"/>
        </w:rPr>
      </w:pPr>
      <w:r w:rsidRPr="003C26EE">
        <w:rPr>
          <w:rFonts w:ascii="Arial" w:hAnsi="Arial" w:cs="Arial"/>
          <w:color w:val="C45911" w:themeColor="accent2" w:themeShade="BF"/>
        </w:rPr>
        <w:t>If you use tables in your document, they must use the formatting illustrated in the table below, as to fonts and borders. You can copy and paste to other locations in the document.</w:t>
      </w:r>
    </w:p>
    <w:p w14:paraId="255C122A" w14:textId="77777777" w:rsidR="00B845D8" w:rsidRDefault="00B845D8" w:rsidP="00B845D8"/>
    <w:tbl>
      <w:tblPr>
        <w:tblStyle w:val="TableGrid"/>
        <w:tblW w:w="10034" w:type="dxa"/>
        <w:jc w:val="center"/>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2" w:space="0" w:color="000000" w:themeColor="text1"/>
          <w:insideV w:val="single" w:sz="2" w:space="0" w:color="000000" w:themeColor="text1"/>
        </w:tblBorders>
        <w:tblLayout w:type="fixed"/>
        <w:tblCellMar>
          <w:left w:w="0" w:type="dxa"/>
          <w:right w:w="0" w:type="dxa"/>
        </w:tblCellMar>
        <w:tblLook w:val="04A0" w:firstRow="1" w:lastRow="0" w:firstColumn="1" w:lastColumn="0" w:noHBand="0" w:noVBand="1"/>
      </w:tblPr>
      <w:tblGrid>
        <w:gridCol w:w="2453"/>
        <w:gridCol w:w="2564"/>
        <w:gridCol w:w="2615"/>
        <w:gridCol w:w="2402"/>
      </w:tblGrid>
      <w:tr w:rsidR="00B845D8" w:rsidRPr="003C26EE" w14:paraId="270C6D6D" w14:textId="77777777" w:rsidTr="001274E4">
        <w:trPr>
          <w:trHeight w:val="1837"/>
          <w:jc w:val="center"/>
        </w:trPr>
        <w:tc>
          <w:tcPr>
            <w:tcW w:w="10034" w:type="dxa"/>
            <w:gridSpan w:val="4"/>
            <w:tcBorders>
              <w:bottom w:val="single" w:sz="12" w:space="0" w:color="000000" w:themeColor="text1"/>
            </w:tcBorders>
            <w:shd w:val="clear" w:color="auto" w:fill="E2EFD9" w:themeFill="accent6" w:themeFillTint="33"/>
            <w:vAlign w:val="center"/>
          </w:tcPr>
          <w:p w14:paraId="58319FCF" w14:textId="77777777" w:rsidR="00B845D8" w:rsidRPr="003C26EE" w:rsidRDefault="00B845D8" w:rsidP="001274E4">
            <w:pPr>
              <w:jc w:val="center"/>
            </w:pPr>
            <w:r w:rsidRPr="003C26EE">
              <w:rPr>
                <w:noProof/>
              </w:rPr>
              <w:drawing>
                <wp:anchor distT="0" distB="0" distL="114300" distR="114300" simplePos="0" relativeHeight="251664384" behindDoc="1" locked="0" layoutInCell="1" allowOverlap="1" wp14:anchorId="63362747" wp14:editId="2F8DC1CF">
                  <wp:simplePos x="0" y="0"/>
                  <wp:positionH relativeFrom="column">
                    <wp:posOffset>-607695</wp:posOffset>
                  </wp:positionH>
                  <wp:positionV relativeFrom="paragraph">
                    <wp:posOffset>1905</wp:posOffset>
                  </wp:positionV>
                  <wp:extent cx="537845" cy="1117600"/>
                  <wp:effectExtent l="0" t="0" r="0" b="6350"/>
                  <wp:wrapTight wrapText="bothSides">
                    <wp:wrapPolygon edited="0">
                      <wp:start x="0" y="0"/>
                      <wp:lineTo x="0" y="21355"/>
                      <wp:lineTo x="20656" y="21355"/>
                      <wp:lineTo x="20656" y="0"/>
                      <wp:lineTo x="0" y="0"/>
                    </wp:wrapPolygon>
                  </wp:wrapTight>
                  <wp:docPr id="7" name="Picture 7" descr="C:\Users\mgoldst\AppData\Local\Microsoft\Windows\Temporary Internet Files\Content.Word\LogoColorRegul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goldst\AppData\Local\Microsoft\Windows\Temporary Internet Files\Content.Word\LogoColorRegular.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7845" cy="1117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CCBE24" w14:textId="77777777" w:rsidR="00B845D8" w:rsidRPr="00050B27" w:rsidRDefault="00B845D8" w:rsidP="001274E4">
            <w:pPr>
              <w:jc w:val="center"/>
              <w:rPr>
                <w:rFonts w:ascii="Arial" w:hAnsi="Arial" w:cs="Arial"/>
              </w:rPr>
            </w:pPr>
            <w:r w:rsidRPr="00EB44CF">
              <w:rPr>
                <w:rFonts w:ascii="Arial" w:hAnsi="Arial" w:cs="Arial"/>
                <w:b/>
                <w:sz w:val="32"/>
                <w:szCs w:val="32"/>
              </w:rPr>
              <w:t>Table Title (Arial 16, bold)</w:t>
            </w:r>
            <w:r w:rsidRPr="00050B27">
              <w:rPr>
                <w:rFonts w:ascii="Arial" w:hAnsi="Arial" w:cs="Arial"/>
              </w:rPr>
              <w:br/>
            </w:r>
            <w:r w:rsidRPr="00EB44CF">
              <w:rPr>
                <w:rFonts w:ascii="Arial" w:hAnsi="Arial" w:cs="Arial"/>
                <w:b/>
                <w:sz w:val="28"/>
                <w:szCs w:val="28"/>
              </w:rPr>
              <w:t>Additional Title (Arial 14, bold)</w:t>
            </w:r>
            <w:r w:rsidRPr="00050B27">
              <w:rPr>
                <w:rFonts w:ascii="Arial" w:hAnsi="Arial" w:cs="Arial"/>
              </w:rPr>
              <w:br/>
            </w:r>
            <w:r w:rsidRPr="00EB44CF">
              <w:rPr>
                <w:rFonts w:ascii="Arial" w:hAnsi="Arial" w:cs="Arial"/>
                <w:b/>
              </w:rPr>
              <w:t>Even More Info, Date (Arial 12, bold)</w:t>
            </w:r>
          </w:p>
          <w:p w14:paraId="03A71AD0" w14:textId="77777777" w:rsidR="00B845D8" w:rsidRPr="00050B27" w:rsidRDefault="00B845D8" w:rsidP="001274E4">
            <w:pPr>
              <w:jc w:val="center"/>
              <w:rPr>
                <w:rFonts w:ascii="Arial" w:hAnsi="Arial" w:cs="Arial"/>
              </w:rPr>
            </w:pPr>
          </w:p>
          <w:p w14:paraId="3CBC45BA" w14:textId="77777777" w:rsidR="00B845D8" w:rsidRPr="00762E9F" w:rsidRDefault="00B845D8" w:rsidP="001274E4">
            <w:pPr>
              <w:jc w:val="center"/>
              <w:rPr>
                <w:rFonts w:ascii="Arial" w:hAnsi="Arial" w:cs="Arial"/>
              </w:rPr>
            </w:pPr>
            <w:r w:rsidRPr="00762E9F">
              <w:rPr>
                <w:rFonts w:ascii="Arial" w:hAnsi="Arial" w:cs="Arial"/>
              </w:rPr>
              <w:t>-use only solid line borders</w:t>
            </w:r>
          </w:p>
          <w:p w14:paraId="1DCBC8D4" w14:textId="77777777" w:rsidR="00B845D8" w:rsidRPr="00762E9F" w:rsidRDefault="00B845D8" w:rsidP="001274E4">
            <w:pPr>
              <w:jc w:val="center"/>
              <w:rPr>
                <w:rFonts w:ascii="Arial" w:hAnsi="Arial" w:cs="Arial"/>
              </w:rPr>
            </w:pPr>
            <w:r w:rsidRPr="00762E9F">
              <w:rPr>
                <w:rFonts w:ascii="Arial" w:hAnsi="Arial" w:cs="Arial"/>
              </w:rPr>
              <w:t>-for outside borders, use 2</w:t>
            </w:r>
            <w:r w:rsidRPr="00762E9F">
              <w:rPr>
                <w:rFonts w:ascii="Arial" w:hAnsi="Arial" w:cs="Arial"/>
                <w:vertAlign w:val="superscript"/>
              </w:rPr>
              <w:t>1/4</w:t>
            </w:r>
            <w:r w:rsidRPr="00762E9F">
              <w:rPr>
                <w:rFonts w:ascii="Arial" w:hAnsi="Arial" w:cs="Arial"/>
              </w:rPr>
              <w:t xml:space="preserve"> thickness</w:t>
            </w:r>
          </w:p>
          <w:p w14:paraId="2DE43686" w14:textId="77777777" w:rsidR="00B845D8" w:rsidRPr="003C26EE" w:rsidRDefault="00B845D8" w:rsidP="001274E4">
            <w:pPr>
              <w:jc w:val="center"/>
            </w:pPr>
            <w:r w:rsidRPr="00762E9F">
              <w:rPr>
                <w:rFonts w:ascii="Arial" w:hAnsi="Arial" w:cs="Arial"/>
              </w:rPr>
              <w:t>-for inside borders, use 1</w:t>
            </w:r>
            <w:r w:rsidRPr="00762E9F">
              <w:rPr>
                <w:rFonts w:ascii="Arial" w:hAnsi="Arial" w:cs="Arial"/>
                <w:vertAlign w:val="superscript"/>
              </w:rPr>
              <w:t>1/4</w:t>
            </w:r>
            <w:r w:rsidRPr="00762E9F">
              <w:rPr>
                <w:rFonts w:ascii="Arial" w:hAnsi="Arial" w:cs="Arial"/>
              </w:rPr>
              <w:t xml:space="preserve"> thickness</w:t>
            </w:r>
          </w:p>
        </w:tc>
      </w:tr>
      <w:tr w:rsidR="00B845D8" w:rsidRPr="003C26EE" w14:paraId="1C1CDE0D" w14:textId="77777777" w:rsidTr="001274E4">
        <w:trPr>
          <w:trHeight w:val="973"/>
          <w:jc w:val="center"/>
        </w:trPr>
        <w:tc>
          <w:tcPr>
            <w:tcW w:w="5017" w:type="dxa"/>
            <w:gridSpan w:val="2"/>
            <w:tcBorders>
              <w:top w:val="single" w:sz="12" w:space="0" w:color="000000" w:themeColor="text1"/>
              <w:bottom w:val="single" w:sz="12" w:space="0" w:color="000000" w:themeColor="text1"/>
              <w:right w:val="single" w:sz="12" w:space="0" w:color="000000" w:themeColor="text1"/>
            </w:tcBorders>
            <w:shd w:val="clear" w:color="auto" w:fill="C5E0B3" w:themeFill="accent6" w:themeFillTint="66"/>
            <w:vAlign w:val="center"/>
          </w:tcPr>
          <w:p w14:paraId="22CEB1A9" w14:textId="77777777" w:rsidR="00B845D8" w:rsidRPr="00050B27" w:rsidRDefault="00B845D8" w:rsidP="001274E4">
            <w:pPr>
              <w:jc w:val="center"/>
              <w:rPr>
                <w:rFonts w:ascii="Arial" w:hAnsi="Arial" w:cs="Arial"/>
                <w:b/>
                <w:sz w:val="28"/>
                <w:szCs w:val="28"/>
              </w:rPr>
            </w:pPr>
            <w:r w:rsidRPr="00050B27">
              <w:rPr>
                <w:rFonts w:ascii="Arial" w:hAnsi="Arial" w:cs="Arial"/>
                <w:b/>
                <w:sz w:val="28"/>
                <w:szCs w:val="28"/>
              </w:rPr>
              <w:t>Subheading 1 (Arial 14, bold)</w:t>
            </w:r>
          </w:p>
        </w:tc>
        <w:tc>
          <w:tcPr>
            <w:tcW w:w="5017" w:type="dxa"/>
            <w:gridSpan w:val="2"/>
            <w:tcBorders>
              <w:top w:val="single" w:sz="12" w:space="0" w:color="000000" w:themeColor="text1"/>
              <w:left w:val="single" w:sz="12" w:space="0" w:color="000000" w:themeColor="text1"/>
              <w:bottom w:val="single" w:sz="12" w:space="0" w:color="000000" w:themeColor="text1"/>
            </w:tcBorders>
            <w:shd w:val="clear" w:color="auto" w:fill="C5E0B3" w:themeFill="accent6" w:themeFillTint="66"/>
            <w:vAlign w:val="center"/>
          </w:tcPr>
          <w:p w14:paraId="6E8269AC" w14:textId="77777777" w:rsidR="00B845D8" w:rsidRPr="00050B27" w:rsidRDefault="00B845D8" w:rsidP="001274E4">
            <w:pPr>
              <w:jc w:val="center"/>
              <w:rPr>
                <w:rFonts w:ascii="Arial" w:hAnsi="Arial" w:cs="Arial"/>
                <w:b/>
                <w:sz w:val="28"/>
                <w:szCs w:val="28"/>
              </w:rPr>
            </w:pPr>
            <w:r w:rsidRPr="00050B27">
              <w:rPr>
                <w:rFonts w:ascii="Arial" w:hAnsi="Arial" w:cs="Arial"/>
                <w:b/>
                <w:sz w:val="28"/>
                <w:szCs w:val="28"/>
              </w:rPr>
              <w:t>Subheading 2, (Arial 14, bold)</w:t>
            </w:r>
          </w:p>
        </w:tc>
      </w:tr>
      <w:tr w:rsidR="00B845D8" w:rsidRPr="003C26EE" w14:paraId="12F4BB07" w14:textId="77777777" w:rsidTr="001274E4">
        <w:trPr>
          <w:trHeight w:val="568"/>
          <w:jc w:val="center"/>
        </w:trPr>
        <w:tc>
          <w:tcPr>
            <w:tcW w:w="5017" w:type="dxa"/>
            <w:gridSpan w:val="2"/>
            <w:tcBorders>
              <w:top w:val="single" w:sz="12" w:space="0" w:color="000000" w:themeColor="text1"/>
              <w:bottom w:val="single" w:sz="12" w:space="0" w:color="000000" w:themeColor="text1"/>
              <w:right w:val="single" w:sz="12" w:space="0" w:color="000000" w:themeColor="text1"/>
            </w:tcBorders>
            <w:shd w:val="clear" w:color="auto" w:fill="A8D08D" w:themeFill="accent6" w:themeFillTint="99"/>
            <w:vAlign w:val="center"/>
          </w:tcPr>
          <w:p w14:paraId="1A7F6839" w14:textId="77777777" w:rsidR="00B845D8" w:rsidRPr="00050B27" w:rsidRDefault="00B845D8" w:rsidP="001274E4">
            <w:pPr>
              <w:jc w:val="center"/>
              <w:rPr>
                <w:rFonts w:ascii="Arial" w:hAnsi="Arial" w:cs="Arial"/>
                <w:b/>
              </w:rPr>
            </w:pPr>
            <w:r w:rsidRPr="00050B27">
              <w:rPr>
                <w:rFonts w:ascii="Arial" w:hAnsi="Arial" w:cs="Arial"/>
                <w:b/>
              </w:rPr>
              <w:t>Sub-sub-heading 1 (Arial 12, bold)</w:t>
            </w:r>
          </w:p>
        </w:tc>
        <w:tc>
          <w:tcPr>
            <w:tcW w:w="5017" w:type="dxa"/>
            <w:gridSpan w:val="2"/>
            <w:tcBorders>
              <w:top w:val="single" w:sz="12" w:space="0" w:color="000000" w:themeColor="text1"/>
              <w:left w:val="single" w:sz="12" w:space="0" w:color="000000" w:themeColor="text1"/>
              <w:bottom w:val="single" w:sz="12" w:space="0" w:color="000000" w:themeColor="text1"/>
            </w:tcBorders>
            <w:shd w:val="clear" w:color="auto" w:fill="A8D08D" w:themeFill="accent6" w:themeFillTint="99"/>
            <w:vAlign w:val="center"/>
          </w:tcPr>
          <w:p w14:paraId="24CE21D5" w14:textId="77777777" w:rsidR="00B845D8" w:rsidRPr="00050B27" w:rsidRDefault="00B845D8" w:rsidP="001274E4">
            <w:pPr>
              <w:jc w:val="center"/>
              <w:rPr>
                <w:rFonts w:ascii="Arial" w:hAnsi="Arial" w:cs="Arial"/>
                <w:b/>
              </w:rPr>
            </w:pPr>
            <w:r w:rsidRPr="00050B27">
              <w:rPr>
                <w:rFonts w:ascii="Arial" w:hAnsi="Arial" w:cs="Arial"/>
                <w:b/>
              </w:rPr>
              <w:t>Sub-subheading 2, (Arial 12, bold)</w:t>
            </w:r>
          </w:p>
        </w:tc>
      </w:tr>
      <w:tr w:rsidR="00B845D8" w:rsidRPr="003C26EE" w14:paraId="3C4BCBD5" w14:textId="77777777" w:rsidTr="001274E4">
        <w:trPr>
          <w:jc w:val="center"/>
        </w:trPr>
        <w:tc>
          <w:tcPr>
            <w:tcW w:w="2453" w:type="dxa"/>
            <w:tcBorders>
              <w:top w:val="single" w:sz="12" w:space="0" w:color="000000" w:themeColor="text1"/>
              <w:bottom w:val="single" w:sz="12" w:space="0" w:color="000000" w:themeColor="text1"/>
              <w:right w:val="single" w:sz="12" w:space="0" w:color="000000" w:themeColor="text1"/>
            </w:tcBorders>
            <w:vAlign w:val="center"/>
          </w:tcPr>
          <w:p w14:paraId="51B7BC6E" w14:textId="77777777" w:rsidR="00B845D8" w:rsidRPr="00050B27" w:rsidRDefault="00B845D8" w:rsidP="001274E4">
            <w:pPr>
              <w:rPr>
                <w:rFonts w:ascii="Arial" w:hAnsi="Arial" w:cs="Arial"/>
                <w:sz w:val="22"/>
                <w:szCs w:val="22"/>
              </w:rPr>
            </w:pPr>
            <w:r w:rsidRPr="00050B27">
              <w:rPr>
                <w:rFonts w:ascii="Arial" w:hAnsi="Arial" w:cs="Arial"/>
                <w:sz w:val="22"/>
                <w:szCs w:val="22"/>
              </w:rPr>
              <w:t>Side heading (Arial 11)</w:t>
            </w:r>
          </w:p>
        </w:tc>
        <w:tc>
          <w:tcPr>
            <w:tcW w:w="256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10C4AD58" w14:textId="77777777" w:rsidR="00B845D8" w:rsidRPr="003C26EE" w:rsidRDefault="00B845D8" w:rsidP="001274E4">
            <w:r w:rsidRPr="003C26EE">
              <w:t>Data (Times New Roman 12)</w:t>
            </w:r>
          </w:p>
        </w:tc>
        <w:tc>
          <w:tcPr>
            <w:tcW w:w="26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643AB33A" w14:textId="77777777" w:rsidR="00B845D8" w:rsidRPr="003C26EE" w:rsidRDefault="00B845D8" w:rsidP="001274E4">
            <w:r w:rsidRPr="003C26EE">
              <w:t>Data (Times New Roman 12)</w:t>
            </w:r>
          </w:p>
        </w:tc>
        <w:tc>
          <w:tcPr>
            <w:tcW w:w="2402" w:type="dxa"/>
            <w:tcBorders>
              <w:top w:val="single" w:sz="12" w:space="0" w:color="000000" w:themeColor="text1"/>
              <w:left w:val="single" w:sz="12" w:space="0" w:color="000000" w:themeColor="text1"/>
              <w:bottom w:val="single" w:sz="12" w:space="0" w:color="000000" w:themeColor="text1"/>
            </w:tcBorders>
            <w:vAlign w:val="center"/>
          </w:tcPr>
          <w:p w14:paraId="3AFAA2FE" w14:textId="77777777" w:rsidR="00B845D8" w:rsidRPr="003C26EE" w:rsidRDefault="00B845D8" w:rsidP="001274E4">
            <w:r w:rsidRPr="003C26EE">
              <w:t>Data (Times New Roman 12)</w:t>
            </w:r>
          </w:p>
        </w:tc>
      </w:tr>
      <w:tr w:rsidR="00B845D8" w:rsidRPr="003C26EE" w14:paraId="1D60BB38" w14:textId="77777777" w:rsidTr="001274E4">
        <w:trPr>
          <w:jc w:val="center"/>
        </w:trPr>
        <w:tc>
          <w:tcPr>
            <w:tcW w:w="2453" w:type="dxa"/>
            <w:tcBorders>
              <w:top w:val="single" w:sz="12" w:space="0" w:color="000000" w:themeColor="text1"/>
              <w:bottom w:val="single" w:sz="18" w:space="0" w:color="000000" w:themeColor="text1"/>
              <w:right w:val="single" w:sz="12" w:space="0" w:color="000000" w:themeColor="text1"/>
            </w:tcBorders>
            <w:vAlign w:val="center"/>
          </w:tcPr>
          <w:p w14:paraId="42D770E3" w14:textId="77777777" w:rsidR="00B845D8" w:rsidRPr="00050B27" w:rsidRDefault="00B845D8" w:rsidP="001274E4">
            <w:pPr>
              <w:rPr>
                <w:rFonts w:ascii="Arial" w:hAnsi="Arial" w:cs="Arial"/>
                <w:sz w:val="22"/>
                <w:szCs w:val="22"/>
              </w:rPr>
            </w:pPr>
            <w:r w:rsidRPr="00050B27">
              <w:rPr>
                <w:rFonts w:ascii="Arial" w:hAnsi="Arial" w:cs="Arial"/>
                <w:sz w:val="22"/>
                <w:szCs w:val="22"/>
              </w:rPr>
              <w:t>Side heading (Arial 11)</w:t>
            </w:r>
          </w:p>
        </w:tc>
        <w:tc>
          <w:tcPr>
            <w:tcW w:w="2564" w:type="dxa"/>
            <w:tcBorders>
              <w:top w:val="single" w:sz="12" w:space="0" w:color="000000" w:themeColor="text1"/>
              <w:left w:val="single" w:sz="12" w:space="0" w:color="000000" w:themeColor="text1"/>
              <w:bottom w:val="single" w:sz="18" w:space="0" w:color="000000" w:themeColor="text1"/>
              <w:right w:val="single" w:sz="12" w:space="0" w:color="000000" w:themeColor="text1"/>
            </w:tcBorders>
            <w:vAlign w:val="center"/>
          </w:tcPr>
          <w:p w14:paraId="5E128B61" w14:textId="77777777" w:rsidR="00B845D8" w:rsidRPr="003C26EE" w:rsidRDefault="00B845D8" w:rsidP="001274E4">
            <w:r w:rsidRPr="003C26EE">
              <w:t>Data (Times New Roman 12)</w:t>
            </w:r>
          </w:p>
        </w:tc>
        <w:tc>
          <w:tcPr>
            <w:tcW w:w="2615" w:type="dxa"/>
            <w:tcBorders>
              <w:top w:val="single" w:sz="12" w:space="0" w:color="000000" w:themeColor="text1"/>
              <w:left w:val="single" w:sz="12" w:space="0" w:color="000000" w:themeColor="text1"/>
              <w:bottom w:val="single" w:sz="18" w:space="0" w:color="000000" w:themeColor="text1"/>
              <w:right w:val="single" w:sz="12" w:space="0" w:color="000000" w:themeColor="text1"/>
            </w:tcBorders>
            <w:vAlign w:val="center"/>
          </w:tcPr>
          <w:p w14:paraId="0879FD0E" w14:textId="77777777" w:rsidR="00B845D8" w:rsidRPr="003C26EE" w:rsidRDefault="00B845D8" w:rsidP="001274E4">
            <w:r w:rsidRPr="003C26EE">
              <w:t>Data (Times New Roman 12)</w:t>
            </w:r>
          </w:p>
        </w:tc>
        <w:tc>
          <w:tcPr>
            <w:tcW w:w="2402" w:type="dxa"/>
            <w:tcBorders>
              <w:top w:val="single" w:sz="12" w:space="0" w:color="000000" w:themeColor="text1"/>
              <w:left w:val="single" w:sz="12" w:space="0" w:color="000000" w:themeColor="text1"/>
              <w:bottom w:val="single" w:sz="18" w:space="0" w:color="000000" w:themeColor="text1"/>
            </w:tcBorders>
            <w:vAlign w:val="center"/>
          </w:tcPr>
          <w:p w14:paraId="4AEDBC61" w14:textId="77777777" w:rsidR="00B845D8" w:rsidRPr="003C26EE" w:rsidRDefault="00B845D8" w:rsidP="001274E4">
            <w:r w:rsidRPr="003C26EE">
              <w:t>Data (Times New Roman 12)</w:t>
            </w:r>
          </w:p>
        </w:tc>
      </w:tr>
      <w:tr w:rsidR="00B845D8" w:rsidRPr="003C26EE" w14:paraId="74BF115C" w14:textId="77777777" w:rsidTr="001274E4">
        <w:trPr>
          <w:jc w:val="center"/>
        </w:trPr>
        <w:tc>
          <w:tcPr>
            <w:tcW w:w="2453" w:type="dxa"/>
            <w:tcBorders>
              <w:top w:val="single" w:sz="12" w:space="0" w:color="000000" w:themeColor="text1"/>
              <w:bottom w:val="single" w:sz="12" w:space="0" w:color="000000" w:themeColor="text1"/>
              <w:right w:val="single" w:sz="12" w:space="0" w:color="000000" w:themeColor="text1"/>
            </w:tcBorders>
            <w:vAlign w:val="center"/>
          </w:tcPr>
          <w:p w14:paraId="22FB0EFD" w14:textId="77777777" w:rsidR="00B845D8" w:rsidRPr="003C26EE" w:rsidRDefault="00B845D8" w:rsidP="001274E4"/>
        </w:tc>
        <w:tc>
          <w:tcPr>
            <w:tcW w:w="256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147AC9DE" w14:textId="77777777" w:rsidR="00B845D8" w:rsidRPr="003C26EE" w:rsidRDefault="00B845D8" w:rsidP="001274E4"/>
        </w:tc>
        <w:tc>
          <w:tcPr>
            <w:tcW w:w="26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459F07D7" w14:textId="77777777" w:rsidR="00B845D8" w:rsidRPr="003C26EE" w:rsidRDefault="00B845D8" w:rsidP="001274E4"/>
        </w:tc>
        <w:tc>
          <w:tcPr>
            <w:tcW w:w="2402" w:type="dxa"/>
            <w:tcBorders>
              <w:top w:val="single" w:sz="12" w:space="0" w:color="000000" w:themeColor="text1"/>
              <w:left w:val="single" w:sz="12" w:space="0" w:color="000000" w:themeColor="text1"/>
              <w:bottom w:val="single" w:sz="12" w:space="0" w:color="000000" w:themeColor="text1"/>
            </w:tcBorders>
            <w:vAlign w:val="center"/>
          </w:tcPr>
          <w:p w14:paraId="00FC93CF" w14:textId="77777777" w:rsidR="00B845D8" w:rsidRPr="003C26EE" w:rsidRDefault="00B845D8" w:rsidP="001274E4"/>
        </w:tc>
      </w:tr>
      <w:tr w:rsidR="00B845D8" w:rsidRPr="003C26EE" w14:paraId="3D0DF877" w14:textId="77777777" w:rsidTr="001274E4">
        <w:trPr>
          <w:jc w:val="center"/>
        </w:trPr>
        <w:tc>
          <w:tcPr>
            <w:tcW w:w="2453" w:type="dxa"/>
            <w:tcBorders>
              <w:top w:val="single" w:sz="12" w:space="0" w:color="000000" w:themeColor="text1"/>
              <w:bottom w:val="single" w:sz="18" w:space="0" w:color="000000" w:themeColor="text1"/>
              <w:right w:val="single" w:sz="12" w:space="0" w:color="000000" w:themeColor="text1"/>
            </w:tcBorders>
            <w:vAlign w:val="center"/>
          </w:tcPr>
          <w:p w14:paraId="6109FA38" w14:textId="77777777" w:rsidR="00B845D8" w:rsidRPr="003C26EE" w:rsidRDefault="00B845D8" w:rsidP="001274E4"/>
        </w:tc>
        <w:tc>
          <w:tcPr>
            <w:tcW w:w="2564" w:type="dxa"/>
            <w:tcBorders>
              <w:top w:val="single" w:sz="12" w:space="0" w:color="000000" w:themeColor="text1"/>
              <w:left w:val="single" w:sz="12" w:space="0" w:color="000000" w:themeColor="text1"/>
              <w:bottom w:val="single" w:sz="18" w:space="0" w:color="000000" w:themeColor="text1"/>
              <w:right w:val="single" w:sz="12" w:space="0" w:color="000000" w:themeColor="text1"/>
            </w:tcBorders>
            <w:vAlign w:val="center"/>
          </w:tcPr>
          <w:p w14:paraId="56D12F34" w14:textId="77777777" w:rsidR="00B845D8" w:rsidRPr="003C26EE" w:rsidRDefault="00B845D8" w:rsidP="001274E4"/>
        </w:tc>
        <w:tc>
          <w:tcPr>
            <w:tcW w:w="2615" w:type="dxa"/>
            <w:tcBorders>
              <w:top w:val="single" w:sz="12" w:space="0" w:color="000000" w:themeColor="text1"/>
              <w:left w:val="single" w:sz="12" w:space="0" w:color="000000" w:themeColor="text1"/>
              <w:bottom w:val="single" w:sz="18" w:space="0" w:color="000000" w:themeColor="text1"/>
              <w:right w:val="single" w:sz="12" w:space="0" w:color="000000" w:themeColor="text1"/>
            </w:tcBorders>
            <w:vAlign w:val="center"/>
          </w:tcPr>
          <w:p w14:paraId="320CB735" w14:textId="77777777" w:rsidR="00B845D8" w:rsidRPr="003C26EE" w:rsidRDefault="00B845D8" w:rsidP="001274E4"/>
        </w:tc>
        <w:tc>
          <w:tcPr>
            <w:tcW w:w="2402" w:type="dxa"/>
            <w:tcBorders>
              <w:top w:val="single" w:sz="12" w:space="0" w:color="000000" w:themeColor="text1"/>
              <w:left w:val="single" w:sz="12" w:space="0" w:color="000000" w:themeColor="text1"/>
              <w:bottom w:val="single" w:sz="18" w:space="0" w:color="000000" w:themeColor="text1"/>
            </w:tcBorders>
            <w:vAlign w:val="center"/>
          </w:tcPr>
          <w:p w14:paraId="2CDD3383" w14:textId="77777777" w:rsidR="00B845D8" w:rsidRPr="003C26EE" w:rsidRDefault="00B845D8" w:rsidP="001274E4"/>
        </w:tc>
      </w:tr>
    </w:tbl>
    <w:p w14:paraId="5C01B8D5" w14:textId="77777777" w:rsidR="00B845D8" w:rsidRDefault="00B845D8" w:rsidP="00B845D8">
      <w:pPr>
        <w:rPr>
          <w:rFonts w:ascii="Arial" w:hAnsi="Arial" w:cs="Arial"/>
        </w:rPr>
      </w:pPr>
    </w:p>
    <w:p w14:paraId="5D4DA719" w14:textId="77777777" w:rsidR="000A7820" w:rsidRDefault="000A7820" w:rsidP="00B845D8">
      <w:pPr>
        <w:rPr>
          <w:rFonts w:ascii="Arial" w:hAnsi="Arial" w:cs="Arial"/>
        </w:rPr>
        <w:sectPr w:rsidR="000A7820" w:rsidSect="001274E4">
          <w:footerReference w:type="default" r:id="rId13"/>
          <w:headerReference w:type="first" r:id="rId14"/>
          <w:footerReference w:type="first" r:id="rId15"/>
          <w:pgSz w:w="12240" w:h="15840"/>
          <w:pgMar w:top="1440" w:right="1440" w:bottom="1440" w:left="1440" w:header="720" w:footer="432" w:gutter="0"/>
          <w:cols w:space="720"/>
          <w:titlePg/>
          <w:docGrid w:linePitch="360"/>
        </w:sectPr>
      </w:pPr>
    </w:p>
    <w:p w14:paraId="07105BAD" w14:textId="77777777" w:rsidR="000A7820" w:rsidRDefault="000A7820" w:rsidP="00B845D8">
      <w:pPr>
        <w:rPr>
          <w:rFonts w:ascii="Arial" w:hAnsi="Arial" w:cs="Arial"/>
        </w:rPr>
        <w:sectPr w:rsidR="000A7820" w:rsidSect="001274E4">
          <w:pgSz w:w="12240" w:h="15840"/>
          <w:pgMar w:top="1440" w:right="1440" w:bottom="1440" w:left="1440" w:header="720" w:footer="432" w:gutter="0"/>
          <w:cols w:space="720"/>
          <w:titlePg/>
          <w:docGrid w:linePitch="360"/>
        </w:sectPr>
      </w:pPr>
    </w:p>
    <w:tbl>
      <w:tblPr>
        <w:tblStyle w:val="TableGrid"/>
        <w:tblW w:w="9360" w:type="dxa"/>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6"/>
        <w:gridCol w:w="8214"/>
      </w:tblGrid>
      <w:tr w:rsidR="00B845D8" w14:paraId="4F923F7C" w14:textId="77777777" w:rsidTr="001274E4">
        <w:trPr>
          <w:trHeight w:val="270"/>
        </w:trPr>
        <w:tc>
          <w:tcPr>
            <w:tcW w:w="1146" w:type="dxa"/>
            <w:vMerge w:val="restart"/>
          </w:tcPr>
          <w:p w14:paraId="1999BD6A" w14:textId="77777777" w:rsidR="00B845D8" w:rsidRPr="00C242A0" w:rsidRDefault="00B845D8" w:rsidP="001274E4">
            <w:pPr>
              <w:rPr>
                <w:rFonts w:ascii="Arial" w:hAnsi="Arial" w:cs="Arial"/>
              </w:rPr>
            </w:pPr>
            <w:r>
              <w:rPr>
                <w:rFonts w:ascii="Arial" w:hAnsi="Arial" w:cs="Arial"/>
                <w:noProof/>
              </w:rPr>
              <w:drawing>
                <wp:inline distT="0" distB="0" distL="0" distR="0" wp14:anchorId="6C50F511" wp14:editId="78D68954">
                  <wp:extent cx="581469" cy="8763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Q-logo-color71x107.png"/>
                          <pic:cNvPicPr/>
                        </pic:nvPicPr>
                        <pic:blipFill>
                          <a:blip r:embed="rId16">
                            <a:extLst>
                              <a:ext uri="{28A0092B-C50C-407E-A947-70E740481C1C}">
                                <a14:useLocalDpi xmlns:a14="http://schemas.microsoft.com/office/drawing/2010/main" val="0"/>
                              </a:ext>
                            </a:extLst>
                          </a:blip>
                          <a:stretch>
                            <a:fillRect/>
                          </a:stretch>
                        </pic:blipFill>
                        <pic:spPr>
                          <a:xfrm>
                            <a:off x="0" y="0"/>
                            <a:ext cx="581469" cy="876300"/>
                          </a:xfrm>
                          <a:prstGeom prst="rect">
                            <a:avLst/>
                          </a:prstGeom>
                        </pic:spPr>
                      </pic:pic>
                    </a:graphicData>
                  </a:graphic>
                </wp:inline>
              </w:drawing>
            </w:r>
          </w:p>
        </w:tc>
        <w:tc>
          <w:tcPr>
            <w:tcW w:w="8214" w:type="dxa"/>
            <w:vAlign w:val="bottom"/>
          </w:tcPr>
          <w:p w14:paraId="3A043C83" w14:textId="77777777" w:rsidR="00B845D8" w:rsidRPr="00C242A0" w:rsidRDefault="00B845D8" w:rsidP="001274E4">
            <w:pPr>
              <w:rPr>
                <w:rFonts w:ascii="Arial" w:hAnsi="Arial" w:cs="Arial"/>
                <w:b/>
                <w:sz w:val="20"/>
                <w:szCs w:val="20"/>
              </w:rPr>
            </w:pPr>
            <w:r w:rsidRPr="00C242A0">
              <w:rPr>
                <w:rFonts w:ascii="Arial" w:hAnsi="Arial" w:cs="Arial"/>
                <w:b/>
                <w:sz w:val="20"/>
                <w:szCs w:val="20"/>
              </w:rPr>
              <w:t>State of Oregon Department of Environmental Quality</w:t>
            </w:r>
          </w:p>
        </w:tc>
      </w:tr>
      <w:tr w:rsidR="00B845D8" w14:paraId="457D61A8" w14:textId="77777777" w:rsidTr="001274E4">
        <w:tc>
          <w:tcPr>
            <w:tcW w:w="1146" w:type="dxa"/>
            <w:vMerge/>
          </w:tcPr>
          <w:p w14:paraId="389A6658" w14:textId="77777777" w:rsidR="00B845D8" w:rsidRPr="00C242A0" w:rsidRDefault="00B845D8" w:rsidP="001274E4">
            <w:pPr>
              <w:rPr>
                <w:rFonts w:ascii="Arial" w:hAnsi="Arial" w:cs="Arial"/>
              </w:rPr>
            </w:pPr>
          </w:p>
        </w:tc>
        <w:tc>
          <w:tcPr>
            <w:tcW w:w="8214" w:type="dxa"/>
          </w:tcPr>
          <w:p w14:paraId="1654FFD5" w14:textId="77777777" w:rsidR="00B845D8" w:rsidRDefault="002F2F6F" w:rsidP="001274E4">
            <w:pPr>
              <w:rPr>
                <w:rFonts w:ascii="Arial" w:hAnsi="Arial" w:cs="Arial"/>
                <w:b/>
                <w:sz w:val="48"/>
                <w:szCs w:val="48"/>
              </w:rPr>
            </w:pPr>
            <w:r>
              <w:rPr>
                <w:rFonts w:ascii="Arial" w:hAnsi="Arial" w:cs="Arial"/>
                <w:b/>
                <w:sz w:val="48"/>
                <w:szCs w:val="48"/>
              </w:rPr>
              <w:t>Oregon Environmental Quality Commission Meeting</w:t>
            </w:r>
          </w:p>
          <w:p w14:paraId="55E75B41" w14:textId="18AA6F81" w:rsidR="00B845D8" w:rsidRPr="008D0959" w:rsidRDefault="008D0959" w:rsidP="001274E4">
            <w:pPr>
              <w:rPr>
                <w:rFonts w:ascii="Arial" w:hAnsi="Arial" w:cs="Arial"/>
                <w:b/>
                <w:color w:val="auto"/>
                <w:sz w:val="28"/>
                <w:szCs w:val="28"/>
              </w:rPr>
            </w:pPr>
            <w:r>
              <w:rPr>
                <w:rFonts w:ascii="Arial" w:hAnsi="Arial" w:cs="Arial"/>
                <w:b/>
                <w:color w:val="auto"/>
                <w:sz w:val="28"/>
                <w:szCs w:val="28"/>
              </w:rPr>
              <w:t>Nov. 14 – 15, 2019</w:t>
            </w:r>
          </w:p>
          <w:p w14:paraId="27A4B464" w14:textId="77777777" w:rsidR="002F2F6F" w:rsidRPr="00A112DA" w:rsidRDefault="002F2F6F" w:rsidP="001274E4">
            <w:pPr>
              <w:rPr>
                <w:rFonts w:ascii="Arial" w:hAnsi="Arial" w:cs="Arial"/>
                <w:b/>
                <w:sz w:val="28"/>
                <w:szCs w:val="28"/>
              </w:rPr>
            </w:pPr>
            <w:r w:rsidRPr="00A112DA">
              <w:rPr>
                <w:rFonts w:ascii="Arial" w:hAnsi="Arial" w:cs="Arial"/>
                <w:b/>
                <w:sz w:val="28"/>
                <w:szCs w:val="28"/>
              </w:rPr>
              <w:t>Agency Staff Report</w:t>
            </w:r>
          </w:p>
          <w:p w14:paraId="74A929C1" w14:textId="77777777" w:rsidR="002F2F6F" w:rsidRPr="00A112DA" w:rsidRDefault="002F2F6F" w:rsidP="001274E4">
            <w:pPr>
              <w:rPr>
                <w:rFonts w:ascii="Arial" w:hAnsi="Arial" w:cs="Arial"/>
                <w:b/>
                <w:sz w:val="28"/>
                <w:szCs w:val="28"/>
              </w:rPr>
            </w:pPr>
            <w:r w:rsidRPr="00A112DA">
              <w:rPr>
                <w:rFonts w:ascii="Arial" w:hAnsi="Arial" w:cs="Arial"/>
                <w:b/>
                <w:sz w:val="28"/>
                <w:szCs w:val="28"/>
              </w:rPr>
              <w:t>Rulemaking Action Item No.</w:t>
            </w:r>
          </w:p>
          <w:p w14:paraId="18B3D19E" w14:textId="2D9EF539" w:rsidR="00B845D8" w:rsidRPr="00A83AA3" w:rsidRDefault="008D0959" w:rsidP="00A83AA3">
            <w:pPr>
              <w:rPr>
                <w:rFonts w:ascii="Arial" w:hAnsi="Arial" w:cs="Arial"/>
                <w:b/>
                <w:sz w:val="28"/>
                <w:szCs w:val="28"/>
              </w:rPr>
            </w:pPr>
            <w:r>
              <w:rPr>
                <w:rFonts w:ascii="Arial" w:hAnsi="Arial" w:cs="Arial"/>
                <w:b/>
                <w:color w:val="auto"/>
                <w:sz w:val="28"/>
                <w:szCs w:val="28"/>
              </w:rPr>
              <w:t>2019 Heating Oil Tank Program Fees Increase</w:t>
            </w:r>
          </w:p>
        </w:tc>
      </w:tr>
      <w:tr w:rsidR="00B845D8" w14:paraId="2CC97695" w14:textId="77777777" w:rsidTr="001274E4">
        <w:tc>
          <w:tcPr>
            <w:tcW w:w="1146" w:type="dxa"/>
            <w:vMerge/>
          </w:tcPr>
          <w:p w14:paraId="761839E7" w14:textId="77777777" w:rsidR="00B845D8" w:rsidRPr="00C242A0" w:rsidRDefault="00B845D8" w:rsidP="001274E4">
            <w:pPr>
              <w:rPr>
                <w:rFonts w:ascii="Arial" w:hAnsi="Arial" w:cs="Arial"/>
              </w:rPr>
            </w:pPr>
          </w:p>
        </w:tc>
        <w:tc>
          <w:tcPr>
            <w:tcW w:w="8214" w:type="dxa"/>
          </w:tcPr>
          <w:p w14:paraId="1A7244E3" w14:textId="77777777" w:rsidR="00B845D8" w:rsidRPr="00C242A0" w:rsidRDefault="00B845D8" w:rsidP="001274E4">
            <w:pPr>
              <w:rPr>
                <w:rFonts w:ascii="Arial" w:hAnsi="Arial" w:cs="Arial"/>
              </w:rPr>
            </w:pPr>
          </w:p>
        </w:tc>
      </w:tr>
    </w:tbl>
    <w:p w14:paraId="47D6FBDC" w14:textId="77777777" w:rsidR="00B845D8" w:rsidRDefault="00B845D8" w:rsidP="00B845D8">
      <w:pPr>
        <w:rPr>
          <w:rFonts w:ascii="Arial" w:hAnsi="Arial" w:cs="Arial"/>
          <w:b/>
          <w:sz w:val="32"/>
          <w:szCs w:val="32"/>
        </w:rPr>
      </w:pPr>
      <w:r w:rsidRPr="002853BB">
        <w:rPr>
          <w:rFonts w:ascii="Arial" w:hAnsi="Arial" w:cs="Arial"/>
          <w:b/>
          <w:sz w:val="32"/>
          <w:szCs w:val="32"/>
        </w:rPr>
        <w:t>Table of Contents</w:t>
      </w:r>
    </w:p>
    <w:p w14:paraId="1D88F693" w14:textId="77777777" w:rsidR="00295FCD" w:rsidRDefault="00B845D8">
      <w:pPr>
        <w:pStyle w:val="TOC1"/>
        <w:tabs>
          <w:tab w:val="right" w:leader="dot" w:pos="9350"/>
        </w:tabs>
        <w:rPr>
          <w:rFonts w:asciiTheme="minorHAnsi" w:eastAsiaTheme="minorEastAsia" w:hAnsiTheme="minorHAnsi" w:cstheme="minorBidi"/>
          <w:bCs w:val="0"/>
          <w:noProof/>
          <w:color w:val="auto"/>
          <w:sz w:val="22"/>
          <w:szCs w:val="22"/>
        </w:rPr>
      </w:pPr>
      <w:r>
        <w:fldChar w:fldCharType="begin"/>
      </w:r>
      <w:r>
        <w:instrText xml:space="preserve"> TOC \h \z \u \t "Heading 1,1" </w:instrText>
      </w:r>
      <w:r>
        <w:fldChar w:fldCharType="separate"/>
      </w:r>
      <w:hyperlink w:anchor="_Toc4051276" w:history="1">
        <w:r w:rsidR="00295FCD" w:rsidRPr="003F0710">
          <w:rPr>
            <w:rStyle w:val="Hyperlink"/>
            <w:noProof/>
          </w:rPr>
          <w:t>DEQ Recommendation to the EQC</w:t>
        </w:r>
        <w:r w:rsidR="00295FCD">
          <w:rPr>
            <w:noProof/>
            <w:webHidden/>
          </w:rPr>
          <w:tab/>
        </w:r>
        <w:r w:rsidR="00295FCD">
          <w:rPr>
            <w:noProof/>
            <w:webHidden/>
          </w:rPr>
          <w:fldChar w:fldCharType="begin"/>
        </w:r>
        <w:r w:rsidR="00295FCD">
          <w:rPr>
            <w:noProof/>
            <w:webHidden/>
          </w:rPr>
          <w:instrText xml:space="preserve"> PAGEREF _Toc4051276 \h </w:instrText>
        </w:r>
        <w:r w:rsidR="00295FCD">
          <w:rPr>
            <w:noProof/>
            <w:webHidden/>
          </w:rPr>
        </w:r>
        <w:r w:rsidR="00295FCD">
          <w:rPr>
            <w:noProof/>
            <w:webHidden/>
          </w:rPr>
          <w:fldChar w:fldCharType="separate"/>
        </w:r>
        <w:r w:rsidR="00295FCD">
          <w:rPr>
            <w:noProof/>
            <w:webHidden/>
          </w:rPr>
          <w:t>1</w:t>
        </w:r>
        <w:r w:rsidR="00295FCD">
          <w:rPr>
            <w:noProof/>
            <w:webHidden/>
          </w:rPr>
          <w:fldChar w:fldCharType="end"/>
        </w:r>
      </w:hyperlink>
    </w:p>
    <w:p w14:paraId="2A681C1A" w14:textId="77777777" w:rsidR="00295FCD" w:rsidRDefault="00DB67D2">
      <w:pPr>
        <w:pStyle w:val="TOC1"/>
        <w:tabs>
          <w:tab w:val="right" w:leader="dot" w:pos="9350"/>
        </w:tabs>
        <w:rPr>
          <w:rFonts w:asciiTheme="minorHAnsi" w:eastAsiaTheme="minorEastAsia" w:hAnsiTheme="minorHAnsi" w:cstheme="minorBidi"/>
          <w:bCs w:val="0"/>
          <w:noProof/>
          <w:color w:val="auto"/>
          <w:sz w:val="22"/>
          <w:szCs w:val="22"/>
        </w:rPr>
      </w:pPr>
      <w:hyperlink w:anchor="_Toc4051277" w:history="1">
        <w:r w:rsidR="00295FCD" w:rsidRPr="003F0710">
          <w:rPr>
            <w:rStyle w:val="Hyperlink"/>
            <w:noProof/>
          </w:rPr>
          <w:t>Introduction</w:t>
        </w:r>
        <w:r w:rsidR="00295FCD">
          <w:rPr>
            <w:noProof/>
            <w:webHidden/>
          </w:rPr>
          <w:tab/>
        </w:r>
        <w:r w:rsidR="00295FCD">
          <w:rPr>
            <w:noProof/>
            <w:webHidden/>
          </w:rPr>
          <w:fldChar w:fldCharType="begin"/>
        </w:r>
        <w:r w:rsidR="00295FCD">
          <w:rPr>
            <w:noProof/>
            <w:webHidden/>
          </w:rPr>
          <w:instrText xml:space="preserve"> PAGEREF _Toc4051277 \h </w:instrText>
        </w:r>
        <w:r w:rsidR="00295FCD">
          <w:rPr>
            <w:noProof/>
            <w:webHidden/>
          </w:rPr>
        </w:r>
        <w:r w:rsidR="00295FCD">
          <w:rPr>
            <w:noProof/>
            <w:webHidden/>
          </w:rPr>
          <w:fldChar w:fldCharType="separate"/>
        </w:r>
        <w:r w:rsidR="00295FCD">
          <w:rPr>
            <w:noProof/>
            <w:webHidden/>
          </w:rPr>
          <w:t>2</w:t>
        </w:r>
        <w:r w:rsidR="00295FCD">
          <w:rPr>
            <w:noProof/>
            <w:webHidden/>
          </w:rPr>
          <w:fldChar w:fldCharType="end"/>
        </w:r>
      </w:hyperlink>
    </w:p>
    <w:p w14:paraId="770ADBD9" w14:textId="77777777" w:rsidR="00295FCD" w:rsidRDefault="00DB67D2">
      <w:pPr>
        <w:pStyle w:val="TOC1"/>
        <w:tabs>
          <w:tab w:val="right" w:leader="dot" w:pos="9350"/>
        </w:tabs>
        <w:rPr>
          <w:rFonts w:asciiTheme="minorHAnsi" w:eastAsiaTheme="minorEastAsia" w:hAnsiTheme="minorHAnsi" w:cstheme="minorBidi"/>
          <w:bCs w:val="0"/>
          <w:noProof/>
          <w:color w:val="auto"/>
          <w:sz w:val="22"/>
          <w:szCs w:val="22"/>
        </w:rPr>
      </w:pPr>
      <w:hyperlink w:anchor="_Toc4051278" w:history="1">
        <w:r w:rsidR="00295FCD" w:rsidRPr="003F0710">
          <w:rPr>
            <w:rStyle w:val="Hyperlink"/>
            <w:noProof/>
          </w:rPr>
          <w:t>Optional Additional Topic</w:t>
        </w:r>
        <w:r w:rsidR="00295FCD">
          <w:rPr>
            <w:noProof/>
            <w:webHidden/>
          </w:rPr>
          <w:tab/>
        </w:r>
        <w:r w:rsidR="00295FCD">
          <w:rPr>
            <w:noProof/>
            <w:webHidden/>
          </w:rPr>
          <w:fldChar w:fldCharType="begin"/>
        </w:r>
        <w:r w:rsidR="00295FCD">
          <w:rPr>
            <w:noProof/>
            <w:webHidden/>
          </w:rPr>
          <w:instrText xml:space="preserve"> PAGEREF _Toc4051278 \h </w:instrText>
        </w:r>
        <w:r w:rsidR="00295FCD">
          <w:rPr>
            <w:noProof/>
            <w:webHidden/>
          </w:rPr>
        </w:r>
        <w:r w:rsidR="00295FCD">
          <w:rPr>
            <w:noProof/>
            <w:webHidden/>
          </w:rPr>
          <w:fldChar w:fldCharType="separate"/>
        </w:r>
        <w:r w:rsidR="00295FCD">
          <w:rPr>
            <w:noProof/>
            <w:webHidden/>
          </w:rPr>
          <w:t>3</w:t>
        </w:r>
        <w:r w:rsidR="00295FCD">
          <w:rPr>
            <w:noProof/>
            <w:webHidden/>
          </w:rPr>
          <w:fldChar w:fldCharType="end"/>
        </w:r>
      </w:hyperlink>
    </w:p>
    <w:p w14:paraId="76A0FBD4" w14:textId="77777777" w:rsidR="00295FCD" w:rsidRDefault="00DB67D2">
      <w:pPr>
        <w:pStyle w:val="TOC1"/>
        <w:tabs>
          <w:tab w:val="right" w:leader="dot" w:pos="9350"/>
        </w:tabs>
        <w:rPr>
          <w:rFonts w:asciiTheme="minorHAnsi" w:eastAsiaTheme="minorEastAsia" w:hAnsiTheme="minorHAnsi" w:cstheme="minorBidi"/>
          <w:bCs w:val="0"/>
          <w:noProof/>
          <w:color w:val="auto"/>
          <w:sz w:val="22"/>
          <w:szCs w:val="22"/>
        </w:rPr>
      </w:pPr>
      <w:hyperlink w:anchor="_Toc4051279" w:history="1">
        <w:r w:rsidR="00295FCD" w:rsidRPr="003F0710">
          <w:rPr>
            <w:rStyle w:val="Hyperlink"/>
            <w:noProof/>
          </w:rPr>
          <w:t>Statement of need</w:t>
        </w:r>
        <w:r w:rsidR="00295FCD">
          <w:rPr>
            <w:noProof/>
            <w:webHidden/>
          </w:rPr>
          <w:tab/>
        </w:r>
        <w:r w:rsidR="00295FCD">
          <w:rPr>
            <w:noProof/>
            <w:webHidden/>
          </w:rPr>
          <w:fldChar w:fldCharType="begin"/>
        </w:r>
        <w:r w:rsidR="00295FCD">
          <w:rPr>
            <w:noProof/>
            <w:webHidden/>
          </w:rPr>
          <w:instrText xml:space="preserve"> PAGEREF _Toc4051279 \h </w:instrText>
        </w:r>
        <w:r w:rsidR="00295FCD">
          <w:rPr>
            <w:noProof/>
            <w:webHidden/>
          </w:rPr>
        </w:r>
        <w:r w:rsidR="00295FCD">
          <w:rPr>
            <w:noProof/>
            <w:webHidden/>
          </w:rPr>
          <w:fldChar w:fldCharType="separate"/>
        </w:r>
        <w:r w:rsidR="00295FCD">
          <w:rPr>
            <w:noProof/>
            <w:webHidden/>
          </w:rPr>
          <w:t>4</w:t>
        </w:r>
        <w:r w:rsidR="00295FCD">
          <w:rPr>
            <w:noProof/>
            <w:webHidden/>
          </w:rPr>
          <w:fldChar w:fldCharType="end"/>
        </w:r>
      </w:hyperlink>
    </w:p>
    <w:p w14:paraId="18E9F8B7" w14:textId="77777777" w:rsidR="00295FCD" w:rsidRDefault="00DB67D2">
      <w:pPr>
        <w:pStyle w:val="TOC1"/>
        <w:tabs>
          <w:tab w:val="right" w:leader="dot" w:pos="9350"/>
        </w:tabs>
        <w:rPr>
          <w:rFonts w:asciiTheme="minorHAnsi" w:eastAsiaTheme="minorEastAsia" w:hAnsiTheme="minorHAnsi" w:cstheme="minorBidi"/>
          <w:bCs w:val="0"/>
          <w:noProof/>
          <w:color w:val="auto"/>
          <w:sz w:val="22"/>
          <w:szCs w:val="22"/>
        </w:rPr>
      </w:pPr>
      <w:hyperlink w:anchor="_Toc4051280" w:history="1">
        <w:r w:rsidR="00295FCD" w:rsidRPr="003F0710">
          <w:rPr>
            <w:rStyle w:val="Hyperlink"/>
            <w:noProof/>
          </w:rPr>
          <w:t>Rules affected, authorities, supporting documents</w:t>
        </w:r>
        <w:r w:rsidR="00295FCD">
          <w:rPr>
            <w:noProof/>
            <w:webHidden/>
          </w:rPr>
          <w:tab/>
        </w:r>
        <w:r w:rsidR="00295FCD">
          <w:rPr>
            <w:noProof/>
            <w:webHidden/>
          </w:rPr>
          <w:fldChar w:fldCharType="begin"/>
        </w:r>
        <w:r w:rsidR="00295FCD">
          <w:rPr>
            <w:noProof/>
            <w:webHidden/>
          </w:rPr>
          <w:instrText xml:space="preserve"> PAGEREF _Toc4051280 \h </w:instrText>
        </w:r>
        <w:r w:rsidR="00295FCD">
          <w:rPr>
            <w:noProof/>
            <w:webHidden/>
          </w:rPr>
        </w:r>
        <w:r w:rsidR="00295FCD">
          <w:rPr>
            <w:noProof/>
            <w:webHidden/>
          </w:rPr>
          <w:fldChar w:fldCharType="separate"/>
        </w:r>
        <w:r w:rsidR="00295FCD">
          <w:rPr>
            <w:noProof/>
            <w:webHidden/>
          </w:rPr>
          <w:t>5</w:t>
        </w:r>
        <w:r w:rsidR="00295FCD">
          <w:rPr>
            <w:noProof/>
            <w:webHidden/>
          </w:rPr>
          <w:fldChar w:fldCharType="end"/>
        </w:r>
      </w:hyperlink>
    </w:p>
    <w:p w14:paraId="62F75254" w14:textId="77777777" w:rsidR="00295FCD" w:rsidRDefault="00DB67D2">
      <w:pPr>
        <w:pStyle w:val="TOC1"/>
        <w:tabs>
          <w:tab w:val="right" w:leader="dot" w:pos="9350"/>
        </w:tabs>
        <w:rPr>
          <w:rFonts w:asciiTheme="minorHAnsi" w:eastAsiaTheme="minorEastAsia" w:hAnsiTheme="minorHAnsi" w:cstheme="minorBidi"/>
          <w:bCs w:val="0"/>
          <w:noProof/>
          <w:color w:val="auto"/>
          <w:sz w:val="22"/>
          <w:szCs w:val="22"/>
        </w:rPr>
      </w:pPr>
      <w:hyperlink w:anchor="_Toc4051281" w:history="1">
        <w:r w:rsidR="00295FCD" w:rsidRPr="003F0710">
          <w:rPr>
            <w:rStyle w:val="Hyperlink"/>
            <w:noProof/>
          </w:rPr>
          <w:t>Fee Analysis</w:t>
        </w:r>
        <w:r w:rsidR="00295FCD">
          <w:rPr>
            <w:noProof/>
            <w:webHidden/>
          </w:rPr>
          <w:tab/>
        </w:r>
        <w:r w:rsidR="00295FCD">
          <w:rPr>
            <w:noProof/>
            <w:webHidden/>
          </w:rPr>
          <w:fldChar w:fldCharType="begin"/>
        </w:r>
        <w:r w:rsidR="00295FCD">
          <w:rPr>
            <w:noProof/>
            <w:webHidden/>
          </w:rPr>
          <w:instrText xml:space="preserve"> PAGEREF _Toc4051281 \h </w:instrText>
        </w:r>
        <w:r w:rsidR="00295FCD">
          <w:rPr>
            <w:noProof/>
            <w:webHidden/>
          </w:rPr>
        </w:r>
        <w:r w:rsidR="00295FCD">
          <w:rPr>
            <w:noProof/>
            <w:webHidden/>
          </w:rPr>
          <w:fldChar w:fldCharType="separate"/>
        </w:r>
        <w:r w:rsidR="00295FCD">
          <w:rPr>
            <w:noProof/>
            <w:webHidden/>
          </w:rPr>
          <w:t>6</w:t>
        </w:r>
        <w:r w:rsidR="00295FCD">
          <w:rPr>
            <w:noProof/>
            <w:webHidden/>
          </w:rPr>
          <w:fldChar w:fldCharType="end"/>
        </w:r>
      </w:hyperlink>
    </w:p>
    <w:p w14:paraId="451E5627" w14:textId="77777777" w:rsidR="00295FCD" w:rsidRDefault="00DB67D2">
      <w:pPr>
        <w:pStyle w:val="TOC1"/>
        <w:tabs>
          <w:tab w:val="right" w:leader="dot" w:pos="9350"/>
        </w:tabs>
        <w:rPr>
          <w:rFonts w:asciiTheme="minorHAnsi" w:eastAsiaTheme="minorEastAsia" w:hAnsiTheme="minorHAnsi" w:cstheme="minorBidi"/>
          <w:bCs w:val="0"/>
          <w:noProof/>
          <w:color w:val="auto"/>
          <w:sz w:val="22"/>
          <w:szCs w:val="22"/>
        </w:rPr>
      </w:pPr>
      <w:hyperlink w:anchor="_Toc4051282" w:history="1">
        <w:r w:rsidR="00295FCD" w:rsidRPr="003F0710">
          <w:rPr>
            <w:rStyle w:val="Hyperlink"/>
            <w:noProof/>
          </w:rPr>
          <w:t>Statement of fiscal and economic impact</w:t>
        </w:r>
        <w:r w:rsidR="00295FCD">
          <w:rPr>
            <w:noProof/>
            <w:webHidden/>
          </w:rPr>
          <w:tab/>
        </w:r>
        <w:r w:rsidR="00295FCD">
          <w:rPr>
            <w:noProof/>
            <w:webHidden/>
          </w:rPr>
          <w:fldChar w:fldCharType="begin"/>
        </w:r>
        <w:r w:rsidR="00295FCD">
          <w:rPr>
            <w:noProof/>
            <w:webHidden/>
          </w:rPr>
          <w:instrText xml:space="preserve"> PAGEREF _Toc4051282 \h </w:instrText>
        </w:r>
        <w:r w:rsidR="00295FCD">
          <w:rPr>
            <w:noProof/>
            <w:webHidden/>
          </w:rPr>
        </w:r>
        <w:r w:rsidR="00295FCD">
          <w:rPr>
            <w:noProof/>
            <w:webHidden/>
          </w:rPr>
          <w:fldChar w:fldCharType="separate"/>
        </w:r>
        <w:r w:rsidR="00295FCD">
          <w:rPr>
            <w:noProof/>
            <w:webHidden/>
          </w:rPr>
          <w:t>7</w:t>
        </w:r>
        <w:r w:rsidR="00295FCD">
          <w:rPr>
            <w:noProof/>
            <w:webHidden/>
          </w:rPr>
          <w:fldChar w:fldCharType="end"/>
        </w:r>
      </w:hyperlink>
    </w:p>
    <w:p w14:paraId="37DBF6C0" w14:textId="77777777" w:rsidR="00295FCD" w:rsidRDefault="00DB67D2">
      <w:pPr>
        <w:pStyle w:val="TOC1"/>
        <w:tabs>
          <w:tab w:val="right" w:leader="dot" w:pos="9350"/>
        </w:tabs>
        <w:rPr>
          <w:rFonts w:asciiTheme="minorHAnsi" w:eastAsiaTheme="minorEastAsia" w:hAnsiTheme="minorHAnsi" w:cstheme="minorBidi"/>
          <w:bCs w:val="0"/>
          <w:noProof/>
          <w:color w:val="auto"/>
          <w:sz w:val="22"/>
          <w:szCs w:val="22"/>
        </w:rPr>
      </w:pPr>
      <w:hyperlink w:anchor="_Toc4051283" w:history="1">
        <w:r w:rsidR="00295FCD" w:rsidRPr="003F0710">
          <w:rPr>
            <w:rStyle w:val="Hyperlink"/>
            <w:noProof/>
          </w:rPr>
          <w:t>Federal relationship</w:t>
        </w:r>
        <w:r w:rsidR="00295FCD">
          <w:rPr>
            <w:noProof/>
            <w:webHidden/>
          </w:rPr>
          <w:tab/>
        </w:r>
        <w:r w:rsidR="00295FCD">
          <w:rPr>
            <w:noProof/>
            <w:webHidden/>
          </w:rPr>
          <w:fldChar w:fldCharType="begin"/>
        </w:r>
        <w:r w:rsidR="00295FCD">
          <w:rPr>
            <w:noProof/>
            <w:webHidden/>
          </w:rPr>
          <w:instrText xml:space="preserve"> PAGEREF _Toc4051283 \h </w:instrText>
        </w:r>
        <w:r w:rsidR="00295FCD">
          <w:rPr>
            <w:noProof/>
            <w:webHidden/>
          </w:rPr>
        </w:r>
        <w:r w:rsidR="00295FCD">
          <w:rPr>
            <w:noProof/>
            <w:webHidden/>
          </w:rPr>
          <w:fldChar w:fldCharType="separate"/>
        </w:r>
        <w:r w:rsidR="00295FCD">
          <w:rPr>
            <w:noProof/>
            <w:webHidden/>
          </w:rPr>
          <w:t>8</w:t>
        </w:r>
        <w:r w:rsidR="00295FCD">
          <w:rPr>
            <w:noProof/>
            <w:webHidden/>
          </w:rPr>
          <w:fldChar w:fldCharType="end"/>
        </w:r>
      </w:hyperlink>
    </w:p>
    <w:p w14:paraId="0C9602C3" w14:textId="77777777" w:rsidR="00295FCD" w:rsidRDefault="00DB67D2">
      <w:pPr>
        <w:pStyle w:val="TOC1"/>
        <w:tabs>
          <w:tab w:val="right" w:leader="dot" w:pos="9350"/>
        </w:tabs>
        <w:rPr>
          <w:rFonts w:asciiTheme="minorHAnsi" w:eastAsiaTheme="minorEastAsia" w:hAnsiTheme="minorHAnsi" w:cstheme="minorBidi"/>
          <w:bCs w:val="0"/>
          <w:noProof/>
          <w:color w:val="auto"/>
          <w:sz w:val="22"/>
          <w:szCs w:val="22"/>
        </w:rPr>
      </w:pPr>
      <w:hyperlink w:anchor="_Toc4051284" w:history="1">
        <w:r w:rsidR="00295FCD" w:rsidRPr="003F0710">
          <w:rPr>
            <w:rStyle w:val="Hyperlink"/>
            <w:noProof/>
          </w:rPr>
          <w:t>Land use</w:t>
        </w:r>
        <w:r w:rsidR="00295FCD">
          <w:rPr>
            <w:noProof/>
            <w:webHidden/>
          </w:rPr>
          <w:tab/>
        </w:r>
        <w:r w:rsidR="00295FCD">
          <w:rPr>
            <w:noProof/>
            <w:webHidden/>
          </w:rPr>
          <w:fldChar w:fldCharType="begin"/>
        </w:r>
        <w:r w:rsidR="00295FCD">
          <w:rPr>
            <w:noProof/>
            <w:webHidden/>
          </w:rPr>
          <w:instrText xml:space="preserve"> PAGEREF _Toc4051284 \h </w:instrText>
        </w:r>
        <w:r w:rsidR="00295FCD">
          <w:rPr>
            <w:noProof/>
            <w:webHidden/>
          </w:rPr>
        </w:r>
        <w:r w:rsidR="00295FCD">
          <w:rPr>
            <w:noProof/>
            <w:webHidden/>
          </w:rPr>
          <w:fldChar w:fldCharType="separate"/>
        </w:r>
        <w:r w:rsidR="00295FCD">
          <w:rPr>
            <w:noProof/>
            <w:webHidden/>
          </w:rPr>
          <w:t>9</w:t>
        </w:r>
        <w:r w:rsidR="00295FCD">
          <w:rPr>
            <w:noProof/>
            <w:webHidden/>
          </w:rPr>
          <w:fldChar w:fldCharType="end"/>
        </w:r>
      </w:hyperlink>
    </w:p>
    <w:p w14:paraId="71F4B29A" w14:textId="77777777" w:rsidR="00295FCD" w:rsidRDefault="00DB67D2">
      <w:pPr>
        <w:pStyle w:val="TOC1"/>
        <w:tabs>
          <w:tab w:val="right" w:leader="dot" w:pos="9350"/>
        </w:tabs>
        <w:rPr>
          <w:rFonts w:asciiTheme="minorHAnsi" w:eastAsiaTheme="minorEastAsia" w:hAnsiTheme="minorHAnsi" w:cstheme="minorBidi"/>
          <w:bCs w:val="0"/>
          <w:noProof/>
          <w:color w:val="auto"/>
          <w:sz w:val="22"/>
          <w:szCs w:val="22"/>
        </w:rPr>
      </w:pPr>
      <w:hyperlink w:anchor="_Toc4051285" w:history="1">
        <w:r w:rsidR="00295FCD" w:rsidRPr="003F0710">
          <w:rPr>
            <w:rStyle w:val="Hyperlink"/>
            <w:noProof/>
          </w:rPr>
          <w:t>EQC Prior Involvement</w:t>
        </w:r>
        <w:r w:rsidR="00295FCD">
          <w:rPr>
            <w:noProof/>
            <w:webHidden/>
          </w:rPr>
          <w:tab/>
        </w:r>
        <w:r w:rsidR="00295FCD">
          <w:rPr>
            <w:noProof/>
            <w:webHidden/>
          </w:rPr>
          <w:fldChar w:fldCharType="begin"/>
        </w:r>
        <w:r w:rsidR="00295FCD">
          <w:rPr>
            <w:noProof/>
            <w:webHidden/>
          </w:rPr>
          <w:instrText xml:space="preserve"> PAGEREF _Toc4051285 \h </w:instrText>
        </w:r>
        <w:r w:rsidR="00295FCD">
          <w:rPr>
            <w:noProof/>
            <w:webHidden/>
          </w:rPr>
        </w:r>
        <w:r w:rsidR="00295FCD">
          <w:rPr>
            <w:noProof/>
            <w:webHidden/>
          </w:rPr>
          <w:fldChar w:fldCharType="separate"/>
        </w:r>
        <w:r w:rsidR="00295FCD">
          <w:rPr>
            <w:noProof/>
            <w:webHidden/>
          </w:rPr>
          <w:t>10</w:t>
        </w:r>
        <w:r w:rsidR="00295FCD">
          <w:rPr>
            <w:noProof/>
            <w:webHidden/>
          </w:rPr>
          <w:fldChar w:fldCharType="end"/>
        </w:r>
      </w:hyperlink>
    </w:p>
    <w:p w14:paraId="5374ADE3" w14:textId="77777777" w:rsidR="00295FCD" w:rsidRDefault="00DB67D2">
      <w:pPr>
        <w:pStyle w:val="TOC1"/>
        <w:tabs>
          <w:tab w:val="right" w:leader="dot" w:pos="9350"/>
        </w:tabs>
        <w:rPr>
          <w:rFonts w:asciiTheme="minorHAnsi" w:eastAsiaTheme="minorEastAsia" w:hAnsiTheme="minorHAnsi" w:cstheme="minorBidi"/>
          <w:bCs w:val="0"/>
          <w:noProof/>
          <w:color w:val="auto"/>
          <w:sz w:val="22"/>
          <w:szCs w:val="22"/>
        </w:rPr>
      </w:pPr>
      <w:hyperlink w:anchor="_Toc4051286" w:history="1">
        <w:r w:rsidR="00295FCD" w:rsidRPr="003F0710">
          <w:rPr>
            <w:rStyle w:val="Hyperlink"/>
            <w:noProof/>
          </w:rPr>
          <w:t>Advisory Committee</w:t>
        </w:r>
        <w:r w:rsidR="00295FCD">
          <w:rPr>
            <w:noProof/>
            <w:webHidden/>
          </w:rPr>
          <w:tab/>
        </w:r>
        <w:r w:rsidR="00295FCD">
          <w:rPr>
            <w:noProof/>
            <w:webHidden/>
          </w:rPr>
          <w:fldChar w:fldCharType="begin"/>
        </w:r>
        <w:r w:rsidR="00295FCD">
          <w:rPr>
            <w:noProof/>
            <w:webHidden/>
          </w:rPr>
          <w:instrText xml:space="preserve"> PAGEREF _Toc4051286 \h </w:instrText>
        </w:r>
        <w:r w:rsidR="00295FCD">
          <w:rPr>
            <w:noProof/>
            <w:webHidden/>
          </w:rPr>
        </w:r>
        <w:r w:rsidR="00295FCD">
          <w:rPr>
            <w:noProof/>
            <w:webHidden/>
          </w:rPr>
          <w:fldChar w:fldCharType="separate"/>
        </w:r>
        <w:r w:rsidR="00295FCD">
          <w:rPr>
            <w:noProof/>
            <w:webHidden/>
          </w:rPr>
          <w:t>11</w:t>
        </w:r>
        <w:r w:rsidR="00295FCD">
          <w:rPr>
            <w:noProof/>
            <w:webHidden/>
          </w:rPr>
          <w:fldChar w:fldCharType="end"/>
        </w:r>
      </w:hyperlink>
    </w:p>
    <w:p w14:paraId="3E3FC5B1" w14:textId="77777777" w:rsidR="00295FCD" w:rsidRDefault="00DB67D2">
      <w:pPr>
        <w:pStyle w:val="TOC1"/>
        <w:tabs>
          <w:tab w:val="right" w:leader="dot" w:pos="9350"/>
        </w:tabs>
        <w:rPr>
          <w:rFonts w:asciiTheme="minorHAnsi" w:eastAsiaTheme="minorEastAsia" w:hAnsiTheme="minorHAnsi" w:cstheme="minorBidi"/>
          <w:bCs w:val="0"/>
          <w:noProof/>
          <w:color w:val="auto"/>
          <w:sz w:val="22"/>
          <w:szCs w:val="22"/>
        </w:rPr>
      </w:pPr>
      <w:hyperlink w:anchor="_Toc4051287" w:history="1">
        <w:r w:rsidR="00295FCD" w:rsidRPr="003F0710">
          <w:rPr>
            <w:rStyle w:val="Hyperlink"/>
            <w:noProof/>
          </w:rPr>
          <w:t>Public Engagement</w:t>
        </w:r>
        <w:r w:rsidR="00295FCD">
          <w:rPr>
            <w:noProof/>
            <w:webHidden/>
          </w:rPr>
          <w:tab/>
        </w:r>
        <w:r w:rsidR="00295FCD">
          <w:rPr>
            <w:noProof/>
            <w:webHidden/>
          </w:rPr>
          <w:fldChar w:fldCharType="begin"/>
        </w:r>
        <w:r w:rsidR="00295FCD">
          <w:rPr>
            <w:noProof/>
            <w:webHidden/>
          </w:rPr>
          <w:instrText xml:space="preserve"> PAGEREF _Toc4051287 \h </w:instrText>
        </w:r>
        <w:r w:rsidR="00295FCD">
          <w:rPr>
            <w:noProof/>
            <w:webHidden/>
          </w:rPr>
        </w:r>
        <w:r w:rsidR="00295FCD">
          <w:rPr>
            <w:noProof/>
            <w:webHidden/>
          </w:rPr>
          <w:fldChar w:fldCharType="separate"/>
        </w:r>
        <w:r w:rsidR="00295FCD">
          <w:rPr>
            <w:noProof/>
            <w:webHidden/>
          </w:rPr>
          <w:t>12</w:t>
        </w:r>
        <w:r w:rsidR="00295FCD">
          <w:rPr>
            <w:noProof/>
            <w:webHidden/>
          </w:rPr>
          <w:fldChar w:fldCharType="end"/>
        </w:r>
      </w:hyperlink>
    </w:p>
    <w:p w14:paraId="2F8FE42E" w14:textId="77777777" w:rsidR="00295FCD" w:rsidRDefault="00DB67D2">
      <w:pPr>
        <w:pStyle w:val="TOC1"/>
        <w:tabs>
          <w:tab w:val="right" w:leader="dot" w:pos="9350"/>
        </w:tabs>
        <w:rPr>
          <w:rFonts w:asciiTheme="minorHAnsi" w:eastAsiaTheme="minorEastAsia" w:hAnsiTheme="minorHAnsi" w:cstheme="minorBidi"/>
          <w:bCs w:val="0"/>
          <w:noProof/>
          <w:color w:val="auto"/>
          <w:sz w:val="22"/>
          <w:szCs w:val="22"/>
        </w:rPr>
      </w:pPr>
      <w:hyperlink w:anchor="_Toc4051288" w:history="1">
        <w:r w:rsidR="00295FCD" w:rsidRPr="003F0710">
          <w:rPr>
            <w:rStyle w:val="Hyperlink"/>
            <w:noProof/>
          </w:rPr>
          <w:t>Public Hearing</w:t>
        </w:r>
        <w:r w:rsidR="00295FCD">
          <w:rPr>
            <w:noProof/>
            <w:webHidden/>
          </w:rPr>
          <w:tab/>
        </w:r>
        <w:r w:rsidR="00295FCD">
          <w:rPr>
            <w:noProof/>
            <w:webHidden/>
          </w:rPr>
          <w:fldChar w:fldCharType="begin"/>
        </w:r>
        <w:r w:rsidR="00295FCD">
          <w:rPr>
            <w:noProof/>
            <w:webHidden/>
          </w:rPr>
          <w:instrText xml:space="preserve"> PAGEREF _Toc4051288 \h </w:instrText>
        </w:r>
        <w:r w:rsidR="00295FCD">
          <w:rPr>
            <w:noProof/>
            <w:webHidden/>
          </w:rPr>
        </w:r>
        <w:r w:rsidR="00295FCD">
          <w:rPr>
            <w:noProof/>
            <w:webHidden/>
          </w:rPr>
          <w:fldChar w:fldCharType="separate"/>
        </w:r>
        <w:r w:rsidR="00295FCD">
          <w:rPr>
            <w:noProof/>
            <w:webHidden/>
          </w:rPr>
          <w:t>13</w:t>
        </w:r>
        <w:r w:rsidR="00295FCD">
          <w:rPr>
            <w:noProof/>
            <w:webHidden/>
          </w:rPr>
          <w:fldChar w:fldCharType="end"/>
        </w:r>
      </w:hyperlink>
    </w:p>
    <w:p w14:paraId="3E317A20" w14:textId="77777777" w:rsidR="00295FCD" w:rsidRDefault="00DB67D2">
      <w:pPr>
        <w:pStyle w:val="TOC1"/>
        <w:tabs>
          <w:tab w:val="right" w:leader="dot" w:pos="9350"/>
        </w:tabs>
        <w:rPr>
          <w:rFonts w:asciiTheme="minorHAnsi" w:eastAsiaTheme="minorEastAsia" w:hAnsiTheme="minorHAnsi" w:cstheme="minorBidi"/>
          <w:bCs w:val="0"/>
          <w:noProof/>
          <w:color w:val="auto"/>
          <w:sz w:val="22"/>
          <w:szCs w:val="22"/>
        </w:rPr>
      </w:pPr>
      <w:hyperlink w:anchor="_Toc4051289" w:history="1">
        <w:r w:rsidR="00295FCD" w:rsidRPr="003F0710">
          <w:rPr>
            <w:rStyle w:val="Hyperlink"/>
            <w:noProof/>
          </w:rPr>
          <w:t>Summary of Public Comments and DEQ Responses</w:t>
        </w:r>
        <w:r w:rsidR="00295FCD">
          <w:rPr>
            <w:noProof/>
            <w:webHidden/>
          </w:rPr>
          <w:tab/>
        </w:r>
        <w:r w:rsidR="00295FCD">
          <w:rPr>
            <w:noProof/>
            <w:webHidden/>
          </w:rPr>
          <w:fldChar w:fldCharType="begin"/>
        </w:r>
        <w:r w:rsidR="00295FCD">
          <w:rPr>
            <w:noProof/>
            <w:webHidden/>
          </w:rPr>
          <w:instrText xml:space="preserve"> PAGEREF _Toc4051289 \h </w:instrText>
        </w:r>
        <w:r w:rsidR="00295FCD">
          <w:rPr>
            <w:noProof/>
            <w:webHidden/>
          </w:rPr>
        </w:r>
        <w:r w:rsidR="00295FCD">
          <w:rPr>
            <w:noProof/>
            <w:webHidden/>
          </w:rPr>
          <w:fldChar w:fldCharType="separate"/>
        </w:r>
        <w:r w:rsidR="00295FCD">
          <w:rPr>
            <w:noProof/>
            <w:webHidden/>
          </w:rPr>
          <w:t>14</w:t>
        </w:r>
        <w:r w:rsidR="00295FCD">
          <w:rPr>
            <w:noProof/>
            <w:webHidden/>
          </w:rPr>
          <w:fldChar w:fldCharType="end"/>
        </w:r>
      </w:hyperlink>
    </w:p>
    <w:p w14:paraId="0B26E70F" w14:textId="77777777" w:rsidR="00295FCD" w:rsidRDefault="00DB67D2">
      <w:pPr>
        <w:pStyle w:val="TOC1"/>
        <w:tabs>
          <w:tab w:val="right" w:leader="dot" w:pos="9350"/>
        </w:tabs>
        <w:rPr>
          <w:rFonts w:asciiTheme="minorHAnsi" w:eastAsiaTheme="minorEastAsia" w:hAnsiTheme="minorHAnsi" w:cstheme="minorBidi"/>
          <w:bCs w:val="0"/>
          <w:noProof/>
          <w:color w:val="auto"/>
          <w:sz w:val="22"/>
          <w:szCs w:val="22"/>
        </w:rPr>
      </w:pPr>
      <w:hyperlink w:anchor="_Toc4051290" w:history="1">
        <w:r w:rsidR="00295FCD" w:rsidRPr="003F0710">
          <w:rPr>
            <w:rStyle w:val="Hyperlink"/>
            <w:noProof/>
          </w:rPr>
          <w:t>Implementation</w:t>
        </w:r>
        <w:r w:rsidR="00295FCD">
          <w:rPr>
            <w:noProof/>
            <w:webHidden/>
          </w:rPr>
          <w:tab/>
        </w:r>
        <w:r w:rsidR="00295FCD">
          <w:rPr>
            <w:noProof/>
            <w:webHidden/>
          </w:rPr>
          <w:fldChar w:fldCharType="begin"/>
        </w:r>
        <w:r w:rsidR="00295FCD">
          <w:rPr>
            <w:noProof/>
            <w:webHidden/>
          </w:rPr>
          <w:instrText xml:space="preserve"> PAGEREF _Toc4051290 \h </w:instrText>
        </w:r>
        <w:r w:rsidR="00295FCD">
          <w:rPr>
            <w:noProof/>
            <w:webHidden/>
          </w:rPr>
        </w:r>
        <w:r w:rsidR="00295FCD">
          <w:rPr>
            <w:noProof/>
            <w:webHidden/>
          </w:rPr>
          <w:fldChar w:fldCharType="separate"/>
        </w:r>
        <w:r w:rsidR="00295FCD">
          <w:rPr>
            <w:noProof/>
            <w:webHidden/>
          </w:rPr>
          <w:t>17</w:t>
        </w:r>
        <w:r w:rsidR="00295FCD">
          <w:rPr>
            <w:noProof/>
            <w:webHidden/>
          </w:rPr>
          <w:fldChar w:fldCharType="end"/>
        </w:r>
      </w:hyperlink>
    </w:p>
    <w:p w14:paraId="6E7ADE39" w14:textId="77777777" w:rsidR="00295FCD" w:rsidRDefault="00DB67D2">
      <w:pPr>
        <w:pStyle w:val="TOC1"/>
        <w:tabs>
          <w:tab w:val="right" w:leader="dot" w:pos="9350"/>
        </w:tabs>
        <w:rPr>
          <w:rFonts w:asciiTheme="minorHAnsi" w:eastAsiaTheme="minorEastAsia" w:hAnsiTheme="minorHAnsi" w:cstheme="minorBidi"/>
          <w:bCs w:val="0"/>
          <w:noProof/>
          <w:color w:val="auto"/>
          <w:sz w:val="22"/>
          <w:szCs w:val="22"/>
        </w:rPr>
      </w:pPr>
      <w:hyperlink w:anchor="_Toc4051291" w:history="1">
        <w:r w:rsidR="00295FCD" w:rsidRPr="003F0710">
          <w:rPr>
            <w:rStyle w:val="Hyperlink"/>
            <w:noProof/>
          </w:rPr>
          <w:t>Five Year Review</w:t>
        </w:r>
        <w:r w:rsidR="00295FCD">
          <w:rPr>
            <w:noProof/>
            <w:webHidden/>
          </w:rPr>
          <w:tab/>
        </w:r>
        <w:r w:rsidR="00295FCD">
          <w:rPr>
            <w:noProof/>
            <w:webHidden/>
          </w:rPr>
          <w:fldChar w:fldCharType="begin"/>
        </w:r>
        <w:r w:rsidR="00295FCD">
          <w:rPr>
            <w:noProof/>
            <w:webHidden/>
          </w:rPr>
          <w:instrText xml:space="preserve"> PAGEREF _Toc4051291 \h </w:instrText>
        </w:r>
        <w:r w:rsidR="00295FCD">
          <w:rPr>
            <w:noProof/>
            <w:webHidden/>
          </w:rPr>
        </w:r>
        <w:r w:rsidR="00295FCD">
          <w:rPr>
            <w:noProof/>
            <w:webHidden/>
          </w:rPr>
          <w:fldChar w:fldCharType="separate"/>
        </w:r>
        <w:r w:rsidR="00295FCD">
          <w:rPr>
            <w:noProof/>
            <w:webHidden/>
          </w:rPr>
          <w:t>18</w:t>
        </w:r>
        <w:r w:rsidR="00295FCD">
          <w:rPr>
            <w:noProof/>
            <w:webHidden/>
          </w:rPr>
          <w:fldChar w:fldCharType="end"/>
        </w:r>
      </w:hyperlink>
    </w:p>
    <w:p w14:paraId="7AAC1E40" w14:textId="77777777" w:rsidR="00295FCD" w:rsidRDefault="00DB67D2">
      <w:pPr>
        <w:pStyle w:val="TOC1"/>
        <w:tabs>
          <w:tab w:val="right" w:leader="dot" w:pos="9350"/>
        </w:tabs>
        <w:rPr>
          <w:rFonts w:asciiTheme="minorHAnsi" w:eastAsiaTheme="minorEastAsia" w:hAnsiTheme="minorHAnsi" w:cstheme="minorBidi"/>
          <w:bCs w:val="0"/>
          <w:noProof/>
          <w:color w:val="auto"/>
          <w:sz w:val="22"/>
          <w:szCs w:val="22"/>
        </w:rPr>
      </w:pPr>
      <w:hyperlink w:anchor="_Toc4051292" w:history="1">
        <w:r w:rsidR="00295FCD" w:rsidRPr="003F0710">
          <w:rPr>
            <w:rStyle w:val="Hyperlink"/>
            <w:noProof/>
          </w:rPr>
          <w:t>Accessibility Information</w:t>
        </w:r>
        <w:r w:rsidR="00295FCD">
          <w:rPr>
            <w:noProof/>
            <w:webHidden/>
          </w:rPr>
          <w:tab/>
        </w:r>
        <w:r w:rsidR="00295FCD">
          <w:rPr>
            <w:noProof/>
            <w:webHidden/>
          </w:rPr>
          <w:fldChar w:fldCharType="begin"/>
        </w:r>
        <w:r w:rsidR="00295FCD">
          <w:rPr>
            <w:noProof/>
            <w:webHidden/>
          </w:rPr>
          <w:instrText xml:space="preserve"> PAGEREF _Toc4051292 \h </w:instrText>
        </w:r>
        <w:r w:rsidR="00295FCD">
          <w:rPr>
            <w:noProof/>
            <w:webHidden/>
          </w:rPr>
        </w:r>
        <w:r w:rsidR="00295FCD">
          <w:rPr>
            <w:noProof/>
            <w:webHidden/>
          </w:rPr>
          <w:fldChar w:fldCharType="separate"/>
        </w:r>
        <w:r w:rsidR="00295FCD">
          <w:rPr>
            <w:noProof/>
            <w:webHidden/>
          </w:rPr>
          <w:t>19</w:t>
        </w:r>
        <w:r w:rsidR="00295FCD">
          <w:rPr>
            <w:noProof/>
            <w:webHidden/>
          </w:rPr>
          <w:fldChar w:fldCharType="end"/>
        </w:r>
      </w:hyperlink>
    </w:p>
    <w:p w14:paraId="3C567DC1" w14:textId="77777777" w:rsidR="00B65968" w:rsidRDefault="00B845D8" w:rsidP="00762E9F">
      <w:pPr>
        <w:pStyle w:val="Heading1"/>
        <w:sectPr w:rsidR="00B65968" w:rsidSect="00B65968">
          <w:headerReference w:type="default" r:id="rId17"/>
          <w:footerReference w:type="default" r:id="rId18"/>
          <w:headerReference w:type="first" r:id="rId19"/>
          <w:footerReference w:type="first" r:id="rId20"/>
          <w:type w:val="continuous"/>
          <w:pgSz w:w="12240" w:h="15840"/>
          <w:pgMar w:top="1440" w:right="1440" w:bottom="1440" w:left="1440" w:header="720" w:footer="432" w:gutter="0"/>
          <w:pgNumType w:start="1"/>
          <w:cols w:space="720"/>
          <w:titlePg/>
          <w:docGrid w:linePitch="360"/>
        </w:sectPr>
      </w:pPr>
      <w:r>
        <w:fldChar w:fldCharType="end"/>
      </w:r>
      <w:bookmarkStart w:id="0" w:name="_Toc2849069"/>
    </w:p>
    <w:p w14:paraId="5D232FDA" w14:textId="77777777" w:rsidR="002F2F6F" w:rsidRDefault="002F2F6F" w:rsidP="002F2F6F">
      <w:pPr>
        <w:pStyle w:val="Heading1"/>
      </w:pPr>
      <w:bookmarkStart w:id="1" w:name="_Toc3988344"/>
      <w:bookmarkStart w:id="2" w:name="_Toc4051276"/>
      <w:bookmarkEnd w:id="0"/>
      <w:r>
        <w:lastRenderedPageBreak/>
        <w:t>DEQ Recommendation to the EQC</w:t>
      </w:r>
      <w:bookmarkEnd w:id="1"/>
      <w:bookmarkEnd w:id="2"/>
    </w:p>
    <w:p w14:paraId="67778523" w14:textId="77777777" w:rsidR="002F2F6F" w:rsidRDefault="002F2F6F" w:rsidP="00A83AA3">
      <w:pPr>
        <w:pStyle w:val="instructions"/>
      </w:pPr>
    </w:p>
    <w:p w14:paraId="6F3B88CC" w14:textId="4C539A62" w:rsidR="002F2F6F" w:rsidRDefault="00DA761D" w:rsidP="002F2F6F">
      <w:r>
        <w:t xml:space="preserve">DEQ recommends </w:t>
      </w:r>
      <w:r w:rsidR="002F2F6F" w:rsidRPr="001404B0">
        <w:t>the Environmental Quality Commission adopt the proposed rules in Attachment A as part of Chapter 340 of the Oregon Administrative Rules.</w:t>
      </w:r>
    </w:p>
    <w:p w14:paraId="3E566DD7" w14:textId="07624CD3" w:rsidR="00DB67D2" w:rsidRDefault="00DB67D2" w:rsidP="002F2F6F"/>
    <w:p w14:paraId="6129F89E" w14:textId="71A77B38" w:rsidR="00DB67D2" w:rsidRPr="00DB67D2" w:rsidRDefault="00DB67D2" w:rsidP="00DB67D2">
      <w:pPr>
        <w:pStyle w:val="Heading2"/>
      </w:pPr>
      <w:r w:rsidRPr="00DB67D2">
        <w:t>Proposed EQC Motion:</w:t>
      </w:r>
    </w:p>
    <w:p w14:paraId="412F157F" w14:textId="791050B6" w:rsidR="00DB67D2" w:rsidRDefault="00DB67D2" w:rsidP="002F2F6F"/>
    <w:p w14:paraId="01F53EB9" w14:textId="13B37DC5" w:rsidR="00DB67D2" w:rsidRPr="00DB67D2" w:rsidRDefault="00DB67D2" w:rsidP="002F2F6F">
      <w:pPr>
        <w:rPr>
          <w:i/>
        </w:rPr>
      </w:pPr>
      <w:r>
        <w:rPr>
          <w:i/>
        </w:rPr>
        <w:t>I move that the commission adopt the proposed rule amendments, presented in Attachment A of this staff report, as part of Chapter 340 of the Oregon Administrative Rules, Divisions 163 and 177.</w:t>
      </w:r>
    </w:p>
    <w:p w14:paraId="59FBE854" w14:textId="77777777" w:rsidR="002F2F6F" w:rsidRDefault="002F2F6F" w:rsidP="002F2F6F"/>
    <w:p w14:paraId="4AEA8458" w14:textId="77777777" w:rsidR="002F2F6F" w:rsidRDefault="002F2F6F" w:rsidP="002F2F6F">
      <w:r>
        <w:br w:type="page"/>
      </w:r>
    </w:p>
    <w:p w14:paraId="21E400CF" w14:textId="77777777" w:rsidR="002F2F6F" w:rsidRPr="003C26EE" w:rsidRDefault="002F2F6F" w:rsidP="002F2F6F">
      <w:pPr>
        <w:pStyle w:val="Heading1"/>
      </w:pPr>
      <w:bookmarkStart w:id="3" w:name="_Toc3988345"/>
      <w:bookmarkStart w:id="4" w:name="_Toc4051277"/>
      <w:r>
        <w:lastRenderedPageBreak/>
        <w:t>Introduction</w:t>
      </w:r>
      <w:bookmarkEnd w:id="3"/>
      <w:bookmarkEnd w:id="4"/>
    </w:p>
    <w:p w14:paraId="67AA3307" w14:textId="77777777" w:rsidR="002F2F6F" w:rsidRPr="003C26EE" w:rsidRDefault="002F2F6F" w:rsidP="002F2F6F"/>
    <w:p w14:paraId="077470C2" w14:textId="77777777" w:rsidR="002F2F6F" w:rsidRDefault="002F2F6F" w:rsidP="002F2F6F">
      <w:r w:rsidRPr="001404B0">
        <w:rPr>
          <w:noProof/>
        </w:rPr>
        <mc:AlternateContent>
          <mc:Choice Requires="wps">
            <w:drawing>
              <wp:inline distT="0" distB="0" distL="0" distR="0" wp14:anchorId="55121776" wp14:editId="53487B56">
                <wp:extent cx="5029200" cy="771276"/>
                <wp:effectExtent l="0" t="0" r="19050" b="10160"/>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771276"/>
                        </a:xfrm>
                        <a:prstGeom prst="rect">
                          <a:avLst/>
                        </a:prstGeom>
                        <a:solidFill>
                          <a:schemeClr val="bg1">
                            <a:lumMod val="85000"/>
                            <a:lumOff val="0"/>
                          </a:schemeClr>
                        </a:solidFill>
                        <a:ln w="9525">
                          <a:solidFill>
                            <a:srgbClr val="000000"/>
                          </a:solidFill>
                          <a:miter lim="800000"/>
                          <a:headEnd/>
                          <a:tailEnd/>
                        </a:ln>
                      </wps:spPr>
                      <wps:txbx>
                        <w:txbxContent>
                          <w:p w14:paraId="45E9E54F" w14:textId="77777777" w:rsidR="00DB67D2" w:rsidRPr="001A4DE1" w:rsidRDefault="00DB67D2" w:rsidP="002F2F6F">
                            <w:pPr>
                              <w:rPr>
                                <w:rFonts w:asciiTheme="minorHAnsi" w:hAnsiTheme="minorHAnsi" w:cstheme="minorHAnsi"/>
                                <w:b/>
                              </w:rPr>
                            </w:pPr>
                            <w:r w:rsidRPr="00F9567F">
                              <w:rPr>
                                <w:rFonts w:asciiTheme="minorHAnsi" w:hAnsiTheme="minorHAnsi" w:cstheme="minorHAnsi"/>
                                <w:b/>
                                <w:color w:val="FF0000"/>
                              </w:rPr>
                              <w:t>REVIEWERS</w:t>
                            </w:r>
                            <w:r w:rsidRPr="001A4DE1">
                              <w:rPr>
                                <w:rFonts w:asciiTheme="minorHAnsi" w:hAnsiTheme="minorHAnsi" w:cstheme="minorHAnsi"/>
                                <w:b/>
                              </w:rPr>
                              <w:t xml:space="preserve"> do not edit or modify this section </w:t>
                            </w:r>
                          </w:p>
                          <w:p w14:paraId="390EF386" w14:textId="77777777" w:rsidR="00DB67D2" w:rsidRDefault="00DB67D2" w:rsidP="002F2F6F">
                            <w:pPr>
                              <w:outlineLvl w:val="9"/>
                            </w:pPr>
                            <w:r w:rsidRPr="001A4DE1">
                              <w:rPr>
                                <w:rFonts w:asciiTheme="minorHAnsi" w:hAnsiTheme="minorHAnsi" w:cstheme="minorHAnsi"/>
                              </w:rPr>
                              <w:t xml:space="preserve"> </w:t>
                            </w:r>
                            <w:r>
                              <w:rPr>
                                <w:rFonts w:asciiTheme="minorHAnsi" w:hAnsiTheme="minorHAnsi" w:cstheme="minorHAnsi"/>
                              </w:rPr>
                              <w:t xml:space="preserve">Management reviewed and edited this section. It was then published with the Public Notice. </w:t>
                            </w:r>
                            <w:r w:rsidRPr="001A4DE1">
                              <w:rPr>
                                <w:rFonts w:asciiTheme="minorHAnsi" w:hAnsiTheme="minorHAnsi" w:cstheme="minorHAnsi"/>
                              </w:rPr>
                              <w:t xml:space="preserve">Do not modify it except to correct typographical errors. </w:t>
                            </w:r>
                          </w:p>
                        </w:txbxContent>
                      </wps:txbx>
                      <wps:bodyPr rot="0" vert="horz" wrap="square" lIns="91440" tIns="91440" rIns="91440" bIns="91440" anchor="ctr" anchorCtr="0" upright="1">
                        <a:noAutofit/>
                      </wps:bodyPr>
                    </wps:wsp>
                  </a:graphicData>
                </a:graphic>
              </wp:inline>
            </w:drawing>
          </mc:Choice>
          <mc:Fallback>
            <w:pict>
              <v:shapetype w14:anchorId="55121776" id="_x0000_t202" coordsize="21600,21600" o:spt="202" path="m,l,21600r21600,l21600,xe">
                <v:stroke joinstyle="miter"/>
                <v:path gradientshapeok="t" o:connecttype="rect"/>
              </v:shapetype>
              <v:shape id="Text Box 1" o:spid="_x0000_s1026" type="#_x0000_t202" style="width:396pt;height:60.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gVNQwIAAIgEAAAOAAAAZHJzL2Uyb0RvYy54bWysVNtu2zAMfR+wfxD0vjgJmqQx4hRdug4D&#10;ugvQ7gNkWbaF6TZKiZ19/SgpTdPtbdiLIVLU4eEh6c3NqBU5CPDSmorOJlNKhOG2kaar6Pen+3fX&#10;lPjATMOUNaKiR+Hpzfbtm83gSjG3vVWNAIIgxpeDq2gfgiuLwvNeaOYn1gmDl60FzQKa0BUNsAHR&#10;tSrm0+myGCw0DiwX3qP3Ll/SbcJvW8HD17b1IhBVUeQW0hfSt47fYrthZQfM9ZKfaLB/YKGZNJj0&#10;DHXHAiN7kH9BacnBetuGCbe6sG0ruUg1YDWz6R/VPPbMiVQLiuPdWSb//2D5l8M3ILKp6JISwzS2&#10;6EmMgby3I5lFdQbnSwx6dBgWRnRjl1Ol3j1Y/sMTY3c9M524BbBDL1iD7NLL4uJpxvERpB4+2wbT&#10;sH2wCWhsQUfpUAyC6Nil47kzkQpH52I6X2O7KeF4t1rN5qtlJFew8vm1Ax8+CqtJPFQUsPMJnR0e&#10;fMihzyExmbdKNvdSqWTEaRM7BeTAcE7qLleo9hqpZt/1Yorp07SgG2cqu5MLWaR5jQiJ0ytwZchQ&#10;0fVivsiyvUoMXX1OiwlOOSLgZZiWAZdESV3R63MQK6PYH0yTSAUmVT7jY2WQRlQ/Cp6lD2M9YmB0&#10;1rY5Yh/A5mXA5cVDb+EXJQMuQkX9zz0DQYn6ZLCX69nVVdycSwMujfrSYIYjVEV5AEqysQt53/YO&#10;ZNdjrqyusbc4Aa1MzXnhdWKO456kPK1m3KdLO0W9/EC2vwEAAP//AwBQSwMEFAAGAAgAAAAhAC+f&#10;1svZAAAABQEAAA8AAABkcnMvZG93bnJldi54bWxMj0FLxDAQhe+C/yGM4M1Nt6CutemyCPYouF3w&#10;mm2mTbGZlCS77frrHb3oZeDxHm++V24XN4ozhjh4UrBeZSCQWm8G6hUcmte7DYiYNBk9ekIFF4yw&#10;ra6vSl0YP9M7nvepF1xCsdAKbEpTIWVsLTodV35CYq/zwenEMvTSBD1zuRtlnmUP0umB+IPVE75Y&#10;bD/3J6cgXcLHvHy9dVNXO+s2u6aum0ap25tl9wwi4ZL+wvCDz+hQMdPRn8hEMSrgIen3svf4lLM8&#10;cihf34OsSvmfvvoGAAD//wMAUEsBAi0AFAAGAAgAAAAhALaDOJL+AAAA4QEAABMAAAAAAAAAAAAA&#10;AAAAAAAAAFtDb250ZW50X1R5cGVzXS54bWxQSwECLQAUAAYACAAAACEAOP0h/9YAAACUAQAACwAA&#10;AAAAAAAAAAAAAAAvAQAAX3JlbHMvLnJlbHNQSwECLQAUAAYACAAAACEA1u4FTUMCAACIBAAADgAA&#10;AAAAAAAAAAAAAAAuAgAAZHJzL2Uyb0RvYy54bWxQSwECLQAUAAYACAAAACEAL5/Wy9kAAAAFAQAA&#10;DwAAAAAAAAAAAAAAAACdBAAAZHJzL2Rvd25yZXYueG1sUEsFBgAAAAAEAAQA8wAAAKMFAAAAAA==&#10;" fillcolor="#d8d8d8 [2732]">
                <v:textbox inset=",7.2pt,,7.2pt">
                  <w:txbxContent>
                    <w:p w14:paraId="45E9E54F" w14:textId="77777777" w:rsidR="00DB67D2" w:rsidRPr="001A4DE1" w:rsidRDefault="00DB67D2" w:rsidP="002F2F6F">
                      <w:pPr>
                        <w:rPr>
                          <w:rFonts w:asciiTheme="minorHAnsi" w:hAnsiTheme="minorHAnsi" w:cstheme="minorHAnsi"/>
                          <w:b/>
                        </w:rPr>
                      </w:pPr>
                      <w:r w:rsidRPr="00F9567F">
                        <w:rPr>
                          <w:rFonts w:asciiTheme="minorHAnsi" w:hAnsiTheme="minorHAnsi" w:cstheme="minorHAnsi"/>
                          <w:b/>
                          <w:color w:val="FF0000"/>
                        </w:rPr>
                        <w:t>REVIEWERS</w:t>
                      </w:r>
                      <w:r w:rsidRPr="001A4DE1">
                        <w:rPr>
                          <w:rFonts w:asciiTheme="minorHAnsi" w:hAnsiTheme="minorHAnsi" w:cstheme="minorHAnsi"/>
                          <w:b/>
                        </w:rPr>
                        <w:t xml:space="preserve"> do not edit or modify this section </w:t>
                      </w:r>
                    </w:p>
                    <w:p w14:paraId="390EF386" w14:textId="77777777" w:rsidR="00DB67D2" w:rsidRDefault="00DB67D2" w:rsidP="002F2F6F">
                      <w:pPr>
                        <w:outlineLvl w:val="9"/>
                      </w:pPr>
                      <w:r w:rsidRPr="001A4DE1">
                        <w:rPr>
                          <w:rFonts w:asciiTheme="minorHAnsi" w:hAnsiTheme="minorHAnsi" w:cstheme="minorHAnsi"/>
                        </w:rPr>
                        <w:t xml:space="preserve"> </w:t>
                      </w:r>
                      <w:r>
                        <w:rPr>
                          <w:rFonts w:asciiTheme="minorHAnsi" w:hAnsiTheme="minorHAnsi" w:cstheme="minorHAnsi"/>
                        </w:rPr>
                        <w:t xml:space="preserve">Management reviewed and edited this section. It was then published with the Public Notice. </w:t>
                      </w:r>
                      <w:r w:rsidRPr="001A4DE1">
                        <w:rPr>
                          <w:rFonts w:asciiTheme="minorHAnsi" w:hAnsiTheme="minorHAnsi" w:cstheme="minorHAnsi"/>
                        </w:rPr>
                        <w:t xml:space="preserve">Do not modify it except to correct typographical errors. </w:t>
                      </w:r>
                    </w:p>
                  </w:txbxContent>
                </v:textbox>
                <w10:anchorlock/>
              </v:shape>
            </w:pict>
          </mc:Fallback>
        </mc:AlternateContent>
      </w:r>
    </w:p>
    <w:p w14:paraId="06F569D7" w14:textId="46F350CE" w:rsidR="00BD0CA4" w:rsidRPr="00762E9F" w:rsidRDefault="00BD0CA4" w:rsidP="00BD0CA4"/>
    <w:p w14:paraId="0FEA1F32" w14:textId="77777777" w:rsidR="00BD0CA4" w:rsidRDefault="00BD0CA4" w:rsidP="00BD0CA4">
      <w:r>
        <w:t>DEQ’s Heating Oil Tank Program handles issues related to:</w:t>
      </w:r>
    </w:p>
    <w:p w14:paraId="23BB7C96" w14:textId="77777777" w:rsidR="00BD0CA4" w:rsidRDefault="00BD0CA4" w:rsidP="00BD0CA4"/>
    <w:p w14:paraId="6AA73B8A" w14:textId="77777777" w:rsidR="00BD0CA4" w:rsidRDefault="00BD0CA4" w:rsidP="00BD0CA4">
      <w:pPr>
        <w:pStyle w:val="ListParagraph"/>
        <w:numPr>
          <w:ilvl w:val="0"/>
          <w:numId w:val="23"/>
        </w:numPr>
      </w:pPr>
      <w:r>
        <w:t>Tanks storing fuel oil (typically Number 1 and 2 diesel oil) to heat buildings for human habitation</w:t>
      </w:r>
    </w:p>
    <w:p w14:paraId="2CA40E0D" w14:textId="77777777" w:rsidR="00BD0CA4" w:rsidRDefault="00BD0CA4" w:rsidP="00BD0CA4">
      <w:pPr>
        <w:pStyle w:val="ListParagraph"/>
        <w:numPr>
          <w:ilvl w:val="0"/>
          <w:numId w:val="23"/>
        </w:numPr>
      </w:pPr>
      <w:r>
        <w:t>Requirements for voluntarily decommissioning HOTs</w:t>
      </w:r>
    </w:p>
    <w:p w14:paraId="2CBBD84C" w14:textId="77777777" w:rsidR="00BD0CA4" w:rsidRDefault="00BD0CA4" w:rsidP="00BD0CA4">
      <w:pPr>
        <w:pStyle w:val="ListParagraph"/>
        <w:numPr>
          <w:ilvl w:val="0"/>
          <w:numId w:val="23"/>
        </w:numPr>
      </w:pPr>
      <w:r>
        <w:t>Reporting releases from HOTs and soil and groundwater contamination cleanup</w:t>
      </w:r>
    </w:p>
    <w:p w14:paraId="3D65B1B4" w14:textId="77777777" w:rsidR="00BD0CA4" w:rsidRDefault="00BD0CA4" w:rsidP="00BD0CA4">
      <w:pPr>
        <w:pStyle w:val="ListParagraph"/>
        <w:numPr>
          <w:ilvl w:val="0"/>
          <w:numId w:val="23"/>
        </w:numPr>
      </w:pPr>
      <w:r>
        <w:t>Rules for contractors working on HOTs and soil contamination cleanup</w:t>
      </w:r>
    </w:p>
    <w:p w14:paraId="015F14EB" w14:textId="77777777" w:rsidR="00BD0CA4" w:rsidRDefault="00BD0CA4" w:rsidP="00BD0CA4"/>
    <w:p w14:paraId="37B23CA2" w14:textId="77777777" w:rsidR="00BD0CA4" w:rsidRDefault="00BD0CA4" w:rsidP="00BD0CA4">
      <w:r w:rsidRPr="009D02AB">
        <w:t xml:space="preserve">The HOT program authorizes and facilitates a third party certification process to provide decommissioning and cleanup oversight. To perform HOT decommissioning work, contractors must hold a DEQ service provider license, including errors and omissions insurance, and certify that their work complies with Oregon rules. DEQ’s role is to ensure that work is performed adequately by updating and disseminating standards, licensing service providers, maintaining project records and auditing project work. DEQ does not receive general funds to conduct this work. </w:t>
      </w:r>
    </w:p>
    <w:p w14:paraId="4BCCF4B5" w14:textId="77777777" w:rsidR="00BD0CA4" w:rsidRDefault="00BD0CA4" w:rsidP="00BD0CA4"/>
    <w:p w14:paraId="10D4B19A" w14:textId="77777777" w:rsidR="00BD0CA4" w:rsidRDefault="00BD0CA4" w:rsidP="00BD0CA4">
      <w:r>
        <w:t>The service provider licensure and report filing fees, defined in OAR chapter 340, divisions 163 and 177, primarily fund the HOT program. The current fees were set more than ten years ago with licensure fees established in 1999 and report-filing fees increased in 2007. The HOT program is designed to operate with at least four full-time staff positions (4.30 FTE) providing technical assistance, outreach, site inspections, service provider audits and final report review. Existing fee revenue only funds 3.20 FTE at current levels of activity.</w:t>
      </w:r>
    </w:p>
    <w:p w14:paraId="4AAE1F5C" w14:textId="77777777" w:rsidR="00BD0CA4" w:rsidRDefault="00BD0CA4" w:rsidP="00BD0CA4"/>
    <w:p w14:paraId="14F5F207" w14:textId="77777777" w:rsidR="00BD0CA4" w:rsidRDefault="00BD0CA4" w:rsidP="00BD0CA4">
      <w:r>
        <w:t xml:space="preserve">The proposed permanent rule amendments increase HOT program licensure fees for individuals and small businesses conducting HOT decommissioning work in Oregon. The proposed amendments also increase report-filing fees for the work. This includes certified reports for HOT decommissions with no confirmed release (“clean decommissions”) and tiered fee increases based on the level of complexity for HOT decommissions requiring cleanup/corrective action. The 2019 Oregon Legislature approved these fee increases. </w:t>
      </w:r>
      <w:r w:rsidRPr="003A667E">
        <w:t>The Oregon Environmental Quality Commission</w:t>
      </w:r>
      <w:r>
        <w:t>’s</w:t>
      </w:r>
      <w:r w:rsidRPr="003A667E">
        <w:t xml:space="preserve"> approval of this rule proposal would implement </w:t>
      </w:r>
      <w:r>
        <w:t>the fee increases. The new fees would become effective as of Jan. 1, 2020, by legislative action. This rule change would align DEQ’s administrative rules with the new statutory fee amounts.</w:t>
      </w:r>
    </w:p>
    <w:p w14:paraId="78FFC9FB" w14:textId="77777777" w:rsidR="002F2F6F" w:rsidRDefault="002F2F6F" w:rsidP="002F2F6F">
      <w:r>
        <w:br w:type="page"/>
      </w:r>
    </w:p>
    <w:p w14:paraId="5DAD53CA" w14:textId="77777777" w:rsidR="002F2F6F" w:rsidRPr="003C26EE" w:rsidRDefault="002F2F6F" w:rsidP="002F2F6F">
      <w:pPr>
        <w:sectPr w:rsidR="002F2F6F" w:rsidRPr="003C26EE" w:rsidSect="00A112DA">
          <w:footerReference w:type="first" r:id="rId21"/>
          <w:pgSz w:w="12240" w:h="15840"/>
          <w:pgMar w:top="1440" w:right="1440" w:bottom="1440" w:left="1440" w:header="720" w:footer="432" w:gutter="0"/>
          <w:pgNumType w:start="1"/>
          <w:cols w:space="720"/>
          <w:titlePg/>
          <w:docGrid w:linePitch="360"/>
        </w:sectPr>
      </w:pPr>
    </w:p>
    <w:p w14:paraId="32C12073" w14:textId="77777777" w:rsidR="002F2F6F" w:rsidRPr="003C26EE" w:rsidRDefault="002F2F6F" w:rsidP="002F2F6F">
      <w:pPr>
        <w:pStyle w:val="Heading1"/>
      </w:pPr>
      <w:bookmarkStart w:id="5" w:name="_Toc3988347"/>
      <w:bookmarkStart w:id="6" w:name="_Toc4051279"/>
      <w:r w:rsidRPr="003C26EE">
        <w:lastRenderedPageBreak/>
        <w:t>Statement of need</w:t>
      </w:r>
      <w:bookmarkEnd w:id="5"/>
      <w:bookmarkEnd w:id="6"/>
    </w:p>
    <w:p w14:paraId="3606B877" w14:textId="77777777" w:rsidR="002F2F6F" w:rsidRDefault="002F2F6F" w:rsidP="00A83AA3">
      <w:pPr>
        <w:pStyle w:val="instructions"/>
      </w:pPr>
      <w:r>
        <w:t>Copy and paste from Notice of Rulemaking.</w:t>
      </w:r>
    </w:p>
    <w:p w14:paraId="3ADF7B28" w14:textId="77777777" w:rsidR="002F2F6F" w:rsidRDefault="002F2F6F" w:rsidP="00A83AA3">
      <w:pPr>
        <w:pStyle w:val="instructions"/>
      </w:pPr>
    </w:p>
    <w:p w14:paraId="2A8483C6" w14:textId="77777777" w:rsidR="002F2F6F" w:rsidRDefault="002F2F6F" w:rsidP="00A83AA3">
      <w:pPr>
        <w:pStyle w:val="instructions"/>
      </w:pPr>
      <w:r w:rsidRPr="001404B0">
        <w:rPr>
          <w:noProof/>
        </w:rPr>
        <mc:AlternateContent>
          <mc:Choice Requires="wps">
            <w:drawing>
              <wp:inline distT="0" distB="0" distL="0" distR="0" wp14:anchorId="0A6E5632" wp14:editId="45ED6AEB">
                <wp:extent cx="4478866" cy="930302"/>
                <wp:effectExtent l="0" t="0" r="17145" b="2222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8866" cy="930302"/>
                        </a:xfrm>
                        <a:prstGeom prst="rect">
                          <a:avLst/>
                        </a:prstGeom>
                        <a:solidFill>
                          <a:schemeClr val="bg1">
                            <a:lumMod val="85000"/>
                            <a:lumOff val="0"/>
                          </a:schemeClr>
                        </a:solidFill>
                        <a:ln w="9525">
                          <a:solidFill>
                            <a:srgbClr val="000000"/>
                          </a:solidFill>
                          <a:miter lim="800000"/>
                          <a:headEnd/>
                          <a:tailEnd/>
                        </a:ln>
                      </wps:spPr>
                      <wps:txbx>
                        <w:txbxContent>
                          <w:p w14:paraId="1D840EBA" w14:textId="77777777" w:rsidR="00DB67D2" w:rsidRPr="001A4DE1" w:rsidRDefault="00DB67D2" w:rsidP="002F2F6F">
                            <w:pPr>
                              <w:rPr>
                                <w:rFonts w:asciiTheme="minorHAnsi" w:hAnsiTheme="minorHAnsi" w:cstheme="minorHAnsi"/>
                                <w:b/>
                              </w:rPr>
                            </w:pPr>
                            <w:r w:rsidRPr="00F9567F">
                              <w:rPr>
                                <w:rFonts w:asciiTheme="minorHAnsi" w:hAnsiTheme="minorHAnsi" w:cstheme="minorHAnsi"/>
                                <w:b/>
                                <w:color w:val="FF0000"/>
                              </w:rPr>
                              <w:t>REVIEWERS</w:t>
                            </w:r>
                            <w:r w:rsidRPr="001A4DE1">
                              <w:rPr>
                                <w:rFonts w:asciiTheme="minorHAnsi" w:hAnsiTheme="minorHAnsi" w:cstheme="minorHAnsi"/>
                                <w:b/>
                              </w:rPr>
                              <w:t xml:space="preserve"> do not edit or modify this section </w:t>
                            </w:r>
                          </w:p>
                          <w:p w14:paraId="6E35AA8B" w14:textId="77777777" w:rsidR="00DB67D2" w:rsidRDefault="00DB67D2" w:rsidP="002F2F6F">
                            <w:pPr>
                              <w:outlineLvl w:val="9"/>
                            </w:pPr>
                            <w:r w:rsidRPr="001A4DE1">
                              <w:rPr>
                                <w:rFonts w:asciiTheme="minorHAnsi" w:hAnsiTheme="minorHAnsi" w:cstheme="minorHAnsi"/>
                              </w:rPr>
                              <w:t xml:space="preserve"> </w:t>
                            </w:r>
                            <w:r>
                              <w:rPr>
                                <w:rFonts w:asciiTheme="minorHAnsi" w:hAnsiTheme="minorHAnsi" w:cstheme="minorHAnsi"/>
                              </w:rPr>
                              <w:t xml:space="preserve">Management reviewed and edited this section. It was then published with the Public Notice. </w:t>
                            </w:r>
                            <w:r w:rsidRPr="001A4DE1">
                              <w:rPr>
                                <w:rFonts w:asciiTheme="minorHAnsi" w:hAnsiTheme="minorHAnsi" w:cstheme="minorHAnsi"/>
                              </w:rPr>
                              <w:t xml:space="preserve">Do not modify it except to correct typographical errors. </w:t>
                            </w:r>
                          </w:p>
                        </w:txbxContent>
                      </wps:txbx>
                      <wps:bodyPr rot="0" vert="horz" wrap="square" lIns="91440" tIns="91440" rIns="91440" bIns="91440" anchor="ctr" anchorCtr="0" upright="1">
                        <a:noAutofit/>
                      </wps:bodyPr>
                    </wps:wsp>
                  </a:graphicData>
                </a:graphic>
              </wp:inline>
            </w:drawing>
          </mc:Choice>
          <mc:Fallback>
            <w:pict>
              <v:shape w14:anchorId="0A6E5632" id="_x0000_s1027" type="#_x0000_t202" style="width:352.65pt;height:73.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S3RQIAAI8EAAAOAAAAZHJzL2Uyb0RvYy54bWysVNtu2zAMfR+wfxD0vtpJ0yw16hRduw4D&#10;ugvQ7gNkWbaFSaImKbGzry8lpamxvQ17MUSKOjw8JH11PWlF9sJ5Caami7OSEmE4tNL0Nf3xdP9u&#10;Q4kPzLRMgRE1PQhPr7dv31yNthJLGEC1whEEMb4abU2HEGxVFJ4PQjN/BlYYvOzAaRbQdH3ROjYi&#10;ulbFsizXxQiutQ648B69d/mSbhN+1wkevnWdF4GomiK3kL4ufZv4LbZXrOods4PkRxrsH1hoJg0m&#10;PUHdscDIzsm/oLTkDjx04YyDLqDrJBepBqxmUf5RzePArEi1oDjenmTy/w+Wf91/d0S22DtKDNPY&#10;oicxBfIBJrKI6ozWVxj0aDEsTOiOkbFSbx+A//TEwO3ATC9unINxEKxFdullMXuacXwEacYv0GIa&#10;tguQgKbO6QiIYhBExy4dTp2JVDg6V6v3m816TQnHu8vz8rxcRnIFq15eW+fDJwGaxENNHXY+obP9&#10;gw859CUksQcl23upVDLitIlb5cie4Zw0fa5Q7TRSzb7NRVkepwXdOFPZnVzIIs1rREic/BxcGTIi&#10;54vlRZZtfudd35zSYoJjjgg4D9My4JIoqWu6OQWxKor90bRphAOTKp/xsTJII6ofBc/Sh6mZUpuT&#10;bvGugfaA7XCQdwJ3GA8DuN+UjLgPNfW/dswJStRngy29XKxWcYHmhpsbzdxghiNUTXlwlGTjNuS1&#10;21kn+wFzZZEN3OAgdDL16JXXsQCc+qTocUPjWs3tFPX6H9k+AwAA//8DAFBLAwQUAAYACAAAACEA&#10;6c8BKNsAAAAFAQAADwAAAGRycy9kb3ducmV2LnhtbEyPzWrDMBCE74W+g9hCb43cn6TBsRxCoT4W&#10;Ghd6Vay1ZWKtjKTETp++217ay8Ayw8y3xXZ2gzhjiL0nBfeLDARS401PnYKP+vVuDSImTUYPnlDB&#10;BSNsy+urQufGT/SO533qBJdQzLUCm9KYSxkbi07HhR+R2Gt9cDrxGTppgp643A3yIctW0umeeMHq&#10;EV8sNsf9ySlIl/A5zV9v7dhWzrr1rq6qulbq9mbebUAknNNfGH7wGR1KZjr4E5koBgX8SPpV9p6z&#10;5SOIA4eeVkuQZSH/05ffAAAA//8DAFBLAQItABQABgAIAAAAIQC2gziS/gAAAOEBAAATAAAAAAAA&#10;AAAAAAAAAAAAAABbQ29udGVudF9UeXBlc10ueG1sUEsBAi0AFAAGAAgAAAAhADj9If/WAAAAlAEA&#10;AAsAAAAAAAAAAAAAAAAALwEAAF9yZWxzLy5yZWxzUEsBAi0AFAAGAAgAAAAhAIr8lLdFAgAAjwQA&#10;AA4AAAAAAAAAAAAAAAAALgIAAGRycy9lMm9Eb2MueG1sUEsBAi0AFAAGAAgAAAAhAOnPASjbAAAA&#10;BQEAAA8AAAAAAAAAAAAAAAAAnwQAAGRycy9kb3ducmV2LnhtbFBLBQYAAAAABAAEAPMAAACnBQAA&#10;AAA=&#10;" fillcolor="#d8d8d8 [2732]">
                <v:textbox inset=",7.2pt,,7.2pt">
                  <w:txbxContent>
                    <w:p w14:paraId="1D840EBA" w14:textId="77777777" w:rsidR="00DB67D2" w:rsidRPr="001A4DE1" w:rsidRDefault="00DB67D2" w:rsidP="002F2F6F">
                      <w:pPr>
                        <w:rPr>
                          <w:rFonts w:asciiTheme="minorHAnsi" w:hAnsiTheme="minorHAnsi" w:cstheme="minorHAnsi"/>
                          <w:b/>
                        </w:rPr>
                      </w:pPr>
                      <w:r w:rsidRPr="00F9567F">
                        <w:rPr>
                          <w:rFonts w:asciiTheme="minorHAnsi" w:hAnsiTheme="minorHAnsi" w:cstheme="minorHAnsi"/>
                          <w:b/>
                          <w:color w:val="FF0000"/>
                        </w:rPr>
                        <w:t>REVIEWERS</w:t>
                      </w:r>
                      <w:r w:rsidRPr="001A4DE1">
                        <w:rPr>
                          <w:rFonts w:asciiTheme="minorHAnsi" w:hAnsiTheme="minorHAnsi" w:cstheme="minorHAnsi"/>
                          <w:b/>
                        </w:rPr>
                        <w:t xml:space="preserve"> do not edit or modify this section </w:t>
                      </w:r>
                    </w:p>
                    <w:p w14:paraId="6E35AA8B" w14:textId="77777777" w:rsidR="00DB67D2" w:rsidRDefault="00DB67D2" w:rsidP="002F2F6F">
                      <w:pPr>
                        <w:outlineLvl w:val="9"/>
                      </w:pPr>
                      <w:r w:rsidRPr="001A4DE1">
                        <w:rPr>
                          <w:rFonts w:asciiTheme="minorHAnsi" w:hAnsiTheme="minorHAnsi" w:cstheme="minorHAnsi"/>
                        </w:rPr>
                        <w:t xml:space="preserve"> </w:t>
                      </w:r>
                      <w:r>
                        <w:rPr>
                          <w:rFonts w:asciiTheme="minorHAnsi" w:hAnsiTheme="minorHAnsi" w:cstheme="minorHAnsi"/>
                        </w:rPr>
                        <w:t xml:space="preserve">Management reviewed and edited this section. It was then published with the Public Notice. </w:t>
                      </w:r>
                      <w:r w:rsidRPr="001A4DE1">
                        <w:rPr>
                          <w:rFonts w:asciiTheme="minorHAnsi" w:hAnsiTheme="minorHAnsi" w:cstheme="minorHAnsi"/>
                        </w:rPr>
                        <w:t xml:space="preserve">Do not modify it except to correct typographical errors. </w:t>
                      </w:r>
                    </w:p>
                  </w:txbxContent>
                </v:textbox>
                <w10:anchorlock/>
              </v:shape>
            </w:pict>
          </mc:Fallback>
        </mc:AlternateContent>
      </w:r>
    </w:p>
    <w:p w14:paraId="1BDC8072" w14:textId="77777777" w:rsidR="002F2F6F" w:rsidRDefault="002F2F6F" w:rsidP="002F2F6F"/>
    <w:p w14:paraId="7F4513C6" w14:textId="77777777" w:rsidR="00164DC2" w:rsidRPr="00762E9F" w:rsidRDefault="00164DC2" w:rsidP="00164DC2">
      <w:pPr>
        <w:pStyle w:val="Heading2"/>
      </w:pPr>
      <w:r w:rsidRPr="00762E9F">
        <w:t>What need would the proposed rule address?</w:t>
      </w:r>
    </w:p>
    <w:p w14:paraId="18149E73" w14:textId="77777777" w:rsidR="00164DC2" w:rsidRDefault="00164DC2" w:rsidP="00164DC2"/>
    <w:p w14:paraId="6A0F5DA5" w14:textId="77777777" w:rsidR="00164DC2" w:rsidRPr="00762E9F" w:rsidRDefault="00164DC2" w:rsidP="00164DC2">
      <w:r>
        <w:t>The proposed rule amendments address the need for increased revenue to maintain the DEQ HOT program. The current fees are inadequate to maintain the program at authorized levels.</w:t>
      </w:r>
    </w:p>
    <w:p w14:paraId="6A8861CC" w14:textId="77777777" w:rsidR="00164DC2" w:rsidRPr="00762E9F" w:rsidRDefault="00164DC2" w:rsidP="00164DC2"/>
    <w:p w14:paraId="0D1CCDAB" w14:textId="77777777" w:rsidR="00164DC2" w:rsidRPr="00762E9F" w:rsidRDefault="00164DC2" w:rsidP="00164DC2">
      <w:pPr>
        <w:pStyle w:val="Heading2"/>
      </w:pPr>
      <w:r w:rsidRPr="00762E9F">
        <w:t xml:space="preserve">How would the proposed rule address the need? </w:t>
      </w:r>
    </w:p>
    <w:p w14:paraId="250AC495" w14:textId="77777777" w:rsidR="00164DC2" w:rsidRDefault="00164DC2" w:rsidP="00164DC2"/>
    <w:p w14:paraId="29244918" w14:textId="77777777" w:rsidR="00164DC2" w:rsidRPr="00762E9F" w:rsidRDefault="00164DC2" w:rsidP="00164DC2">
      <w:r>
        <w:t>The proposed rule amendments increase the HOT service provider licensure and report filing fees. DEQ expects the s</w:t>
      </w:r>
      <w:bookmarkStart w:id="7" w:name="_GoBack"/>
      <w:bookmarkEnd w:id="7"/>
      <w:r>
        <w:t xml:space="preserve">ubsequent increase in revenue to fund the four program positions for six years after forecasting inflation. Absent new developments, DEQ intends to reevaluate and propose fee updates in 2025. </w:t>
      </w:r>
    </w:p>
    <w:p w14:paraId="7014E3B3" w14:textId="77777777" w:rsidR="00164DC2" w:rsidRPr="00762E9F" w:rsidRDefault="00164DC2" w:rsidP="00164DC2"/>
    <w:p w14:paraId="6C703CE4" w14:textId="77777777" w:rsidR="00164DC2" w:rsidRPr="00762E9F" w:rsidRDefault="00164DC2" w:rsidP="00164DC2">
      <w:pPr>
        <w:pStyle w:val="Heading2"/>
      </w:pPr>
      <w:r w:rsidRPr="00762E9F">
        <w:t xml:space="preserve">How will DEQ know the rule addressed the need? </w:t>
      </w:r>
    </w:p>
    <w:p w14:paraId="28DCE234" w14:textId="77777777" w:rsidR="00164DC2" w:rsidRDefault="00164DC2" w:rsidP="00164DC2"/>
    <w:p w14:paraId="3CDEA39B" w14:textId="77777777" w:rsidR="00164DC2" w:rsidRDefault="00164DC2" w:rsidP="00164DC2">
      <w:r>
        <w:t>DEQ expects the modified fees to help cover 100% of the HOT program costs. Increased program revenue should also provide DEQ with the resources to address potential opportunities including, but not limited to:</w:t>
      </w:r>
    </w:p>
    <w:p w14:paraId="44374C6C" w14:textId="77777777" w:rsidR="00164DC2" w:rsidRDefault="00164DC2" w:rsidP="00164DC2"/>
    <w:p w14:paraId="187BA048" w14:textId="77777777" w:rsidR="00164DC2" w:rsidRDefault="00164DC2" w:rsidP="00164DC2">
      <w:pPr>
        <w:pStyle w:val="ListParagraph"/>
        <w:numPr>
          <w:ilvl w:val="0"/>
          <w:numId w:val="24"/>
        </w:numPr>
      </w:pPr>
      <w:r>
        <w:t>Auditing properties following cleanup action, including supplemental data collection</w:t>
      </w:r>
    </w:p>
    <w:p w14:paraId="59C0A3DA" w14:textId="77777777" w:rsidR="00164DC2" w:rsidRDefault="00164DC2" w:rsidP="00164DC2">
      <w:pPr>
        <w:pStyle w:val="ListParagraph"/>
        <w:numPr>
          <w:ilvl w:val="0"/>
          <w:numId w:val="24"/>
        </w:numPr>
      </w:pPr>
      <w:r>
        <w:t>Random field visits to active HOT investigations</w:t>
      </w:r>
    </w:p>
    <w:p w14:paraId="4E5AB6CA" w14:textId="77777777" w:rsidR="00164DC2" w:rsidRDefault="00164DC2" w:rsidP="00164DC2">
      <w:pPr>
        <w:pStyle w:val="ListParagraph"/>
        <w:numPr>
          <w:ilvl w:val="0"/>
          <w:numId w:val="24"/>
        </w:numPr>
      </w:pPr>
      <w:r>
        <w:t>Periodically reviewing cost estimates for decommissioning work</w:t>
      </w:r>
    </w:p>
    <w:p w14:paraId="09233FFF" w14:textId="77777777" w:rsidR="00164DC2" w:rsidRDefault="00164DC2" w:rsidP="00164DC2">
      <w:pPr>
        <w:pStyle w:val="ListParagraph"/>
        <w:numPr>
          <w:ilvl w:val="0"/>
          <w:numId w:val="24"/>
        </w:numPr>
      </w:pPr>
      <w:r>
        <w:t>Reviewing corrective action plans prior to implementation</w:t>
      </w:r>
    </w:p>
    <w:p w14:paraId="285AE098" w14:textId="77777777" w:rsidR="00164DC2" w:rsidRDefault="00164DC2" w:rsidP="00164DC2">
      <w:pPr>
        <w:pStyle w:val="ListParagraph"/>
        <w:numPr>
          <w:ilvl w:val="0"/>
          <w:numId w:val="24"/>
        </w:numPr>
      </w:pPr>
      <w:r>
        <w:t>Reviewing redevelopment activities at risk-based HOT closures</w:t>
      </w:r>
    </w:p>
    <w:p w14:paraId="41670195" w14:textId="77777777" w:rsidR="00164DC2" w:rsidRDefault="00164DC2" w:rsidP="00164DC2">
      <w:pPr>
        <w:pStyle w:val="ListParagraph"/>
        <w:numPr>
          <w:ilvl w:val="0"/>
          <w:numId w:val="24"/>
        </w:numPr>
      </w:pPr>
      <w:r>
        <w:t>Recertification/DEQ approval at sites where cleanup status changes</w:t>
      </w:r>
    </w:p>
    <w:p w14:paraId="27B48D38" w14:textId="77777777" w:rsidR="00164DC2" w:rsidRDefault="00164DC2" w:rsidP="00164DC2">
      <w:pPr>
        <w:pStyle w:val="ListParagraph"/>
        <w:numPr>
          <w:ilvl w:val="0"/>
          <w:numId w:val="24"/>
        </w:numPr>
      </w:pPr>
      <w:r>
        <w:t>Consistent contractor bulletins and meetings</w:t>
      </w:r>
    </w:p>
    <w:p w14:paraId="549A59E3" w14:textId="77777777" w:rsidR="00164DC2" w:rsidRDefault="00164DC2" w:rsidP="00164DC2">
      <w:pPr>
        <w:pStyle w:val="ListParagraph"/>
        <w:numPr>
          <w:ilvl w:val="0"/>
          <w:numId w:val="24"/>
        </w:numPr>
      </w:pPr>
      <w:r>
        <w:t>Re-engaging current property owners who have open files with DEQ</w:t>
      </w:r>
    </w:p>
    <w:p w14:paraId="40772A50" w14:textId="77777777" w:rsidR="00164DC2" w:rsidRDefault="00164DC2" w:rsidP="00164DC2">
      <w:pPr>
        <w:pStyle w:val="ListParagraph"/>
        <w:numPr>
          <w:ilvl w:val="0"/>
          <w:numId w:val="24"/>
        </w:numPr>
      </w:pPr>
      <w:r>
        <w:t>Electronic document management (internal and public records requests)</w:t>
      </w:r>
    </w:p>
    <w:p w14:paraId="369F1887" w14:textId="77777777" w:rsidR="00164DC2" w:rsidRDefault="00164DC2" w:rsidP="00164DC2">
      <w:pPr>
        <w:pStyle w:val="ListParagraph"/>
        <w:numPr>
          <w:ilvl w:val="0"/>
          <w:numId w:val="24"/>
        </w:numPr>
      </w:pPr>
      <w:r>
        <w:t>Electronic submittal of all certification reports, which provides for:</w:t>
      </w:r>
    </w:p>
    <w:p w14:paraId="107CC83D" w14:textId="77777777" w:rsidR="00164DC2" w:rsidRDefault="00164DC2" w:rsidP="00164DC2">
      <w:pPr>
        <w:pStyle w:val="ListParagraph"/>
        <w:numPr>
          <w:ilvl w:val="1"/>
          <w:numId w:val="24"/>
        </w:numPr>
      </w:pPr>
      <w:r>
        <w:t>Improved efficiency for processing</w:t>
      </w:r>
    </w:p>
    <w:p w14:paraId="1E1A93CB" w14:textId="77777777" w:rsidR="00164DC2" w:rsidRDefault="00164DC2" w:rsidP="00164DC2">
      <w:pPr>
        <w:pStyle w:val="ListParagraph"/>
        <w:numPr>
          <w:ilvl w:val="1"/>
          <w:numId w:val="24"/>
        </w:numPr>
      </w:pPr>
      <w:r>
        <w:t>Real-time access for project managers, service providers and property owners</w:t>
      </w:r>
    </w:p>
    <w:p w14:paraId="7CA49F18" w14:textId="77777777" w:rsidR="00164DC2" w:rsidRDefault="00164DC2" w:rsidP="00164DC2">
      <w:pPr>
        <w:pStyle w:val="ListParagraph"/>
        <w:numPr>
          <w:ilvl w:val="1"/>
          <w:numId w:val="24"/>
        </w:numPr>
      </w:pPr>
      <w:r>
        <w:t>Decreased demand for public records requests</w:t>
      </w:r>
    </w:p>
    <w:p w14:paraId="52785F71" w14:textId="77777777" w:rsidR="00164DC2" w:rsidRDefault="00164DC2" w:rsidP="00164DC2">
      <w:pPr>
        <w:pStyle w:val="ListParagraph"/>
        <w:numPr>
          <w:ilvl w:val="0"/>
          <w:numId w:val="24"/>
        </w:numPr>
      </w:pPr>
      <w:r>
        <w:t>Periodic database improvements/modifications</w:t>
      </w:r>
    </w:p>
    <w:p w14:paraId="6EF2587A" w14:textId="77777777" w:rsidR="00164DC2" w:rsidRDefault="00164DC2" w:rsidP="00164DC2">
      <w:pPr>
        <w:pStyle w:val="ListParagraph"/>
        <w:numPr>
          <w:ilvl w:val="0"/>
          <w:numId w:val="24"/>
        </w:numPr>
      </w:pPr>
      <w:r>
        <w:t>Collaboration with DEQ headquarters staff to work on necessary rule changes</w:t>
      </w:r>
    </w:p>
    <w:p w14:paraId="456AF4AC" w14:textId="776355DE" w:rsidR="00164DC2" w:rsidRDefault="00164DC2" w:rsidP="00164DC2">
      <w:pPr>
        <w:pStyle w:val="ListParagraph"/>
        <w:numPr>
          <w:ilvl w:val="0"/>
          <w:numId w:val="24"/>
        </w:numPr>
      </w:pPr>
      <w:r>
        <w:t>Website improvements and updates</w:t>
      </w:r>
    </w:p>
    <w:p w14:paraId="102AECA2" w14:textId="36A2CBF7" w:rsidR="002F2F6F" w:rsidRPr="003C26EE" w:rsidRDefault="002F2F6F" w:rsidP="002F2F6F">
      <w:pPr>
        <w:sectPr w:rsidR="002F2F6F" w:rsidRPr="003C26EE" w:rsidSect="00A112DA">
          <w:pgSz w:w="12240" w:h="15840"/>
          <w:pgMar w:top="1440" w:right="1440" w:bottom="1440" w:left="1440" w:header="720" w:footer="720" w:gutter="360"/>
          <w:cols w:space="720"/>
          <w:docGrid w:linePitch="360"/>
        </w:sectPr>
      </w:pPr>
    </w:p>
    <w:p w14:paraId="59C4CCCE" w14:textId="77777777" w:rsidR="002F2F6F" w:rsidRPr="003C26EE" w:rsidRDefault="002F2F6F" w:rsidP="002F2F6F">
      <w:pPr>
        <w:pStyle w:val="Heading1"/>
      </w:pPr>
      <w:bookmarkStart w:id="8" w:name="_Toc3988348"/>
      <w:bookmarkStart w:id="9" w:name="_Toc4051280"/>
      <w:r w:rsidRPr="003C26EE">
        <w:lastRenderedPageBreak/>
        <w:t>Rules affected, authorities, supporting documents</w:t>
      </w:r>
      <w:bookmarkEnd w:id="8"/>
      <w:bookmarkEnd w:id="9"/>
    </w:p>
    <w:p w14:paraId="6DF1DF63" w14:textId="77777777" w:rsidR="002F2F6F" w:rsidRDefault="002F2F6F" w:rsidP="00A83AA3">
      <w:pPr>
        <w:pStyle w:val="instructions"/>
      </w:pPr>
      <w:r>
        <w:t>Copy and paste from Notice of Rulemaking.</w:t>
      </w:r>
    </w:p>
    <w:p w14:paraId="7313D006" w14:textId="77777777" w:rsidR="002F2F6F" w:rsidRDefault="002F2F6F" w:rsidP="00A83AA3">
      <w:pPr>
        <w:pStyle w:val="instructions"/>
      </w:pPr>
    </w:p>
    <w:p w14:paraId="5A206825" w14:textId="77777777" w:rsidR="002F2F6F" w:rsidRDefault="002F2F6F" w:rsidP="00A83AA3">
      <w:pPr>
        <w:pStyle w:val="instructions"/>
      </w:pPr>
      <w:r w:rsidRPr="001404B0">
        <w:rPr>
          <w:noProof/>
        </w:rPr>
        <mc:AlternateContent>
          <mc:Choice Requires="wps">
            <w:drawing>
              <wp:inline distT="0" distB="0" distL="0" distR="0" wp14:anchorId="402BA066" wp14:editId="64B53987">
                <wp:extent cx="4478866" cy="1009650"/>
                <wp:effectExtent l="0" t="0" r="17145" b="19050"/>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8866" cy="1009650"/>
                        </a:xfrm>
                        <a:prstGeom prst="rect">
                          <a:avLst/>
                        </a:prstGeom>
                        <a:solidFill>
                          <a:schemeClr val="bg1">
                            <a:lumMod val="85000"/>
                            <a:lumOff val="0"/>
                          </a:schemeClr>
                        </a:solidFill>
                        <a:ln w="9525">
                          <a:solidFill>
                            <a:srgbClr val="000000"/>
                          </a:solidFill>
                          <a:miter lim="800000"/>
                          <a:headEnd/>
                          <a:tailEnd/>
                        </a:ln>
                      </wps:spPr>
                      <wps:txbx>
                        <w:txbxContent>
                          <w:p w14:paraId="1BB4FEE2" w14:textId="77777777" w:rsidR="00DB67D2" w:rsidRPr="001A4DE1" w:rsidRDefault="00DB67D2" w:rsidP="002F2F6F">
                            <w:pPr>
                              <w:rPr>
                                <w:rFonts w:asciiTheme="minorHAnsi" w:hAnsiTheme="minorHAnsi" w:cstheme="minorHAnsi"/>
                                <w:b/>
                              </w:rPr>
                            </w:pPr>
                            <w:r w:rsidRPr="00F9567F">
                              <w:rPr>
                                <w:rFonts w:asciiTheme="minorHAnsi" w:hAnsiTheme="minorHAnsi" w:cstheme="minorHAnsi"/>
                                <w:b/>
                                <w:color w:val="FF0000"/>
                              </w:rPr>
                              <w:t>REVIEWERS</w:t>
                            </w:r>
                            <w:r w:rsidRPr="001A4DE1">
                              <w:rPr>
                                <w:rFonts w:asciiTheme="minorHAnsi" w:hAnsiTheme="minorHAnsi" w:cstheme="minorHAnsi"/>
                                <w:b/>
                              </w:rPr>
                              <w:t xml:space="preserve"> do not edit or modify this section </w:t>
                            </w:r>
                          </w:p>
                          <w:p w14:paraId="09A2DAE1" w14:textId="77777777" w:rsidR="00DB67D2" w:rsidRDefault="00DB67D2" w:rsidP="002F2F6F">
                            <w:pPr>
                              <w:outlineLvl w:val="9"/>
                            </w:pPr>
                            <w:r w:rsidRPr="001A4DE1">
                              <w:rPr>
                                <w:rFonts w:asciiTheme="minorHAnsi" w:hAnsiTheme="minorHAnsi" w:cstheme="minorHAnsi"/>
                              </w:rPr>
                              <w:t xml:space="preserve"> </w:t>
                            </w:r>
                            <w:r>
                              <w:rPr>
                                <w:rFonts w:asciiTheme="minorHAnsi" w:hAnsiTheme="minorHAnsi" w:cstheme="minorHAnsi"/>
                              </w:rPr>
                              <w:t xml:space="preserve">Management reviewed and edited this section. It was then published with the Public Notice. </w:t>
                            </w:r>
                            <w:r w:rsidRPr="001A4DE1">
                              <w:rPr>
                                <w:rFonts w:asciiTheme="minorHAnsi" w:hAnsiTheme="minorHAnsi" w:cstheme="minorHAnsi"/>
                              </w:rPr>
                              <w:t xml:space="preserve">Do not modify it except to correct typographical errors. </w:t>
                            </w:r>
                          </w:p>
                        </w:txbxContent>
                      </wps:txbx>
                      <wps:bodyPr rot="0" vert="horz" wrap="square" lIns="91440" tIns="91440" rIns="91440" bIns="91440" anchor="ctr" anchorCtr="0" upright="1">
                        <a:noAutofit/>
                      </wps:bodyPr>
                    </wps:wsp>
                  </a:graphicData>
                </a:graphic>
              </wp:inline>
            </w:drawing>
          </mc:Choice>
          <mc:Fallback>
            <w:pict>
              <v:shape w14:anchorId="402BA066" id="_x0000_s1028" type="#_x0000_t202" style="width:352.65pt;height:7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up+RwIAAJAEAAAOAAAAZHJzL2Uyb0RvYy54bWysVNtu2zAMfR+wfxD0vtrJkiw16hRduw4D&#10;ugvQ7gNkWbaF6TZKid19fSkpyZLtbdiLIVLUIXkO6avrSSuyE+ClNTWdXZSUCMNtK01f0+9P92/W&#10;lPjATMuUNaKmz8LT683rV1ejq8TcDla1AgiCGF+NrqZDCK4qCs8HoZm/sE4YvOwsaBbQhL5ogY2I&#10;rlUxL8tVMVpoHVguvEfvXb6km4TfdYKHr13nRSCqplhbSF9I3yZ+i80Vq3pgbpB8Xwb7hyo0kwaT&#10;HqHuWGBkC/IvKC05WG+7cMGtLmzXSS5SD9jNrPyjm8eBOZF6QXK8O9Lk/x8s/7L7BkS2NUWhDNMo&#10;0ZOYAnlvJzKL7IzOVxj06DAsTOhGlVOn3j1Y/sMTY28HZnpxA2DHQbAWq0svi5OnGcdHkGb8bFtM&#10;w7bBJqCpAx2pQzIIoqNKz0dlYikcnYvFu/V6taKE492sLC9Xy6RdwarDcwc+fBRWk3ioKaD0CZ7t&#10;HnzARjD0EBKzeatkey+VSkYcN3GrgOwYDkrT5xbVVmOt2bdeluV+XNCNQ5XdhyrSwEaElOgMXBky&#10;1vRyOV9m3s4SQ98c02KCfQ6s9QxCy4BboqRGmY5BrIpsfzBtmuHApMpnfKwMlhHpj4xn7sPUTEnn&#10;twdVG9s+ox5g81LgEuNhsPCLkhEXoqb+55aBoER9Mqjp5WyxiBt0asCp0ZwazHCEqikPQEk2bkPe&#10;u60D2Q+YK5Ns7A1OQieTRrHmXNe+ARz7xOh+ReNendop6vePZPMCAAD//wMAUEsDBBQABgAIAAAA&#10;IQDssc712gAAAAUBAAAPAAAAZHJzL2Rvd25yZXYueG1sTI9BS8NAEIXvgv9hGcGb3ahUa5pNKYI5&#10;CjaC1212kg3NzobdbZP66x292MuD4T3e+6bYzG4QJwyx96TgfpGBQGq86alT8Fm/3a1AxKTJ6MET&#10;KjhjhE15fVXo3PiJPvC0S53gEoq5VmBTGnMpY2PR6bjwIxJ7rQ9OJz5DJ03QE5e7QT5k2ZN0uide&#10;sHrEV4vNYXd0CtI5fE3z93s7tpWzbrWtq6qulbq9mbdrEAnn9B+GX3xGh5KZ9v5IJopBAT+S/pS9&#10;52z5CGLPoeVLBrIs5CV9+QMAAP//AwBQSwECLQAUAAYACAAAACEAtoM4kv4AAADhAQAAEwAAAAAA&#10;AAAAAAAAAAAAAAAAW0NvbnRlbnRfVHlwZXNdLnhtbFBLAQItABQABgAIAAAAIQA4/SH/1gAAAJQB&#10;AAALAAAAAAAAAAAAAAAAAC8BAABfcmVscy8ucmVsc1BLAQItABQABgAIAAAAIQAiWup+RwIAAJAE&#10;AAAOAAAAAAAAAAAAAAAAAC4CAABkcnMvZTJvRG9jLnhtbFBLAQItABQABgAIAAAAIQDssc712gAA&#10;AAUBAAAPAAAAAAAAAAAAAAAAAKEEAABkcnMvZG93bnJldi54bWxQSwUGAAAAAAQABADzAAAAqAUA&#10;AAAA&#10;" fillcolor="#d8d8d8 [2732]">
                <v:textbox inset=",7.2pt,,7.2pt">
                  <w:txbxContent>
                    <w:p w14:paraId="1BB4FEE2" w14:textId="77777777" w:rsidR="00DB67D2" w:rsidRPr="001A4DE1" w:rsidRDefault="00DB67D2" w:rsidP="002F2F6F">
                      <w:pPr>
                        <w:rPr>
                          <w:rFonts w:asciiTheme="minorHAnsi" w:hAnsiTheme="minorHAnsi" w:cstheme="minorHAnsi"/>
                          <w:b/>
                        </w:rPr>
                      </w:pPr>
                      <w:r w:rsidRPr="00F9567F">
                        <w:rPr>
                          <w:rFonts w:asciiTheme="minorHAnsi" w:hAnsiTheme="minorHAnsi" w:cstheme="minorHAnsi"/>
                          <w:b/>
                          <w:color w:val="FF0000"/>
                        </w:rPr>
                        <w:t>REVIEWERS</w:t>
                      </w:r>
                      <w:r w:rsidRPr="001A4DE1">
                        <w:rPr>
                          <w:rFonts w:asciiTheme="minorHAnsi" w:hAnsiTheme="minorHAnsi" w:cstheme="minorHAnsi"/>
                          <w:b/>
                        </w:rPr>
                        <w:t xml:space="preserve"> do not edit or modify this section </w:t>
                      </w:r>
                    </w:p>
                    <w:p w14:paraId="09A2DAE1" w14:textId="77777777" w:rsidR="00DB67D2" w:rsidRDefault="00DB67D2" w:rsidP="002F2F6F">
                      <w:pPr>
                        <w:outlineLvl w:val="9"/>
                      </w:pPr>
                      <w:r w:rsidRPr="001A4DE1">
                        <w:rPr>
                          <w:rFonts w:asciiTheme="minorHAnsi" w:hAnsiTheme="minorHAnsi" w:cstheme="minorHAnsi"/>
                        </w:rPr>
                        <w:t xml:space="preserve"> </w:t>
                      </w:r>
                      <w:r>
                        <w:rPr>
                          <w:rFonts w:asciiTheme="minorHAnsi" w:hAnsiTheme="minorHAnsi" w:cstheme="minorHAnsi"/>
                        </w:rPr>
                        <w:t xml:space="preserve">Management reviewed and edited this section. It was then published with the Public Notice. </w:t>
                      </w:r>
                      <w:r w:rsidRPr="001A4DE1">
                        <w:rPr>
                          <w:rFonts w:asciiTheme="minorHAnsi" w:hAnsiTheme="minorHAnsi" w:cstheme="minorHAnsi"/>
                        </w:rPr>
                        <w:t xml:space="preserve">Do not modify it except to correct typographical errors. </w:t>
                      </w:r>
                    </w:p>
                  </w:txbxContent>
                </v:textbox>
                <w10:anchorlock/>
              </v:shape>
            </w:pict>
          </mc:Fallback>
        </mc:AlternateContent>
      </w:r>
    </w:p>
    <w:p w14:paraId="47B394BF" w14:textId="77777777" w:rsidR="002F2F6F" w:rsidRDefault="002F2F6F" w:rsidP="002F2F6F"/>
    <w:p w14:paraId="6AE9C03C" w14:textId="77777777" w:rsidR="00164DC2" w:rsidRPr="00762E9F" w:rsidRDefault="00164DC2" w:rsidP="00164DC2">
      <w:pPr>
        <w:pStyle w:val="Heading2"/>
      </w:pPr>
      <w:r w:rsidRPr="00762E9F">
        <w:t>Lead division</w:t>
      </w:r>
    </w:p>
    <w:p w14:paraId="2480B037" w14:textId="77777777" w:rsidR="00164DC2" w:rsidRDefault="00164DC2" w:rsidP="00164DC2"/>
    <w:p w14:paraId="77F4EF8A" w14:textId="77777777" w:rsidR="00164DC2" w:rsidRDefault="00164DC2" w:rsidP="00164DC2">
      <w:r>
        <w:t>Land Quality Division</w:t>
      </w:r>
    </w:p>
    <w:p w14:paraId="0A967EDE" w14:textId="77777777" w:rsidR="00164DC2" w:rsidRPr="00762E9F" w:rsidRDefault="00164DC2" w:rsidP="00164DC2"/>
    <w:p w14:paraId="4A8DB655" w14:textId="77777777" w:rsidR="00164DC2" w:rsidRPr="00762E9F" w:rsidRDefault="00164DC2" w:rsidP="00164DC2">
      <w:pPr>
        <w:pStyle w:val="Heading2"/>
      </w:pPr>
      <w:r w:rsidRPr="00762E9F">
        <w:t>Program or activity</w:t>
      </w:r>
    </w:p>
    <w:p w14:paraId="3998B0BF" w14:textId="77777777" w:rsidR="00164DC2" w:rsidRDefault="00164DC2" w:rsidP="00164DC2"/>
    <w:p w14:paraId="31C16F5F" w14:textId="77777777" w:rsidR="00164DC2" w:rsidRDefault="00164DC2" w:rsidP="00164DC2">
      <w:r>
        <w:t>Heating Oil Tank Program</w:t>
      </w:r>
    </w:p>
    <w:p w14:paraId="64DA5D23" w14:textId="77777777" w:rsidR="00164DC2" w:rsidRPr="00762E9F" w:rsidRDefault="00164DC2" w:rsidP="00164DC2"/>
    <w:p w14:paraId="2833E873" w14:textId="77777777" w:rsidR="00164DC2" w:rsidRPr="00762E9F" w:rsidRDefault="00164DC2" w:rsidP="00164DC2">
      <w:pPr>
        <w:pStyle w:val="Heading2"/>
      </w:pPr>
      <w:r w:rsidRPr="00762E9F">
        <w:t>Chapter 340 action</w:t>
      </w:r>
    </w:p>
    <w:p w14:paraId="6A694A5C" w14:textId="77777777" w:rsidR="00164DC2" w:rsidRDefault="00164DC2" w:rsidP="00164DC2"/>
    <w:p w14:paraId="6456894E" w14:textId="77777777" w:rsidR="00164DC2" w:rsidRPr="00762E9F" w:rsidRDefault="00164DC2" w:rsidP="00164DC2">
      <w:r>
        <w:t>Amend: 340-177-0095, 340-163-0150</w:t>
      </w:r>
    </w:p>
    <w:p w14:paraId="66DE6607" w14:textId="77777777" w:rsidR="00164DC2" w:rsidRPr="00762E9F" w:rsidRDefault="00164DC2" w:rsidP="00164DC2"/>
    <w:tbl>
      <w:tblPr>
        <w:tblStyle w:val="TableGrid"/>
        <w:tblW w:w="0" w:type="auto"/>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2" w:space="0" w:color="000000" w:themeColor="text1"/>
          <w:insideV w:val="single" w:sz="18" w:space="0" w:color="000000" w:themeColor="text1"/>
        </w:tblBorders>
        <w:tblCellMar>
          <w:top w:w="14" w:type="dxa"/>
          <w:left w:w="14" w:type="dxa"/>
          <w:bottom w:w="14" w:type="dxa"/>
          <w:right w:w="14" w:type="dxa"/>
        </w:tblCellMar>
        <w:tblLook w:val="04A0" w:firstRow="1" w:lastRow="0" w:firstColumn="1" w:lastColumn="0" w:noHBand="0" w:noVBand="1"/>
      </w:tblPr>
      <w:tblGrid>
        <w:gridCol w:w="4117"/>
        <w:gridCol w:w="4837"/>
      </w:tblGrid>
      <w:tr w:rsidR="00164DC2" w:rsidRPr="00762E9F" w14:paraId="104C18DD" w14:textId="77777777" w:rsidTr="00164DC2">
        <w:tc>
          <w:tcPr>
            <w:tcW w:w="8954" w:type="dxa"/>
            <w:gridSpan w:val="2"/>
            <w:tcBorders>
              <w:bottom w:val="single" w:sz="12" w:space="0" w:color="000000" w:themeColor="text1"/>
            </w:tcBorders>
            <w:shd w:val="clear" w:color="auto" w:fill="E2EFD9" w:themeFill="accent6" w:themeFillTint="33"/>
            <w:vAlign w:val="center"/>
          </w:tcPr>
          <w:p w14:paraId="7CFCFB92" w14:textId="77777777" w:rsidR="00164DC2" w:rsidRPr="006E10A6" w:rsidRDefault="00164DC2" w:rsidP="00164DC2">
            <w:pPr>
              <w:jc w:val="center"/>
              <w:rPr>
                <w:rFonts w:ascii="Arial" w:hAnsi="Arial" w:cs="Arial"/>
                <w:b/>
                <w:sz w:val="28"/>
                <w:szCs w:val="28"/>
              </w:rPr>
            </w:pPr>
            <w:r w:rsidRPr="006E10A6">
              <w:rPr>
                <w:rFonts w:ascii="Arial" w:hAnsi="Arial" w:cs="Arial"/>
                <w:b/>
                <w:sz w:val="28"/>
                <w:szCs w:val="28"/>
              </w:rPr>
              <w:t>Statutory Authority - ORS</w:t>
            </w:r>
          </w:p>
        </w:tc>
      </w:tr>
      <w:tr w:rsidR="00164DC2" w:rsidRPr="00762E9F" w14:paraId="3748D7E9" w14:textId="77777777" w:rsidTr="00164DC2">
        <w:tc>
          <w:tcPr>
            <w:tcW w:w="4117" w:type="dxa"/>
            <w:tcBorders>
              <w:top w:val="single" w:sz="12" w:space="0" w:color="000000" w:themeColor="text1"/>
              <w:bottom w:val="single" w:sz="12" w:space="0" w:color="000000" w:themeColor="text1"/>
              <w:right w:val="single" w:sz="12" w:space="0" w:color="000000" w:themeColor="text1"/>
            </w:tcBorders>
            <w:vAlign w:val="center"/>
          </w:tcPr>
          <w:p w14:paraId="52627D79" w14:textId="77777777" w:rsidR="00164DC2" w:rsidRPr="00762E9F" w:rsidRDefault="00164DC2" w:rsidP="00164DC2">
            <w:pPr>
              <w:jc w:val="center"/>
            </w:pPr>
            <w:r>
              <w:t>466.706 – 466.995</w:t>
            </w:r>
          </w:p>
        </w:tc>
        <w:tc>
          <w:tcPr>
            <w:tcW w:w="48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277464B9" w14:textId="77777777" w:rsidR="00164DC2" w:rsidRPr="00762E9F" w:rsidRDefault="00164DC2" w:rsidP="00164DC2">
            <w:pPr>
              <w:jc w:val="center"/>
            </w:pPr>
            <w:r>
              <w:t>465.200 – 465.320</w:t>
            </w:r>
          </w:p>
        </w:tc>
      </w:tr>
    </w:tbl>
    <w:p w14:paraId="008FE329" w14:textId="77777777" w:rsidR="00164DC2" w:rsidRPr="00762E9F" w:rsidRDefault="00164DC2" w:rsidP="00164DC2"/>
    <w:tbl>
      <w:tblPr>
        <w:tblStyle w:val="TableGrid"/>
        <w:tblW w:w="0" w:type="auto"/>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2" w:space="0" w:color="000000" w:themeColor="text1"/>
          <w:insideV w:val="single" w:sz="18" w:space="0" w:color="000000" w:themeColor="text1"/>
        </w:tblBorders>
        <w:tblCellMar>
          <w:top w:w="14" w:type="dxa"/>
          <w:left w:w="14" w:type="dxa"/>
          <w:bottom w:w="14" w:type="dxa"/>
          <w:right w:w="14" w:type="dxa"/>
        </w:tblCellMar>
        <w:tblLook w:val="04A0" w:firstRow="1" w:lastRow="0" w:firstColumn="1" w:lastColumn="0" w:noHBand="0" w:noVBand="1"/>
      </w:tblPr>
      <w:tblGrid>
        <w:gridCol w:w="1791"/>
        <w:gridCol w:w="1791"/>
        <w:gridCol w:w="1791"/>
        <w:gridCol w:w="1791"/>
        <w:gridCol w:w="1790"/>
      </w:tblGrid>
      <w:tr w:rsidR="00164DC2" w:rsidRPr="00762E9F" w14:paraId="43C7D5E1" w14:textId="77777777" w:rsidTr="00164DC2">
        <w:trPr>
          <w:trHeight w:val="485"/>
        </w:trPr>
        <w:tc>
          <w:tcPr>
            <w:tcW w:w="8954" w:type="dxa"/>
            <w:gridSpan w:val="5"/>
            <w:tcBorders>
              <w:bottom w:val="single" w:sz="12" w:space="0" w:color="000000" w:themeColor="text1"/>
            </w:tcBorders>
            <w:shd w:val="clear" w:color="auto" w:fill="E2EFD9" w:themeFill="accent6" w:themeFillTint="33"/>
            <w:vAlign w:val="center"/>
          </w:tcPr>
          <w:p w14:paraId="2B0A4362" w14:textId="77777777" w:rsidR="00164DC2" w:rsidRPr="006E10A6" w:rsidRDefault="00164DC2" w:rsidP="00164DC2">
            <w:pPr>
              <w:jc w:val="center"/>
              <w:rPr>
                <w:rFonts w:ascii="Arial" w:hAnsi="Arial" w:cs="Arial"/>
                <w:b/>
                <w:sz w:val="28"/>
                <w:szCs w:val="28"/>
              </w:rPr>
            </w:pPr>
            <w:r w:rsidRPr="006E10A6">
              <w:rPr>
                <w:rFonts w:ascii="Arial" w:hAnsi="Arial" w:cs="Arial"/>
                <w:b/>
                <w:sz w:val="28"/>
                <w:szCs w:val="28"/>
              </w:rPr>
              <w:t>Statutes Implemented - ORS</w:t>
            </w:r>
          </w:p>
        </w:tc>
      </w:tr>
      <w:tr w:rsidR="00164DC2" w:rsidRPr="00762E9F" w14:paraId="799C7752" w14:textId="77777777" w:rsidTr="00164DC2">
        <w:tc>
          <w:tcPr>
            <w:tcW w:w="1791" w:type="dxa"/>
            <w:tcBorders>
              <w:top w:val="single" w:sz="12" w:space="0" w:color="000000" w:themeColor="text1"/>
              <w:bottom w:val="single" w:sz="12" w:space="0" w:color="000000" w:themeColor="text1"/>
              <w:right w:val="single" w:sz="12" w:space="0" w:color="000000" w:themeColor="text1"/>
            </w:tcBorders>
            <w:vAlign w:val="center"/>
          </w:tcPr>
          <w:p w14:paraId="6464DE75" w14:textId="77777777" w:rsidR="00164DC2" w:rsidRPr="00762E9F" w:rsidRDefault="00164DC2" w:rsidP="00164DC2">
            <w:pPr>
              <w:jc w:val="center"/>
            </w:pPr>
            <w:r>
              <w:t>466.706</w:t>
            </w:r>
          </w:p>
        </w:tc>
        <w:tc>
          <w:tcPr>
            <w:tcW w:w="179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0CB71C34" w14:textId="77777777" w:rsidR="00164DC2" w:rsidRPr="00762E9F" w:rsidRDefault="00164DC2" w:rsidP="00164DC2">
            <w:pPr>
              <w:jc w:val="center"/>
            </w:pPr>
            <w:r>
              <w:t>466.750</w:t>
            </w:r>
          </w:p>
        </w:tc>
        <w:tc>
          <w:tcPr>
            <w:tcW w:w="179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67C1A75E" w14:textId="77777777" w:rsidR="00164DC2" w:rsidRPr="00A14894" w:rsidRDefault="00164DC2" w:rsidP="00164DC2">
            <w:pPr>
              <w:jc w:val="center"/>
              <w:rPr>
                <w:highlight w:val="yellow"/>
              </w:rPr>
            </w:pPr>
            <w:r w:rsidRPr="00584730">
              <w:t>466.868</w:t>
            </w:r>
          </w:p>
        </w:tc>
        <w:tc>
          <w:tcPr>
            <w:tcW w:w="179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0B3EAEFF" w14:textId="77777777" w:rsidR="00164DC2" w:rsidRPr="00584730" w:rsidRDefault="00164DC2" w:rsidP="00164DC2">
            <w:pPr>
              <w:jc w:val="center"/>
            </w:pPr>
            <w:r w:rsidRPr="00584730">
              <w:t>466.872</w:t>
            </w:r>
          </w:p>
        </w:tc>
        <w:tc>
          <w:tcPr>
            <w:tcW w:w="1790" w:type="dxa"/>
            <w:tcBorders>
              <w:top w:val="single" w:sz="12" w:space="0" w:color="000000" w:themeColor="text1"/>
              <w:left w:val="single" w:sz="12" w:space="0" w:color="000000" w:themeColor="text1"/>
              <w:bottom w:val="single" w:sz="12" w:space="0" w:color="000000" w:themeColor="text1"/>
            </w:tcBorders>
            <w:vAlign w:val="center"/>
          </w:tcPr>
          <w:p w14:paraId="7ECC2B0C" w14:textId="77777777" w:rsidR="00164DC2" w:rsidRPr="00762E9F" w:rsidRDefault="00164DC2" w:rsidP="00164DC2">
            <w:pPr>
              <w:jc w:val="center"/>
            </w:pPr>
          </w:p>
        </w:tc>
      </w:tr>
    </w:tbl>
    <w:p w14:paraId="029A90AF" w14:textId="77777777" w:rsidR="00164DC2" w:rsidRPr="00762E9F" w:rsidRDefault="00164DC2" w:rsidP="00164DC2"/>
    <w:p w14:paraId="7EAD41D8" w14:textId="77777777" w:rsidR="00164DC2" w:rsidRPr="00762E9F" w:rsidRDefault="00164DC2" w:rsidP="00164DC2">
      <w:pPr>
        <w:pStyle w:val="Heading2"/>
      </w:pPr>
      <w:r w:rsidRPr="00762E9F">
        <w:t xml:space="preserve">Legislation </w:t>
      </w:r>
    </w:p>
    <w:p w14:paraId="57C3E51E" w14:textId="77777777" w:rsidR="00164DC2" w:rsidRDefault="00164DC2" w:rsidP="00164DC2"/>
    <w:p w14:paraId="1139A52A" w14:textId="77777777" w:rsidR="00164DC2" w:rsidRDefault="00164DC2" w:rsidP="00164DC2">
      <w:r>
        <w:t>Senate Bill 40, year 2019.</w:t>
      </w:r>
    </w:p>
    <w:p w14:paraId="74609F40" w14:textId="26EF972F" w:rsidR="00164DC2" w:rsidRPr="00762E9F" w:rsidRDefault="00164DC2" w:rsidP="00164DC2"/>
    <w:p w14:paraId="39CA3E94" w14:textId="77777777" w:rsidR="00164DC2" w:rsidRDefault="00164DC2" w:rsidP="00164DC2">
      <w:pPr>
        <w:pStyle w:val="Heading2"/>
      </w:pPr>
      <w:bookmarkStart w:id="10" w:name="_Toc15883578"/>
      <w:bookmarkStart w:id="11" w:name="SupportingDocuments"/>
      <w:r w:rsidRPr="00F43D69">
        <w:rPr>
          <w:rStyle w:val="Heading1Char"/>
          <w:rFonts w:cstheme="majorBidi"/>
          <w:b/>
          <w:bCs/>
          <w:sz w:val="32"/>
          <w:szCs w:val="26"/>
        </w:rPr>
        <w:t>Documents relied on for rulemaking</w:t>
      </w:r>
      <w:bookmarkEnd w:id="10"/>
      <w:bookmarkEnd w:id="11"/>
    </w:p>
    <w:p w14:paraId="1ECF9600" w14:textId="77777777" w:rsidR="00164DC2" w:rsidRDefault="00164DC2" w:rsidP="00164DC2">
      <w:pPr>
        <w:pStyle w:val="instructions"/>
      </w:pPr>
    </w:p>
    <w:tbl>
      <w:tblPr>
        <w:tblStyle w:val="TableGrid"/>
        <w:tblW w:w="8820" w:type="dxa"/>
        <w:jc w:val="center"/>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2" w:space="0" w:color="000000" w:themeColor="text1"/>
          <w:insideV w:val="single" w:sz="12" w:space="0" w:color="000000" w:themeColor="text1"/>
        </w:tblBorders>
        <w:tblLayout w:type="fixed"/>
        <w:tblLook w:val="04A0" w:firstRow="1" w:lastRow="0" w:firstColumn="1" w:lastColumn="0" w:noHBand="0" w:noVBand="1"/>
      </w:tblPr>
      <w:tblGrid>
        <w:gridCol w:w="3870"/>
        <w:gridCol w:w="4950"/>
      </w:tblGrid>
      <w:tr w:rsidR="00164DC2" w:rsidRPr="00762E9F" w14:paraId="03002E57" w14:textId="77777777" w:rsidTr="00164DC2">
        <w:trPr>
          <w:tblHeader/>
          <w:jc w:val="center"/>
        </w:trPr>
        <w:tc>
          <w:tcPr>
            <w:tcW w:w="3870" w:type="dxa"/>
            <w:shd w:val="clear" w:color="auto" w:fill="C5E0B3" w:themeFill="accent6" w:themeFillTint="66"/>
          </w:tcPr>
          <w:p w14:paraId="1CBA3680" w14:textId="77777777" w:rsidR="00164DC2" w:rsidRPr="002811F5" w:rsidRDefault="00164DC2" w:rsidP="00164DC2">
            <w:pPr>
              <w:jc w:val="center"/>
              <w:rPr>
                <w:rFonts w:ascii="Arial" w:hAnsi="Arial" w:cs="Arial"/>
                <w:b/>
                <w:sz w:val="28"/>
                <w:szCs w:val="28"/>
              </w:rPr>
            </w:pPr>
            <w:r w:rsidRPr="002811F5">
              <w:rPr>
                <w:rFonts w:ascii="Arial" w:hAnsi="Arial" w:cs="Arial"/>
                <w:b/>
                <w:sz w:val="28"/>
                <w:szCs w:val="28"/>
              </w:rPr>
              <w:t xml:space="preserve">Document </w:t>
            </w:r>
            <w:r>
              <w:rPr>
                <w:rFonts w:ascii="Arial" w:hAnsi="Arial" w:cs="Arial"/>
                <w:b/>
                <w:sz w:val="28"/>
                <w:szCs w:val="28"/>
              </w:rPr>
              <w:t>T</w:t>
            </w:r>
            <w:r w:rsidRPr="002811F5">
              <w:rPr>
                <w:rFonts w:ascii="Arial" w:hAnsi="Arial" w:cs="Arial"/>
                <w:b/>
                <w:sz w:val="28"/>
                <w:szCs w:val="28"/>
              </w:rPr>
              <w:t>itle</w:t>
            </w:r>
          </w:p>
        </w:tc>
        <w:tc>
          <w:tcPr>
            <w:tcW w:w="4950" w:type="dxa"/>
            <w:shd w:val="clear" w:color="auto" w:fill="C5E0B3" w:themeFill="accent6" w:themeFillTint="66"/>
          </w:tcPr>
          <w:p w14:paraId="2EC97E54" w14:textId="77777777" w:rsidR="00164DC2" w:rsidRPr="002811F5" w:rsidRDefault="00164DC2" w:rsidP="00164DC2">
            <w:pPr>
              <w:jc w:val="center"/>
              <w:rPr>
                <w:rFonts w:ascii="Arial" w:hAnsi="Arial" w:cs="Arial"/>
                <w:b/>
                <w:sz w:val="28"/>
                <w:szCs w:val="28"/>
              </w:rPr>
            </w:pPr>
            <w:r w:rsidRPr="002811F5">
              <w:rPr>
                <w:rFonts w:ascii="Arial" w:hAnsi="Arial" w:cs="Arial"/>
                <w:b/>
                <w:sz w:val="28"/>
                <w:szCs w:val="28"/>
              </w:rPr>
              <w:t xml:space="preserve">Document </w:t>
            </w:r>
            <w:r>
              <w:rPr>
                <w:rFonts w:ascii="Arial" w:hAnsi="Arial" w:cs="Arial"/>
                <w:b/>
                <w:sz w:val="28"/>
                <w:szCs w:val="28"/>
              </w:rPr>
              <w:t>L</w:t>
            </w:r>
            <w:r w:rsidRPr="002811F5">
              <w:rPr>
                <w:rFonts w:ascii="Arial" w:hAnsi="Arial" w:cs="Arial"/>
                <w:b/>
                <w:sz w:val="28"/>
                <w:szCs w:val="28"/>
              </w:rPr>
              <w:t>ocation</w:t>
            </w:r>
          </w:p>
        </w:tc>
      </w:tr>
      <w:tr w:rsidR="00164DC2" w:rsidRPr="00762E9F" w14:paraId="672124DA" w14:textId="77777777" w:rsidTr="00164DC2">
        <w:trPr>
          <w:jc w:val="center"/>
        </w:trPr>
        <w:tc>
          <w:tcPr>
            <w:tcW w:w="3870" w:type="dxa"/>
            <w:vAlign w:val="center"/>
          </w:tcPr>
          <w:p w14:paraId="38FE8092" w14:textId="77777777" w:rsidR="00164DC2" w:rsidRPr="00762E9F" w:rsidRDefault="00164DC2" w:rsidP="00164DC2">
            <w:r>
              <w:t xml:space="preserve">Oregon Department of Environmental Quality HOT Project Cost Summary and Data, </w:t>
            </w:r>
            <w:r w:rsidRPr="000A3D73">
              <w:t>Year</w:t>
            </w:r>
            <w:r>
              <w:t xml:space="preserve"> 2018</w:t>
            </w:r>
          </w:p>
        </w:tc>
        <w:tc>
          <w:tcPr>
            <w:tcW w:w="4950" w:type="dxa"/>
            <w:vAlign w:val="center"/>
          </w:tcPr>
          <w:p w14:paraId="16972707" w14:textId="77777777" w:rsidR="00164DC2" w:rsidRDefault="00164DC2" w:rsidP="00164DC2">
            <w:r>
              <w:t>Oregon DEQ – Land Quality Division</w:t>
            </w:r>
          </w:p>
          <w:p w14:paraId="3FC0F4AF" w14:textId="77777777" w:rsidR="00164DC2" w:rsidRDefault="00164DC2" w:rsidP="00164DC2">
            <w:r>
              <w:t>Heating Oil Tank Program</w:t>
            </w:r>
          </w:p>
          <w:p w14:paraId="6877BFCE" w14:textId="77777777" w:rsidR="00164DC2" w:rsidRDefault="00164DC2" w:rsidP="00164DC2">
            <w:r>
              <w:t>700 NE Multnomah St., Ste. 600</w:t>
            </w:r>
          </w:p>
          <w:p w14:paraId="550620B2" w14:textId="77777777" w:rsidR="00164DC2" w:rsidRPr="00762E9F" w:rsidRDefault="00164DC2" w:rsidP="00164DC2">
            <w:r>
              <w:t>Portland, OR 97232-1400</w:t>
            </w:r>
          </w:p>
        </w:tc>
      </w:tr>
      <w:tr w:rsidR="00164DC2" w:rsidRPr="00762E9F" w14:paraId="69E167A5" w14:textId="77777777" w:rsidTr="00164DC2">
        <w:trPr>
          <w:jc w:val="center"/>
        </w:trPr>
        <w:tc>
          <w:tcPr>
            <w:tcW w:w="3870" w:type="dxa"/>
            <w:vAlign w:val="center"/>
          </w:tcPr>
          <w:p w14:paraId="7D8FB760" w14:textId="77777777" w:rsidR="00164DC2" w:rsidRDefault="00164DC2" w:rsidP="00164DC2">
            <w:r>
              <w:lastRenderedPageBreak/>
              <w:t>Oregon Department of Environmental Quality HOT Cleanups and Property Owner Type, Year 2018</w:t>
            </w:r>
          </w:p>
        </w:tc>
        <w:tc>
          <w:tcPr>
            <w:tcW w:w="4950" w:type="dxa"/>
            <w:vAlign w:val="center"/>
          </w:tcPr>
          <w:p w14:paraId="0D7AEB91" w14:textId="77777777" w:rsidR="00164DC2" w:rsidRDefault="00164DC2" w:rsidP="00164DC2">
            <w:r>
              <w:t>Oregon DEQ – Land Quality Division</w:t>
            </w:r>
          </w:p>
          <w:p w14:paraId="3FABDFBC" w14:textId="77777777" w:rsidR="00164DC2" w:rsidRDefault="00164DC2" w:rsidP="00164DC2">
            <w:r>
              <w:t>Heating Oil Tank Program</w:t>
            </w:r>
          </w:p>
          <w:p w14:paraId="3FB302C4" w14:textId="77777777" w:rsidR="00164DC2" w:rsidRDefault="00164DC2" w:rsidP="00164DC2">
            <w:r>
              <w:t>700 NE Multnomah St., Ste. 600</w:t>
            </w:r>
          </w:p>
          <w:p w14:paraId="517E0061" w14:textId="77777777" w:rsidR="00164DC2" w:rsidRDefault="00164DC2" w:rsidP="00164DC2">
            <w:r>
              <w:t>Portland, OR 97232-1400</w:t>
            </w:r>
          </w:p>
        </w:tc>
      </w:tr>
      <w:tr w:rsidR="00164DC2" w:rsidRPr="00762E9F" w14:paraId="4EF22883" w14:textId="77777777" w:rsidTr="00164DC2">
        <w:trPr>
          <w:trHeight w:val="1023"/>
          <w:jc w:val="center"/>
        </w:trPr>
        <w:tc>
          <w:tcPr>
            <w:tcW w:w="3870" w:type="dxa"/>
          </w:tcPr>
          <w:p w14:paraId="0752200D" w14:textId="77777777" w:rsidR="00164DC2" w:rsidRPr="00762E9F" w:rsidRDefault="00164DC2" w:rsidP="00164DC2">
            <w:r w:rsidRPr="003657FA">
              <w:t xml:space="preserve">Oregon Department of Environmental Quality </w:t>
            </w:r>
            <w:r>
              <w:t>HOT Project Type 2007-2017</w:t>
            </w:r>
          </w:p>
        </w:tc>
        <w:tc>
          <w:tcPr>
            <w:tcW w:w="4950" w:type="dxa"/>
          </w:tcPr>
          <w:p w14:paraId="74A456E8" w14:textId="77777777" w:rsidR="00164DC2" w:rsidRDefault="00164DC2" w:rsidP="00164DC2">
            <w:r w:rsidRPr="003657FA">
              <w:t>Oregon DEQ – Land Quality Division</w:t>
            </w:r>
          </w:p>
          <w:p w14:paraId="5FA6E75C" w14:textId="77777777" w:rsidR="00164DC2" w:rsidRDefault="00164DC2" w:rsidP="00164DC2">
            <w:r>
              <w:t>Heating Oil Tank Program</w:t>
            </w:r>
          </w:p>
          <w:p w14:paraId="21068F9D" w14:textId="77777777" w:rsidR="00164DC2" w:rsidRDefault="00164DC2" w:rsidP="00164DC2">
            <w:r>
              <w:t>700 NE Multnomah St., Ste. 600</w:t>
            </w:r>
          </w:p>
          <w:p w14:paraId="13C02FB0" w14:textId="77777777" w:rsidR="00164DC2" w:rsidRPr="00762E9F" w:rsidRDefault="00164DC2" w:rsidP="00164DC2">
            <w:r>
              <w:t>Portland, OR 97232-1400</w:t>
            </w:r>
          </w:p>
        </w:tc>
      </w:tr>
      <w:tr w:rsidR="00164DC2" w:rsidRPr="00762E9F" w14:paraId="0405ECED" w14:textId="77777777" w:rsidTr="00164DC2">
        <w:trPr>
          <w:trHeight w:val="1023"/>
          <w:jc w:val="center"/>
        </w:trPr>
        <w:tc>
          <w:tcPr>
            <w:tcW w:w="3870" w:type="dxa"/>
          </w:tcPr>
          <w:p w14:paraId="3B08FE8F" w14:textId="77777777" w:rsidR="00164DC2" w:rsidRPr="003657FA" w:rsidRDefault="00164DC2" w:rsidP="00164DC2">
            <w:r>
              <w:t>Oregon Department of Environmental Quality HOT Reported Sites Projections, January 2019</w:t>
            </w:r>
          </w:p>
        </w:tc>
        <w:tc>
          <w:tcPr>
            <w:tcW w:w="4950" w:type="dxa"/>
          </w:tcPr>
          <w:p w14:paraId="631A8D0A" w14:textId="77777777" w:rsidR="00164DC2" w:rsidRPr="006470F6" w:rsidRDefault="00164DC2" w:rsidP="00164DC2">
            <w:r w:rsidRPr="006470F6">
              <w:t>Oregon DEQ – Land Quality Division</w:t>
            </w:r>
          </w:p>
          <w:p w14:paraId="0CA1915A" w14:textId="77777777" w:rsidR="00164DC2" w:rsidRPr="006470F6" w:rsidRDefault="00164DC2" w:rsidP="00164DC2">
            <w:r w:rsidRPr="006470F6">
              <w:t>Heating Oil Tank Program</w:t>
            </w:r>
          </w:p>
          <w:p w14:paraId="2D51DF92" w14:textId="77777777" w:rsidR="00164DC2" w:rsidRPr="006470F6" w:rsidRDefault="00164DC2" w:rsidP="00164DC2">
            <w:r w:rsidRPr="006470F6">
              <w:t>700 NE Multnomah St., Ste. 600</w:t>
            </w:r>
          </w:p>
          <w:p w14:paraId="38FAAE85" w14:textId="77777777" w:rsidR="00164DC2" w:rsidRPr="003657FA" w:rsidRDefault="00164DC2" w:rsidP="00164DC2">
            <w:r w:rsidRPr="006470F6">
              <w:t>Portland, OR 97232-1400</w:t>
            </w:r>
          </w:p>
        </w:tc>
      </w:tr>
    </w:tbl>
    <w:p w14:paraId="725EF3F2" w14:textId="77777777" w:rsidR="00164DC2" w:rsidRPr="00762E9F" w:rsidRDefault="00164DC2" w:rsidP="00164DC2">
      <w:pPr>
        <w:sectPr w:rsidR="00164DC2" w:rsidRPr="00762E9F" w:rsidSect="00164DC2">
          <w:pgSz w:w="12240" w:h="15840"/>
          <w:pgMar w:top="1440" w:right="1440" w:bottom="1440" w:left="1440" w:header="720" w:footer="720" w:gutter="360"/>
          <w:cols w:space="720"/>
          <w:docGrid w:linePitch="360"/>
        </w:sectPr>
      </w:pPr>
    </w:p>
    <w:p w14:paraId="4192C96B" w14:textId="1D09FD41" w:rsidR="002F2F6F" w:rsidRPr="00A33FE4" w:rsidRDefault="002F2F6F" w:rsidP="00A33FE4">
      <w:pPr>
        <w:tabs>
          <w:tab w:val="left" w:pos="3488"/>
        </w:tabs>
        <w:sectPr w:rsidR="002F2F6F" w:rsidRPr="00A33FE4" w:rsidSect="00A33FE4">
          <w:type w:val="continuous"/>
          <w:pgSz w:w="12240" w:h="15840" w:code="1"/>
          <w:pgMar w:top="1440" w:right="1440" w:bottom="1440" w:left="1440" w:header="720" w:footer="720" w:gutter="360"/>
          <w:cols w:space="720"/>
          <w:docGrid w:linePitch="360"/>
        </w:sectPr>
      </w:pPr>
    </w:p>
    <w:p w14:paraId="4327DEC3" w14:textId="77777777" w:rsidR="002F2F6F" w:rsidRPr="003C26EE" w:rsidRDefault="002F2F6F" w:rsidP="002F2F6F">
      <w:pPr>
        <w:pStyle w:val="Heading1"/>
      </w:pPr>
      <w:bookmarkStart w:id="12" w:name="_Toc3988349"/>
      <w:bookmarkStart w:id="13" w:name="_Toc4051281"/>
      <w:r w:rsidRPr="003C26EE">
        <w:lastRenderedPageBreak/>
        <w:t>Fee Analysis</w:t>
      </w:r>
      <w:bookmarkEnd w:id="12"/>
      <w:bookmarkEnd w:id="13"/>
    </w:p>
    <w:p w14:paraId="6B99B8FA" w14:textId="77777777" w:rsidR="002F2F6F" w:rsidRDefault="002F2F6F" w:rsidP="00A83AA3">
      <w:pPr>
        <w:pStyle w:val="instructions"/>
      </w:pPr>
      <w:r>
        <w:t>Copy and paste from Notice of Rulemaking.</w:t>
      </w:r>
    </w:p>
    <w:p w14:paraId="035A3C5F" w14:textId="77777777" w:rsidR="002F2F6F" w:rsidRDefault="002F2F6F" w:rsidP="00A83AA3">
      <w:pPr>
        <w:pStyle w:val="instructions"/>
      </w:pPr>
    </w:p>
    <w:p w14:paraId="37CAAB34" w14:textId="77777777" w:rsidR="002F2F6F" w:rsidRDefault="002F2F6F" w:rsidP="00A83AA3">
      <w:pPr>
        <w:pStyle w:val="instructions"/>
      </w:pPr>
      <w:r w:rsidRPr="001404B0">
        <w:rPr>
          <w:noProof/>
        </w:rPr>
        <mc:AlternateContent>
          <mc:Choice Requires="wps">
            <w:drawing>
              <wp:inline distT="0" distB="0" distL="0" distR="0" wp14:anchorId="176CCD08" wp14:editId="44026F57">
                <wp:extent cx="4478866" cy="1009650"/>
                <wp:effectExtent l="0" t="0" r="17145" b="19050"/>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8866" cy="1009650"/>
                        </a:xfrm>
                        <a:prstGeom prst="rect">
                          <a:avLst/>
                        </a:prstGeom>
                        <a:solidFill>
                          <a:schemeClr val="bg1">
                            <a:lumMod val="85000"/>
                            <a:lumOff val="0"/>
                          </a:schemeClr>
                        </a:solidFill>
                        <a:ln w="9525">
                          <a:solidFill>
                            <a:srgbClr val="000000"/>
                          </a:solidFill>
                          <a:miter lim="800000"/>
                          <a:headEnd/>
                          <a:tailEnd/>
                        </a:ln>
                      </wps:spPr>
                      <wps:txbx>
                        <w:txbxContent>
                          <w:p w14:paraId="3AC16233" w14:textId="77777777" w:rsidR="00DB67D2" w:rsidRPr="001A4DE1" w:rsidRDefault="00DB67D2" w:rsidP="002F2F6F">
                            <w:pPr>
                              <w:rPr>
                                <w:rFonts w:asciiTheme="minorHAnsi" w:hAnsiTheme="minorHAnsi" w:cstheme="minorHAnsi"/>
                                <w:b/>
                              </w:rPr>
                            </w:pPr>
                            <w:r w:rsidRPr="00F9567F">
                              <w:rPr>
                                <w:rFonts w:asciiTheme="minorHAnsi" w:hAnsiTheme="minorHAnsi" w:cstheme="minorHAnsi"/>
                                <w:b/>
                                <w:color w:val="FF0000"/>
                              </w:rPr>
                              <w:t>REVIEWERS</w:t>
                            </w:r>
                            <w:r w:rsidRPr="001A4DE1">
                              <w:rPr>
                                <w:rFonts w:asciiTheme="minorHAnsi" w:hAnsiTheme="minorHAnsi" w:cstheme="minorHAnsi"/>
                                <w:b/>
                              </w:rPr>
                              <w:t xml:space="preserve"> do not edit or modify this section </w:t>
                            </w:r>
                          </w:p>
                          <w:p w14:paraId="27E10077" w14:textId="77777777" w:rsidR="00DB67D2" w:rsidRDefault="00DB67D2" w:rsidP="002F2F6F">
                            <w:pPr>
                              <w:outlineLvl w:val="9"/>
                            </w:pPr>
                            <w:r w:rsidRPr="001A4DE1">
                              <w:rPr>
                                <w:rFonts w:asciiTheme="minorHAnsi" w:hAnsiTheme="minorHAnsi" w:cstheme="minorHAnsi"/>
                              </w:rPr>
                              <w:t xml:space="preserve"> </w:t>
                            </w:r>
                            <w:r>
                              <w:rPr>
                                <w:rFonts w:asciiTheme="minorHAnsi" w:hAnsiTheme="minorHAnsi" w:cstheme="minorHAnsi"/>
                              </w:rPr>
                              <w:t xml:space="preserve">Management reviewed and edited this section. It was then published with the Public Notice. </w:t>
                            </w:r>
                            <w:r w:rsidRPr="001A4DE1">
                              <w:rPr>
                                <w:rFonts w:asciiTheme="minorHAnsi" w:hAnsiTheme="minorHAnsi" w:cstheme="minorHAnsi"/>
                              </w:rPr>
                              <w:t xml:space="preserve">Do not modify it except to correct typographical errors. </w:t>
                            </w:r>
                          </w:p>
                        </w:txbxContent>
                      </wps:txbx>
                      <wps:bodyPr rot="0" vert="horz" wrap="square" lIns="91440" tIns="91440" rIns="91440" bIns="91440" anchor="ctr" anchorCtr="0" upright="1">
                        <a:noAutofit/>
                      </wps:bodyPr>
                    </wps:wsp>
                  </a:graphicData>
                </a:graphic>
              </wp:inline>
            </w:drawing>
          </mc:Choice>
          <mc:Fallback>
            <w:pict>
              <v:shape w14:anchorId="176CCD08" id="_x0000_s1029" type="#_x0000_t202" style="width:352.65pt;height:7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gOnSAIAAJAEAAAOAAAAZHJzL2Uyb0RvYy54bWysVNtu2zAMfR+wfxD0vtoJkiwx6hRdug4D&#10;ugvQ7gNkWbaFSaImKbG7rx8lJVm6vQ17MUSKOiTPIX19M2lFDsJ5Caams6uSEmE4tNL0Nf32dP9m&#10;TYkPzLRMgRE1fRae3mxfv7oebSXmMIBqhSMIYnw12poOIdiqKDwfhGb+CqwweNmB0yyg6fqidWxE&#10;dK2KeVmuihFcax1w4T167/Il3Sb8rhM8fOk6LwJRNcXaQvq69G3it9hes6p3zA6SH8tg/1CFZtJg&#10;0jPUHQuM7J38C0pL7sBDF6446AK6TnKResBuZuUf3TwOzIrUC5Lj7Zkm//9g+efDV0dkW9MNJYZp&#10;lOhJTIG8g4nMIjuj9RUGPVoMCxO6UeXUqbcPwL97YmA3MNOLW+dgHARrsbr0srh4mnF8BGnGT9Bi&#10;GrYPkICmzulIHZJBEB1Vej4rE0vh6Fws3q7XqxUlHO9mZblZLZN2BatOz63z4YMATeKhpg6lT/Ds&#10;8OADNoKhp5CYzYOS7b1UKhlx3MROOXJgOChNn1tUe421Zt96WZbHcUE3DlV2n6pIAxsRUqIX4MqQ&#10;EeldzpeZtxeJXd+c02KCYw6s9QWElgG3REld0/U5iFWR7femTTMcmFT5jI+VwTIi/ZHxzH2Yminp&#10;vDip2kD7jHo4yEuBS4yHAdxPSkZciJr6H3vmBCXqo0FNN7PFIm7QpeEujebSYIYjVE15cJRkYxfy&#10;3u2tk/2AuTLJBm5xEjqZNIo157qODeDYJ0aPKxr36tJOUb9/JNtfAAAA//8DAFBLAwQUAAYACAAA&#10;ACEA7LHO9doAAAAFAQAADwAAAGRycy9kb3ducmV2LnhtbEyPQUvDQBCF74L/YRnBm92oVGuaTSmC&#10;OQo2gtdtdpINzc6G3W2T+usdvdjLg+E93vum2MxuECcMsfek4H6RgUBqvOmpU/BZv92tQMSkyejB&#10;Eyo4Y4RNeX1V6Nz4iT7wtEud4BKKuVZgUxpzKWNj0em48CMSe60PTic+QydN0BOXu0E+ZNmTdLon&#10;XrB6xFeLzWF3dArSOXxN8/d7O7aVs261rauqrpW6vZm3axAJ5/Qfhl98RoeSmfb+SCaKQQE/kv6U&#10;veds+Qhiz6HlSwayLOQlffkDAAD//wMAUEsBAi0AFAAGAAgAAAAhALaDOJL+AAAA4QEAABMAAAAA&#10;AAAAAAAAAAAAAAAAAFtDb250ZW50X1R5cGVzXS54bWxQSwECLQAUAAYACAAAACEAOP0h/9YAAACU&#10;AQAACwAAAAAAAAAAAAAAAAAvAQAAX3JlbHMvLnJlbHNQSwECLQAUAAYACAAAACEAp+IDp0gCAACQ&#10;BAAADgAAAAAAAAAAAAAAAAAuAgAAZHJzL2Uyb0RvYy54bWxQSwECLQAUAAYACAAAACEA7LHO9doA&#10;AAAFAQAADwAAAAAAAAAAAAAAAACiBAAAZHJzL2Rvd25yZXYueG1sUEsFBgAAAAAEAAQA8wAAAKkF&#10;AAAAAA==&#10;" fillcolor="#d8d8d8 [2732]">
                <v:textbox inset=",7.2pt,,7.2pt">
                  <w:txbxContent>
                    <w:p w14:paraId="3AC16233" w14:textId="77777777" w:rsidR="00DB67D2" w:rsidRPr="001A4DE1" w:rsidRDefault="00DB67D2" w:rsidP="002F2F6F">
                      <w:pPr>
                        <w:rPr>
                          <w:rFonts w:asciiTheme="minorHAnsi" w:hAnsiTheme="minorHAnsi" w:cstheme="minorHAnsi"/>
                          <w:b/>
                        </w:rPr>
                      </w:pPr>
                      <w:r w:rsidRPr="00F9567F">
                        <w:rPr>
                          <w:rFonts w:asciiTheme="minorHAnsi" w:hAnsiTheme="minorHAnsi" w:cstheme="minorHAnsi"/>
                          <w:b/>
                          <w:color w:val="FF0000"/>
                        </w:rPr>
                        <w:t>REVIEWERS</w:t>
                      </w:r>
                      <w:r w:rsidRPr="001A4DE1">
                        <w:rPr>
                          <w:rFonts w:asciiTheme="minorHAnsi" w:hAnsiTheme="minorHAnsi" w:cstheme="minorHAnsi"/>
                          <w:b/>
                        </w:rPr>
                        <w:t xml:space="preserve"> do not edit or modify this section </w:t>
                      </w:r>
                    </w:p>
                    <w:p w14:paraId="27E10077" w14:textId="77777777" w:rsidR="00DB67D2" w:rsidRDefault="00DB67D2" w:rsidP="002F2F6F">
                      <w:pPr>
                        <w:outlineLvl w:val="9"/>
                      </w:pPr>
                      <w:r w:rsidRPr="001A4DE1">
                        <w:rPr>
                          <w:rFonts w:asciiTheme="minorHAnsi" w:hAnsiTheme="minorHAnsi" w:cstheme="minorHAnsi"/>
                        </w:rPr>
                        <w:t xml:space="preserve"> </w:t>
                      </w:r>
                      <w:r>
                        <w:rPr>
                          <w:rFonts w:asciiTheme="minorHAnsi" w:hAnsiTheme="minorHAnsi" w:cstheme="minorHAnsi"/>
                        </w:rPr>
                        <w:t xml:space="preserve">Management reviewed and edited this section. It was then published with the Public Notice. </w:t>
                      </w:r>
                      <w:r w:rsidRPr="001A4DE1">
                        <w:rPr>
                          <w:rFonts w:asciiTheme="minorHAnsi" w:hAnsiTheme="minorHAnsi" w:cstheme="minorHAnsi"/>
                        </w:rPr>
                        <w:t xml:space="preserve">Do not modify it except to correct typographical errors. </w:t>
                      </w:r>
                    </w:p>
                  </w:txbxContent>
                </v:textbox>
                <w10:anchorlock/>
              </v:shape>
            </w:pict>
          </mc:Fallback>
        </mc:AlternateContent>
      </w:r>
      <w:bookmarkStart w:id="14" w:name="RANGE!A226:B243"/>
      <w:bookmarkEnd w:id="14"/>
    </w:p>
    <w:p w14:paraId="7DDBA912" w14:textId="77777777" w:rsidR="002F2F6F" w:rsidRDefault="002F2F6F" w:rsidP="002F2F6F"/>
    <w:p w14:paraId="4F65F699" w14:textId="77777777" w:rsidR="00164DC2" w:rsidRPr="00164DC2" w:rsidRDefault="00164DC2" w:rsidP="00164DC2">
      <w:pPr>
        <w:rPr>
          <w:bCs/>
        </w:rPr>
      </w:pPr>
      <w:r w:rsidRPr="00164DC2">
        <w:t>The EQC’s approval of this rule proposal would implement increases to existing fees the Oregon Legislature approved in 2019. The fees maintain the HOT program. EQC’s authority to act on the proposed fees derives from Oregon Revised Statutes (ORS) 465.200 – 465.320 and 466.706 – 466.995.</w:t>
      </w:r>
    </w:p>
    <w:p w14:paraId="15B228CC" w14:textId="77777777" w:rsidR="00164DC2" w:rsidRPr="00164DC2" w:rsidRDefault="00164DC2" w:rsidP="00164DC2"/>
    <w:p w14:paraId="6ED3CC16" w14:textId="77777777" w:rsidR="00164DC2" w:rsidRPr="00164DC2" w:rsidRDefault="00164DC2" w:rsidP="00164DC2">
      <w:pPr>
        <w:keepNext/>
        <w:keepLines/>
        <w:outlineLvl w:val="1"/>
        <w:rPr>
          <w:rFonts w:ascii="Arial" w:hAnsi="Arial" w:cstheme="majorBidi"/>
          <w:b/>
          <w:bCs/>
          <w:sz w:val="32"/>
          <w:szCs w:val="26"/>
        </w:rPr>
      </w:pPr>
      <w:r w:rsidRPr="00164DC2">
        <w:rPr>
          <w:rFonts w:ascii="Arial" w:hAnsi="Arial" w:cstheme="majorBidi"/>
          <w:b/>
          <w:bCs/>
          <w:sz w:val="32"/>
          <w:szCs w:val="26"/>
        </w:rPr>
        <w:t>Brief description of proposed fees</w:t>
      </w:r>
    </w:p>
    <w:p w14:paraId="4E4947C0" w14:textId="77777777" w:rsidR="00164DC2" w:rsidRPr="00164DC2" w:rsidRDefault="00164DC2" w:rsidP="00164DC2">
      <w:pPr>
        <w:rPr>
          <w:bCs/>
          <w:color w:val="auto"/>
          <w:szCs w:val="32"/>
        </w:rPr>
      </w:pPr>
    </w:p>
    <w:p w14:paraId="6C526FFB" w14:textId="77777777" w:rsidR="00164DC2" w:rsidRPr="00164DC2" w:rsidRDefault="00164DC2" w:rsidP="00164DC2">
      <w:pPr>
        <w:rPr>
          <w:bCs/>
          <w:color w:val="auto"/>
          <w:szCs w:val="32"/>
        </w:rPr>
      </w:pPr>
      <w:r w:rsidRPr="00164DC2">
        <w:rPr>
          <w:bCs/>
          <w:color w:val="auto"/>
          <w:szCs w:val="32"/>
        </w:rPr>
        <w:t>The proposed rule amendments increase the licensure and report-filing fees stated in OAR 340-163-0150 and 340-177-0095 respectively. The current fees were set more than 10 years ago with licensure fees established in 1999 and report-filing fees increased in 2007.</w:t>
      </w:r>
    </w:p>
    <w:p w14:paraId="319EEB38" w14:textId="77777777" w:rsidR="00164DC2" w:rsidRPr="00164DC2" w:rsidRDefault="00164DC2" w:rsidP="00164DC2">
      <w:pPr>
        <w:rPr>
          <w:bCs/>
          <w:color w:val="auto"/>
          <w:szCs w:val="32"/>
        </w:rPr>
      </w:pPr>
    </w:p>
    <w:p w14:paraId="38B280B6" w14:textId="77777777" w:rsidR="00164DC2" w:rsidRPr="00164DC2" w:rsidRDefault="00164DC2" w:rsidP="00164DC2">
      <w:pPr>
        <w:rPr>
          <w:rFonts w:ascii="Arial" w:hAnsi="Arial" w:cs="Arial"/>
          <w:bCs/>
          <w:color w:val="auto"/>
          <w:szCs w:val="32"/>
        </w:rPr>
      </w:pPr>
      <w:r w:rsidRPr="00164DC2">
        <w:rPr>
          <w:rFonts w:ascii="Arial" w:hAnsi="Arial" w:cs="Arial"/>
          <w:b/>
          <w:bCs/>
          <w:color w:val="auto"/>
          <w:szCs w:val="32"/>
        </w:rPr>
        <w:t>Licensure fees</w:t>
      </w:r>
    </w:p>
    <w:p w14:paraId="330096E4" w14:textId="77777777" w:rsidR="00164DC2" w:rsidRPr="00164DC2" w:rsidRDefault="00164DC2" w:rsidP="00164DC2">
      <w:pPr>
        <w:rPr>
          <w:b/>
          <w:bCs/>
          <w:color w:val="auto"/>
          <w:szCs w:val="32"/>
        </w:rPr>
      </w:pPr>
    </w:p>
    <w:p w14:paraId="38A97B53" w14:textId="77777777" w:rsidR="00164DC2" w:rsidRPr="00164DC2" w:rsidRDefault="00164DC2" w:rsidP="00164DC2">
      <w:pPr>
        <w:rPr>
          <w:bCs/>
          <w:color w:val="auto"/>
          <w:szCs w:val="32"/>
        </w:rPr>
      </w:pPr>
      <w:r w:rsidRPr="00164DC2">
        <w:rPr>
          <w:bCs/>
          <w:color w:val="auto"/>
          <w:szCs w:val="32"/>
        </w:rPr>
        <w:t>OAR 340-163-0150 sets HOT licensing fees. HOT service providers pay a non-refundable license fee of $750 for a 12-month license. HOT supervisors pay a non-refundable license fee of $150 for a 24-month license. While the HOT supervisor license fee increases to $200 for a 24-month license, DEQ will phase in increases to the HOT service provider license fees as follows:</w:t>
      </w:r>
    </w:p>
    <w:p w14:paraId="58ECF877" w14:textId="77777777" w:rsidR="00164DC2" w:rsidRPr="00164DC2" w:rsidRDefault="00164DC2" w:rsidP="00164DC2">
      <w:pPr>
        <w:rPr>
          <w:bCs/>
          <w:color w:val="auto"/>
          <w:szCs w:val="32"/>
        </w:rPr>
      </w:pPr>
      <w:r w:rsidRPr="00164DC2">
        <w:rPr>
          <w:bCs/>
          <w:color w:val="auto"/>
          <w:szCs w:val="32"/>
        </w:rPr>
        <w:t xml:space="preserve"> </w:t>
      </w:r>
    </w:p>
    <w:p w14:paraId="1604DADA" w14:textId="77777777" w:rsidR="00164DC2" w:rsidRPr="00164DC2" w:rsidRDefault="00164DC2" w:rsidP="00164DC2">
      <w:pPr>
        <w:numPr>
          <w:ilvl w:val="0"/>
          <w:numId w:val="26"/>
        </w:numPr>
        <w:rPr>
          <w:bCs/>
          <w:color w:val="auto"/>
          <w:szCs w:val="32"/>
        </w:rPr>
      </w:pPr>
      <w:r w:rsidRPr="00164DC2">
        <w:rPr>
          <w:bCs/>
          <w:color w:val="auto"/>
          <w:szCs w:val="32"/>
        </w:rPr>
        <w:t>Year 2020: $800 (total) for the year</w:t>
      </w:r>
    </w:p>
    <w:p w14:paraId="534CAD11" w14:textId="77777777" w:rsidR="00164DC2" w:rsidRPr="00164DC2" w:rsidRDefault="00164DC2" w:rsidP="00164DC2">
      <w:pPr>
        <w:numPr>
          <w:ilvl w:val="0"/>
          <w:numId w:val="26"/>
        </w:numPr>
        <w:rPr>
          <w:bCs/>
          <w:color w:val="auto"/>
          <w:szCs w:val="32"/>
        </w:rPr>
      </w:pPr>
      <w:r w:rsidRPr="00164DC2">
        <w:rPr>
          <w:bCs/>
          <w:color w:val="auto"/>
          <w:szCs w:val="32"/>
        </w:rPr>
        <w:t>Year 2021: $900 (total) for the year</w:t>
      </w:r>
    </w:p>
    <w:p w14:paraId="3F985724" w14:textId="77777777" w:rsidR="00164DC2" w:rsidRPr="00164DC2" w:rsidRDefault="00164DC2" w:rsidP="00164DC2">
      <w:pPr>
        <w:numPr>
          <w:ilvl w:val="0"/>
          <w:numId w:val="26"/>
        </w:numPr>
        <w:rPr>
          <w:bCs/>
          <w:color w:val="auto"/>
          <w:szCs w:val="32"/>
        </w:rPr>
      </w:pPr>
      <w:r w:rsidRPr="00164DC2">
        <w:rPr>
          <w:bCs/>
          <w:color w:val="auto"/>
          <w:szCs w:val="32"/>
        </w:rPr>
        <w:t>Year 2022: $1000 (total) annually</w:t>
      </w:r>
    </w:p>
    <w:p w14:paraId="5253E47B" w14:textId="77777777" w:rsidR="00164DC2" w:rsidRPr="00164DC2" w:rsidRDefault="00164DC2" w:rsidP="00164DC2">
      <w:pPr>
        <w:rPr>
          <w:bCs/>
          <w:color w:val="auto"/>
          <w:szCs w:val="32"/>
        </w:rPr>
      </w:pPr>
    </w:p>
    <w:p w14:paraId="77712BCE" w14:textId="77777777" w:rsidR="00164DC2" w:rsidRPr="00164DC2" w:rsidRDefault="00164DC2" w:rsidP="00164DC2">
      <w:pPr>
        <w:rPr>
          <w:bCs/>
          <w:color w:val="auto"/>
          <w:szCs w:val="32"/>
        </w:rPr>
      </w:pPr>
      <w:r w:rsidRPr="00164DC2">
        <w:rPr>
          <w:bCs/>
          <w:color w:val="auto"/>
          <w:szCs w:val="32"/>
        </w:rPr>
        <w:t>The license fee changes begin to take effect Jan. 1, 2020, by legislative action. This rule change will align DEQ’s administrative rules with the new statutory fee amounts.</w:t>
      </w:r>
    </w:p>
    <w:p w14:paraId="4BAA77F8" w14:textId="77777777" w:rsidR="00164DC2" w:rsidRPr="00164DC2" w:rsidRDefault="00164DC2" w:rsidP="00164DC2">
      <w:pPr>
        <w:rPr>
          <w:bCs/>
          <w:color w:val="auto"/>
          <w:szCs w:val="32"/>
        </w:rPr>
      </w:pPr>
    </w:p>
    <w:p w14:paraId="65C941EE" w14:textId="77777777" w:rsidR="00164DC2" w:rsidRPr="00164DC2" w:rsidRDefault="00164DC2" w:rsidP="00164DC2">
      <w:pPr>
        <w:rPr>
          <w:rFonts w:ascii="Arial" w:hAnsi="Arial" w:cs="Arial"/>
          <w:b/>
          <w:bCs/>
          <w:color w:val="auto"/>
          <w:szCs w:val="32"/>
        </w:rPr>
      </w:pPr>
      <w:r w:rsidRPr="00164DC2">
        <w:rPr>
          <w:rFonts w:ascii="Arial" w:hAnsi="Arial" w:cs="Arial"/>
          <w:b/>
          <w:bCs/>
          <w:color w:val="auto"/>
          <w:szCs w:val="32"/>
        </w:rPr>
        <w:t>Report filing fees</w:t>
      </w:r>
    </w:p>
    <w:p w14:paraId="74F32352" w14:textId="77777777" w:rsidR="00164DC2" w:rsidRPr="00164DC2" w:rsidRDefault="00164DC2" w:rsidP="00164DC2">
      <w:pPr>
        <w:rPr>
          <w:bCs/>
          <w:color w:val="auto"/>
          <w:szCs w:val="32"/>
        </w:rPr>
      </w:pPr>
    </w:p>
    <w:p w14:paraId="2E9EF527" w14:textId="77777777" w:rsidR="00164DC2" w:rsidRPr="00164DC2" w:rsidRDefault="00164DC2" w:rsidP="00164DC2">
      <w:pPr>
        <w:rPr>
          <w:bCs/>
          <w:color w:val="auto"/>
          <w:szCs w:val="32"/>
        </w:rPr>
      </w:pPr>
      <w:r w:rsidRPr="00164DC2">
        <w:rPr>
          <w:bCs/>
          <w:color w:val="auto"/>
          <w:szCs w:val="32"/>
        </w:rPr>
        <w:t xml:space="preserve">The tank owner, or service provider on the owner’s behalf, must submit certified project reports and receive DEQ’s approval for HOT services performed at underground sites. The required filing fee must accompany certified reports submitted to DEQ. OAR 340-177-0095 currently defines the report-filing fees as $50 for decommissioning a tank with no confirmed release and $125 for a cleanup report and corrective action. DEQ initially established the fees in rule in 1999. The legislature increased these fees in 2007, via ORS 466.872, to $75 and $200 respectively, superseding the existing rules. </w:t>
      </w:r>
    </w:p>
    <w:p w14:paraId="232FB675" w14:textId="77777777" w:rsidR="00164DC2" w:rsidRPr="00164DC2" w:rsidRDefault="00164DC2" w:rsidP="00164DC2">
      <w:pPr>
        <w:rPr>
          <w:bCs/>
          <w:color w:val="auto"/>
          <w:szCs w:val="32"/>
        </w:rPr>
      </w:pPr>
    </w:p>
    <w:p w14:paraId="78775F72" w14:textId="77777777" w:rsidR="00164DC2" w:rsidRPr="00164DC2" w:rsidRDefault="00164DC2" w:rsidP="00164DC2">
      <w:pPr>
        <w:rPr>
          <w:bCs/>
          <w:color w:val="auto"/>
          <w:szCs w:val="32"/>
        </w:rPr>
      </w:pPr>
      <w:r w:rsidRPr="00164DC2">
        <w:rPr>
          <w:bCs/>
          <w:color w:val="auto"/>
          <w:szCs w:val="32"/>
        </w:rPr>
        <w:t>The 2019 statute change increases the required filing fee for a clean decommission (no release and subsequent cleanup) from $75 to $100 for each project. The legislation also directs the EQC to create three fee categories for HOT cleanup projects in rule. An existing DEQ rule already defines three project types based on the level of agency effort expected for each; Soil Matrix, Generic Remedy and Risk Based. This rule action proposes using those three project types for the three fee categories and tier report filing fees as follows:</w:t>
      </w:r>
    </w:p>
    <w:p w14:paraId="16959A6B" w14:textId="77777777" w:rsidR="00164DC2" w:rsidRPr="00164DC2" w:rsidRDefault="00164DC2" w:rsidP="00164DC2">
      <w:pPr>
        <w:rPr>
          <w:bCs/>
          <w:color w:val="auto"/>
          <w:szCs w:val="32"/>
        </w:rPr>
      </w:pPr>
    </w:p>
    <w:p w14:paraId="0451B40C" w14:textId="77777777" w:rsidR="00164DC2" w:rsidRPr="00164DC2" w:rsidRDefault="00164DC2" w:rsidP="00164DC2">
      <w:pPr>
        <w:numPr>
          <w:ilvl w:val="0"/>
          <w:numId w:val="25"/>
        </w:numPr>
        <w:rPr>
          <w:bCs/>
          <w:color w:val="auto"/>
          <w:szCs w:val="32"/>
        </w:rPr>
      </w:pPr>
      <w:r w:rsidRPr="00164DC2">
        <w:rPr>
          <w:bCs/>
          <w:color w:val="auto"/>
          <w:szCs w:val="32"/>
        </w:rPr>
        <w:t>Soil Matrix Cleanup or “Simple” project type will require a $250 cleanup report filing fee</w:t>
      </w:r>
    </w:p>
    <w:p w14:paraId="4D74D42D" w14:textId="77777777" w:rsidR="00164DC2" w:rsidRPr="00164DC2" w:rsidRDefault="00164DC2" w:rsidP="00164DC2">
      <w:pPr>
        <w:numPr>
          <w:ilvl w:val="0"/>
          <w:numId w:val="25"/>
        </w:numPr>
        <w:rPr>
          <w:bCs/>
          <w:color w:val="auto"/>
          <w:szCs w:val="32"/>
        </w:rPr>
      </w:pPr>
      <w:r w:rsidRPr="00164DC2">
        <w:rPr>
          <w:bCs/>
          <w:color w:val="auto"/>
          <w:szCs w:val="32"/>
        </w:rPr>
        <w:t>Heating Oil Tank Generic Remedy Cleanup or “Intermediate” project type will require a $350 cleanup report filing fee</w:t>
      </w:r>
    </w:p>
    <w:p w14:paraId="15FC9572" w14:textId="77777777" w:rsidR="00164DC2" w:rsidRPr="00164DC2" w:rsidRDefault="00164DC2" w:rsidP="00164DC2">
      <w:pPr>
        <w:numPr>
          <w:ilvl w:val="0"/>
          <w:numId w:val="25"/>
        </w:numPr>
        <w:rPr>
          <w:bCs/>
          <w:color w:val="auto"/>
          <w:szCs w:val="32"/>
        </w:rPr>
      </w:pPr>
      <w:r w:rsidRPr="00164DC2">
        <w:rPr>
          <w:bCs/>
          <w:color w:val="auto"/>
          <w:szCs w:val="32"/>
        </w:rPr>
        <w:t>Risk-Based Cleanup with a Corrective Action Plan or “Complex” project type will require a $450 cleanup report filing fee</w:t>
      </w:r>
    </w:p>
    <w:p w14:paraId="15FDFAC0" w14:textId="77777777" w:rsidR="00164DC2" w:rsidRPr="00164DC2" w:rsidRDefault="00164DC2" w:rsidP="00164DC2"/>
    <w:p w14:paraId="4B896467" w14:textId="77777777" w:rsidR="00164DC2" w:rsidRPr="00164DC2" w:rsidRDefault="00164DC2" w:rsidP="00164DC2">
      <w:pPr>
        <w:keepNext/>
        <w:keepLines/>
        <w:outlineLvl w:val="1"/>
        <w:rPr>
          <w:rFonts w:ascii="Arial" w:hAnsi="Arial" w:cstheme="majorBidi"/>
          <w:b/>
          <w:bCs/>
          <w:sz w:val="32"/>
          <w:szCs w:val="26"/>
        </w:rPr>
      </w:pPr>
      <w:r w:rsidRPr="00164DC2">
        <w:rPr>
          <w:rFonts w:ascii="Arial" w:hAnsi="Arial" w:cstheme="majorBidi"/>
          <w:b/>
          <w:bCs/>
          <w:sz w:val="32"/>
          <w:szCs w:val="26"/>
        </w:rPr>
        <w:t xml:space="preserve">Reasons </w:t>
      </w:r>
    </w:p>
    <w:p w14:paraId="70DD9649" w14:textId="77777777" w:rsidR="00164DC2" w:rsidRPr="00164DC2" w:rsidRDefault="00164DC2" w:rsidP="00164DC2"/>
    <w:p w14:paraId="7FDB6AAC" w14:textId="77777777" w:rsidR="00164DC2" w:rsidRPr="00164DC2" w:rsidRDefault="00164DC2" w:rsidP="00164DC2">
      <w:r w:rsidRPr="00164DC2">
        <w:t>The proposed permanent rule amendments would address:</w:t>
      </w:r>
    </w:p>
    <w:p w14:paraId="1F9847F1" w14:textId="77777777" w:rsidR="00164DC2" w:rsidRPr="00164DC2" w:rsidRDefault="00164DC2" w:rsidP="00164DC2"/>
    <w:p w14:paraId="300C9AFB" w14:textId="77777777" w:rsidR="00164DC2" w:rsidRPr="00164DC2" w:rsidRDefault="00164DC2" w:rsidP="00164DC2">
      <w:pPr>
        <w:numPr>
          <w:ilvl w:val="0"/>
          <w:numId w:val="27"/>
        </w:numPr>
        <w:rPr>
          <w:rFonts w:ascii="Arial" w:hAnsi="Arial" w:cs="Arial"/>
          <w:bCs/>
        </w:rPr>
      </w:pPr>
      <w:r w:rsidRPr="00164DC2">
        <w:rPr>
          <w:rFonts w:ascii="Arial" w:hAnsi="Arial" w:cs="Arial"/>
          <w:b/>
          <w:bCs/>
        </w:rPr>
        <w:t>New fee created by statute</w:t>
      </w:r>
    </w:p>
    <w:p w14:paraId="6EA24C06" w14:textId="77777777" w:rsidR="00164DC2" w:rsidRPr="00164DC2" w:rsidRDefault="00164DC2" w:rsidP="00164DC2">
      <w:pPr>
        <w:ind w:left="720"/>
        <w:rPr>
          <w:bCs/>
        </w:rPr>
      </w:pPr>
    </w:p>
    <w:p w14:paraId="634B6EE6" w14:textId="77777777" w:rsidR="00164DC2" w:rsidRPr="00164DC2" w:rsidRDefault="00164DC2" w:rsidP="00164DC2">
      <w:pPr>
        <w:ind w:left="720"/>
        <w:rPr>
          <w:rFonts w:ascii="Arial" w:hAnsi="Arial" w:cs="Arial"/>
          <w:bCs/>
        </w:rPr>
      </w:pPr>
      <w:r w:rsidRPr="00164DC2">
        <w:rPr>
          <w:bCs/>
        </w:rPr>
        <w:t>The proposed rule change would address new fees created by statute (ORS 466.868 and ORS 466.872), which increase the HOT service provider licensure and report-filing fees.</w:t>
      </w:r>
    </w:p>
    <w:p w14:paraId="5FEA5CF9" w14:textId="77777777" w:rsidR="00164DC2" w:rsidRPr="00164DC2" w:rsidRDefault="00164DC2" w:rsidP="00164DC2"/>
    <w:p w14:paraId="3CFD9A1E" w14:textId="77777777" w:rsidR="00164DC2" w:rsidRPr="00164DC2" w:rsidRDefault="00164DC2" w:rsidP="00164DC2">
      <w:pPr>
        <w:numPr>
          <w:ilvl w:val="0"/>
          <w:numId w:val="27"/>
        </w:numPr>
        <w:rPr>
          <w:rFonts w:ascii="Arial" w:hAnsi="Arial" w:cs="Arial"/>
          <w:b/>
          <w:bCs/>
        </w:rPr>
      </w:pPr>
      <w:r w:rsidRPr="00164DC2">
        <w:rPr>
          <w:rFonts w:ascii="Arial" w:hAnsi="Arial" w:cs="Arial"/>
          <w:b/>
          <w:bCs/>
        </w:rPr>
        <w:t>Change in fee revenue</w:t>
      </w:r>
    </w:p>
    <w:p w14:paraId="680E4CAF" w14:textId="77777777" w:rsidR="00164DC2" w:rsidRPr="00164DC2" w:rsidRDefault="00164DC2" w:rsidP="00164DC2">
      <w:pPr>
        <w:ind w:left="720"/>
        <w:rPr>
          <w:b/>
          <w:bCs/>
        </w:rPr>
      </w:pPr>
    </w:p>
    <w:p w14:paraId="07A0C2F9" w14:textId="77777777" w:rsidR="00164DC2" w:rsidRPr="00164DC2" w:rsidRDefault="00164DC2" w:rsidP="00164DC2">
      <w:pPr>
        <w:ind w:left="720"/>
        <w:rPr>
          <w:rFonts w:ascii="Arial" w:hAnsi="Arial" w:cs="Arial"/>
          <w:b/>
          <w:bCs/>
        </w:rPr>
      </w:pPr>
      <w:r w:rsidRPr="00164DC2">
        <w:rPr>
          <w:bCs/>
        </w:rPr>
        <w:t>The DEQ HOT program is designed to operate with at least four full-time staff positions (4.30 FTE). Staff provide technical assistance, outreach, site inspections, service provider audits and final report reviews. Existing fee revenue only funds 3.20 FTE at current levels of activity.</w:t>
      </w:r>
    </w:p>
    <w:p w14:paraId="3D64856D" w14:textId="77777777" w:rsidR="00164DC2" w:rsidRPr="00164DC2" w:rsidRDefault="00164DC2" w:rsidP="00164DC2">
      <w:pPr>
        <w:rPr>
          <w:bCs/>
        </w:rPr>
      </w:pPr>
    </w:p>
    <w:p w14:paraId="545F7E90" w14:textId="77777777" w:rsidR="00164DC2" w:rsidRPr="00164DC2" w:rsidRDefault="00164DC2" w:rsidP="00164DC2">
      <w:pPr>
        <w:numPr>
          <w:ilvl w:val="0"/>
          <w:numId w:val="27"/>
        </w:numPr>
        <w:rPr>
          <w:rFonts w:ascii="Arial" w:hAnsi="Arial" w:cs="Arial"/>
          <w:bCs/>
        </w:rPr>
      </w:pPr>
      <w:r w:rsidRPr="00164DC2">
        <w:rPr>
          <w:rFonts w:ascii="Arial" w:hAnsi="Arial" w:cs="Arial"/>
          <w:b/>
          <w:bCs/>
        </w:rPr>
        <w:t>Increased program costs</w:t>
      </w:r>
    </w:p>
    <w:p w14:paraId="6E873D97" w14:textId="77777777" w:rsidR="00164DC2" w:rsidRPr="00164DC2" w:rsidRDefault="00164DC2" w:rsidP="00164DC2">
      <w:pPr>
        <w:ind w:left="720"/>
        <w:rPr>
          <w:rFonts w:ascii="Arial" w:hAnsi="Arial" w:cs="Arial"/>
          <w:bCs/>
        </w:rPr>
      </w:pPr>
    </w:p>
    <w:p w14:paraId="5552BD8B" w14:textId="77777777" w:rsidR="00164DC2" w:rsidRPr="00164DC2" w:rsidRDefault="00164DC2" w:rsidP="00164DC2">
      <w:pPr>
        <w:ind w:left="720"/>
        <w:rPr>
          <w:rFonts w:ascii="Arial" w:hAnsi="Arial" w:cs="Arial"/>
          <w:bCs/>
        </w:rPr>
      </w:pPr>
      <w:r w:rsidRPr="00164DC2">
        <w:rPr>
          <w:bCs/>
        </w:rPr>
        <w:t xml:space="preserve">The HOT service provider and supervisor licensure fees have continued at the original rates since program inception in 1999. Report-filing fees have remained unchanged since 2007. There has been no adjustment for inflation. Increased program costs include, but are not limited to, salaries and benefits for the adequate number of staff (4.30 FTE) needed to provide program support. </w:t>
      </w:r>
    </w:p>
    <w:p w14:paraId="623E68B7" w14:textId="77777777" w:rsidR="00164DC2" w:rsidRPr="00164DC2" w:rsidRDefault="00164DC2" w:rsidP="00164DC2">
      <w:pPr>
        <w:rPr>
          <w:bCs/>
        </w:rPr>
      </w:pPr>
    </w:p>
    <w:p w14:paraId="0F4431EA" w14:textId="77777777" w:rsidR="00164DC2" w:rsidRPr="00164DC2" w:rsidRDefault="00164DC2" w:rsidP="00164DC2">
      <w:pPr>
        <w:rPr>
          <w:bCs/>
        </w:rPr>
      </w:pPr>
      <w:r w:rsidRPr="00164DC2">
        <w:rPr>
          <w:bCs/>
        </w:rPr>
        <w:t>With the proposed fees providing enough resources, DEQ can maintain HOT closure timeliness, continue outreach and auditing, and improve public records management and access. Program activity levels also depend on real estate market activity. If real estate activity decreases, then DEQ revenue decreases and the agency scales back labor accordingly. If real estate activity levels surge, then increased project fee receipts allow DEQ to increase activity levels.</w:t>
      </w:r>
    </w:p>
    <w:p w14:paraId="463B9408" w14:textId="77777777" w:rsidR="00164DC2" w:rsidRPr="00164DC2" w:rsidRDefault="00164DC2" w:rsidP="00164DC2"/>
    <w:p w14:paraId="76AACF52" w14:textId="77777777" w:rsidR="00164DC2" w:rsidRPr="00164DC2" w:rsidRDefault="00164DC2" w:rsidP="00164DC2">
      <w:pPr>
        <w:keepNext/>
        <w:keepLines/>
        <w:outlineLvl w:val="1"/>
        <w:rPr>
          <w:rFonts w:ascii="Arial" w:hAnsi="Arial" w:cstheme="majorBidi"/>
          <w:b/>
          <w:bCs/>
          <w:sz w:val="32"/>
          <w:szCs w:val="26"/>
        </w:rPr>
      </w:pPr>
      <w:r w:rsidRPr="00164DC2">
        <w:rPr>
          <w:rFonts w:ascii="Arial" w:hAnsi="Arial" w:cstheme="majorBidi"/>
          <w:b/>
          <w:bCs/>
          <w:sz w:val="32"/>
          <w:szCs w:val="26"/>
        </w:rPr>
        <w:t xml:space="preserve">Fee proposal alternatives considered </w:t>
      </w:r>
    </w:p>
    <w:p w14:paraId="11E06385" w14:textId="77777777" w:rsidR="00164DC2" w:rsidRPr="00164DC2" w:rsidRDefault="00164DC2" w:rsidP="00164DC2"/>
    <w:p w14:paraId="685699FD" w14:textId="77777777" w:rsidR="00164DC2" w:rsidRPr="00164DC2" w:rsidRDefault="00164DC2" w:rsidP="00164DC2">
      <w:r w:rsidRPr="00164DC2">
        <w:t>Options DEQ considered included: 1) raising fees to fully fund existing positions and 2) operating at decreasing levels of effort with existing fees. Fee revenue for full funding must support the personnel services and supply costs for at least four full-time staff, including a Natural Resources Specialist 1, Natural Resources Specialist 3, and two Office Specialist 2s. If the fee increase is not adopted into rule, then DEQ may need to hold one of these positions vacant during the 2019-21 biennium due to the lack of available funding. Proceeding at status quo would continue to limit program effectiveness due to diminished staff levels. Oregonians would therefore experience:</w:t>
      </w:r>
    </w:p>
    <w:p w14:paraId="5D5E7359" w14:textId="77777777" w:rsidR="00164DC2" w:rsidRPr="00164DC2" w:rsidRDefault="00164DC2" w:rsidP="00164DC2"/>
    <w:p w14:paraId="0B7C0184" w14:textId="77777777" w:rsidR="00164DC2" w:rsidRPr="00164DC2" w:rsidRDefault="00164DC2" w:rsidP="00164DC2">
      <w:pPr>
        <w:numPr>
          <w:ilvl w:val="0"/>
          <w:numId w:val="28"/>
        </w:numPr>
        <w:contextualSpacing/>
        <w:rPr>
          <w:bCs/>
        </w:rPr>
      </w:pPr>
      <w:r w:rsidRPr="00164DC2">
        <w:rPr>
          <w:bCs/>
        </w:rPr>
        <w:t>Decreased oversight of HOT service providers</w:t>
      </w:r>
    </w:p>
    <w:p w14:paraId="2F52D2D0" w14:textId="77777777" w:rsidR="00164DC2" w:rsidRPr="00164DC2" w:rsidRDefault="00164DC2" w:rsidP="00164DC2">
      <w:pPr>
        <w:numPr>
          <w:ilvl w:val="0"/>
          <w:numId w:val="28"/>
        </w:numPr>
        <w:contextualSpacing/>
        <w:rPr>
          <w:bCs/>
        </w:rPr>
      </w:pPr>
      <w:r w:rsidRPr="00164DC2">
        <w:rPr>
          <w:bCs/>
        </w:rPr>
        <w:t>No effective HOT service provider inspections or audits</w:t>
      </w:r>
    </w:p>
    <w:p w14:paraId="176E2F56" w14:textId="77777777" w:rsidR="00164DC2" w:rsidRPr="00164DC2" w:rsidRDefault="00164DC2" w:rsidP="00164DC2">
      <w:pPr>
        <w:numPr>
          <w:ilvl w:val="0"/>
          <w:numId w:val="28"/>
        </w:numPr>
        <w:contextualSpacing/>
        <w:rPr>
          <w:bCs/>
        </w:rPr>
      </w:pPr>
      <w:r w:rsidRPr="00164DC2">
        <w:rPr>
          <w:bCs/>
        </w:rPr>
        <w:t>Extended time to review reports</w:t>
      </w:r>
    </w:p>
    <w:p w14:paraId="791AAB70" w14:textId="77777777" w:rsidR="00164DC2" w:rsidRPr="00164DC2" w:rsidRDefault="00164DC2" w:rsidP="00164DC2">
      <w:pPr>
        <w:numPr>
          <w:ilvl w:val="0"/>
          <w:numId w:val="28"/>
        </w:numPr>
        <w:contextualSpacing/>
        <w:rPr>
          <w:bCs/>
        </w:rPr>
      </w:pPr>
      <w:r w:rsidRPr="00164DC2">
        <w:rPr>
          <w:bCs/>
        </w:rPr>
        <w:t>Increased public health risk from potential contamination</w:t>
      </w:r>
    </w:p>
    <w:p w14:paraId="0F2FE68B" w14:textId="77777777" w:rsidR="00164DC2" w:rsidRPr="00164DC2" w:rsidRDefault="00164DC2" w:rsidP="00164DC2"/>
    <w:p w14:paraId="3BAC29E7" w14:textId="77777777" w:rsidR="00164DC2" w:rsidRPr="00164DC2" w:rsidRDefault="00164DC2" w:rsidP="00164DC2">
      <w:r w:rsidRPr="00164DC2">
        <w:t>If the tiered report-filing fee categories are not established in rule, the new cleanup project fees may not be applicable.</w:t>
      </w:r>
    </w:p>
    <w:p w14:paraId="56D060BA" w14:textId="77777777" w:rsidR="00164DC2" w:rsidRPr="00164DC2" w:rsidRDefault="00164DC2" w:rsidP="00164DC2"/>
    <w:p w14:paraId="131BA94C" w14:textId="77777777" w:rsidR="00164DC2" w:rsidRPr="00164DC2" w:rsidRDefault="00164DC2" w:rsidP="00164DC2">
      <w:pPr>
        <w:keepNext/>
        <w:keepLines/>
        <w:outlineLvl w:val="1"/>
        <w:rPr>
          <w:rFonts w:ascii="Arial" w:hAnsi="Arial" w:cstheme="majorBidi"/>
          <w:b/>
          <w:bCs/>
          <w:sz w:val="32"/>
          <w:szCs w:val="26"/>
        </w:rPr>
      </w:pPr>
      <w:r w:rsidRPr="00164DC2">
        <w:rPr>
          <w:rFonts w:ascii="Arial" w:hAnsi="Arial" w:cstheme="majorBidi"/>
          <w:b/>
          <w:bCs/>
          <w:sz w:val="32"/>
          <w:szCs w:val="26"/>
        </w:rPr>
        <w:t>Fee payer</w:t>
      </w:r>
    </w:p>
    <w:p w14:paraId="273A8767" w14:textId="77777777" w:rsidR="00164DC2" w:rsidRPr="00164DC2" w:rsidRDefault="00164DC2" w:rsidP="00164DC2"/>
    <w:p w14:paraId="0B693624" w14:textId="77777777" w:rsidR="00164DC2" w:rsidRPr="00164DC2" w:rsidRDefault="00164DC2" w:rsidP="00164DC2">
      <w:r w:rsidRPr="00164DC2">
        <w:t>Fee payers include:</w:t>
      </w:r>
    </w:p>
    <w:p w14:paraId="5E4EADA3" w14:textId="77777777" w:rsidR="00164DC2" w:rsidRPr="00164DC2" w:rsidRDefault="00164DC2" w:rsidP="00164DC2"/>
    <w:p w14:paraId="0B6826A7" w14:textId="77777777" w:rsidR="00164DC2" w:rsidRPr="00164DC2" w:rsidRDefault="00164DC2" w:rsidP="00164DC2">
      <w:pPr>
        <w:numPr>
          <w:ilvl w:val="0"/>
          <w:numId w:val="29"/>
        </w:numPr>
        <w:contextualSpacing/>
        <w:rPr>
          <w:bCs/>
        </w:rPr>
      </w:pPr>
      <w:r w:rsidRPr="00164DC2">
        <w:rPr>
          <w:bCs/>
        </w:rPr>
        <w:t>Homeowners, developers, small businesses, and other public entities who hire HOT service providers for underground work, pay the filing fee required for certified decommissioning or cleanup reports. It is common practice for the HOT service provider to submit the report-filing fee along with the decommissioning or cleanup certification, or both, to DEQ on the fee payer’s behalf and to include that expense in their invoices of the total project cost. In 2018, DEQ collected report-filing fees for 1,930 projects.</w:t>
      </w:r>
    </w:p>
    <w:p w14:paraId="359F7F61" w14:textId="77777777" w:rsidR="00164DC2" w:rsidRPr="00164DC2" w:rsidRDefault="00164DC2" w:rsidP="00164DC2">
      <w:pPr>
        <w:numPr>
          <w:ilvl w:val="0"/>
          <w:numId w:val="29"/>
        </w:numPr>
        <w:contextualSpacing/>
        <w:rPr>
          <w:bCs/>
        </w:rPr>
      </w:pPr>
      <w:r w:rsidRPr="00164DC2">
        <w:rPr>
          <w:bCs/>
        </w:rPr>
        <w:t>Each business engaged in performing HOT services (HOT service providers) must pay the annual non-refundable license fee. In 2018, 48 businesses maintained HOT service provider licenses.</w:t>
      </w:r>
    </w:p>
    <w:p w14:paraId="42E6743F" w14:textId="77777777" w:rsidR="00164DC2" w:rsidRPr="00164DC2" w:rsidRDefault="00164DC2" w:rsidP="00164DC2">
      <w:pPr>
        <w:numPr>
          <w:ilvl w:val="0"/>
          <w:numId w:val="29"/>
        </w:numPr>
        <w:contextualSpacing/>
        <w:rPr>
          <w:bCs/>
        </w:rPr>
      </w:pPr>
      <w:r w:rsidRPr="00164DC2">
        <w:rPr>
          <w:bCs/>
        </w:rPr>
        <w:t>Each individual employed by the business and charged with the supervisory responsibility to direct and oversee the performance of tank services at a facility (HOT service provider supervisor) must pay the non-refundable license fee every two years. In 2018, 112 individuals maintained HOT supervisor licenses.</w:t>
      </w:r>
    </w:p>
    <w:p w14:paraId="1E065DB8" w14:textId="77777777" w:rsidR="00164DC2" w:rsidRPr="00164DC2" w:rsidRDefault="00164DC2" w:rsidP="00164DC2">
      <w:pPr>
        <w:ind w:left="720"/>
        <w:contextualSpacing/>
        <w:rPr>
          <w:bCs/>
        </w:rPr>
      </w:pPr>
    </w:p>
    <w:p w14:paraId="75462499" w14:textId="77777777" w:rsidR="00164DC2" w:rsidRPr="00164DC2" w:rsidRDefault="00164DC2" w:rsidP="00164DC2">
      <w:pPr>
        <w:keepNext/>
        <w:keepLines/>
        <w:outlineLvl w:val="1"/>
        <w:rPr>
          <w:rFonts w:ascii="Arial" w:hAnsi="Arial" w:cstheme="majorBidi"/>
          <w:b/>
          <w:bCs/>
          <w:sz w:val="32"/>
          <w:szCs w:val="26"/>
        </w:rPr>
      </w:pPr>
      <w:r w:rsidRPr="00164DC2">
        <w:rPr>
          <w:rFonts w:ascii="Arial" w:hAnsi="Arial" w:cstheme="majorBidi"/>
          <w:b/>
          <w:bCs/>
          <w:sz w:val="32"/>
          <w:szCs w:val="26"/>
        </w:rPr>
        <w:t>Affected party involvement in fee-setting process</w:t>
      </w:r>
    </w:p>
    <w:p w14:paraId="1EF6E9BC" w14:textId="77777777" w:rsidR="00164DC2" w:rsidRPr="00164DC2" w:rsidRDefault="00164DC2" w:rsidP="00164DC2"/>
    <w:p w14:paraId="0171975C" w14:textId="77777777" w:rsidR="00164DC2" w:rsidRPr="00164DC2" w:rsidRDefault="00164DC2" w:rsidP="00164DC2">
      <w:r w:rsidRPr="00164DC2">
        <w:t xml:space="preserve">DEQ contacted homeowners who had a heating oil tank cleaned up or decommissioned within the last 12 months. The homeowners received a survey to evaluate their experiences with service providers and DEQ’s program. In September 2018, DEQ began to include </w:t>
      </w:r>
      <w:r w:rsidRPr="00164DC2">
        <w:lastRenderedPageBreak/>
        <w:t>survey flyers with closure letters and called more than 100 homeowners by the following January. The homeowner survey found the following:</w:t>
      </w:r>
    </w:p>
    <w:p w14:paraId="7DC85186" w14:textId="77777777" w:rsidR="00164DC2" w:rsidRPr="00164DC2" w:rsidRDefault="00164DC2" w:rsidP="00164DC2"/>
    <w:p w14:paraId="08EC8F39" w14:textId="77777777" w:rsidR="00164DC2" w:rsidRPr="00164DC2" w:rsidRDefault="00164DC2" w:rsidP="00164DC2">
      <w:pPr>
        <w:numPr>
          <w:ilvl w:val="0"/>
          <w:numId w:val="30"/>
        </w:numPr>
        <w:contextualSpacing/>
        <w:rPr>
          <w:bCs/>
        </w:rPr>
      </w:pPr>
      <w:r w:rsidRPr="00164DC2">
        <w:rPr>
          <w:bCs/>
        </w:rPr>
        <w:t xml:space="preserve">Most respondents (81 percent) do not have any contact with DEQ during the cleanup or decommission process, or both. When they do, they are satisfied with the program’s response. </w:t>
      </w:r>
    </w:p>
    <w:p w14:paraId="763F415D" w14:textId="77777777" w:rsidR="00164DC2" w:rsidRPr="00164DC2" w:rsidRDefault="00164DC2" w:rsidP="00164DC2">
      <w:pPr>
        <w:numPr>
          <w:ilvl w:val="0"/>
          <w:numId w:val="30"/>
        </w:numPr>
        <w:contextualSpacing/>
        <w:rPr>
          <w:bCs/>
        </w:rPr>
      </w:pPr>
      <w:r w:rsidRPr="00164DC2">
        <w:rPr>
          <w:bCs/>
        </w:rPr>
        <w:t xml:space="preserve">All respondents were very satisfied with the quality of work performed by their service provider. </w:t>
      </w:r>
    </w:p>
    <w:p w14:paraId="73BB8DCF" w14:textId="77777777" w:rsidR="00164DC2" w:rsidRPr="00164DC2" w:rsidRDefault="00164DC2" w:rsidP="00164DC2">
      <w:pPr>
        <w:numPr>
          <w:ilvl w:val="0"/>
          <w:numId w:val="30"/>
        </w:numPr>
        <w:contextualSpacing/>
        <w:rPr>
          <w:bCs/>
        </w:rPr>
      </w:pPr>
      <w:r w:rsidRPr="00164DC2">
        <w:rPr>
          <w:bCs/>
        </w:rPr>
        <w:t xml:space="preserve">The most common issues they encountered in the process included cost, not understanding the timeline of work and DEQ approval, and not understanding how to cleanup or decommission a heating oil tank. </w:t>
      </w:r>
    </w:p>
    <w:p w14:paraId="7D3C364E" w14:textId="77777777" w:rsidR="00164DC2" w:rsidRPr="00164DC2" w:rsidRDefault="00164DC2" w:rsidP="00164DC2">
      <w:pPr>
        <w:numPr>
          <w:ilvl w:val="0"/>
          <w:numId w:val="30"/>
        </w:numPr>
        <w:contextualSpacing/>
        <w:rPr>
          <w:bCs/>
        </w:rPr>
      </w:pPr>
      <w:r w:rsidRPr="00164DC2">
        <w:rPr>
          <w:bCs/>
        </w:rPr>
        <w:t xml:space="preserve">About one-quarter of respondents thought DEQ field oversight during the cleanup or decommission process, or both, would have been helpful. </w:t>
      </w:r>
    </w:p>
    <w:p w14:paraId="09FC5523" w14:textId="77777777" w:rsidR="00164DC2" w:rsidRPr="00164DC2" w:rsidRDefault="00164DC2" w:rsidP="00164DC2"/>
    <w:p w14:paraId="305ACA80" w14:textId="77777777" w:rsidR="00164DC2" w:rsidRPr="00164DC2" w:rsidRDefault="00164DC2" w:rsidP="00164DC2">
      <w:r w:rsidRPr="00164DC2">
        <w:t>In October 2018, DEQ conducted a focus group with HOT service providers to share the results of the homeowner survey and to garner feedback on the proposed fee increase and functionality of the HOT program. The main takeaway from this discussion was a recommendation for a tiered-fee increase for each type of cleanup report – Soil Matrix, Generic Remedy and Risk Based. DEQ has since incorporated the tiered approach into the fee increase proposal. DEQ staff agreed with this approach as it reflects the increased level of complexity and staff time needed to review these types of cleanups.</w:t>
      </w:r>
    </w:p>
    <w:p w14:paraId="26175F7A" w14:textId="77777777" w:rsidR="00164DC2" w:rsidRPr="00164DC2" w:rsidRDefault="00164DC2" w:rsidP="00164DC2"/>
    <w:p w14:paraId="69B69007" w14:textId="77777777" w:rsidR="00164DC2" w:rsidRPr="00164DC2" w:rsidRDefault="00164DC2" w:rsidP="00164DC2">
      <w:r w:rsidRPr="00164DC2">
        <w:t xml:space="preserve">Service providers expressed the desire to receive more technical assistance from DEQ. This would include regular service provider bulletins and increased availability from project managers to discuss site issues. For complex sites that require significant coordination with program project managers, DEQ also anticipates increased use of “cost recovery” to pay directly for time. </w:t>
      </w:r>
    </w:p>
    <w:p w14:paraId="1BC04C0A" w14:textId="77777777" w:rsidR="00164DC2" w:rsidRPr="00164DC2" w:rsidRDefault="00164DC2" w:rsidP="00164DC2"/>
    <w:p w14:paraId="3B31D9E6" w14:textId="77777777" w:rsidR="00164DC2" w:rsidRPr="00164DC2" w:rsidRDefault="00164DC2" w:rsidP="00164DC2">
      <w:r w:rsidRPr="00164DC2">
        <w:t xml:space="preserve">The focus group also discussed DEQ inspecting and auditing a small percentage of each service provider’s onsite work. Service providers asked why this was necessary since there is a certification system. DEQ staff consider field inspections essential to provide environmental protection for consumers by verifying that HOT decommissions and cleanups are conducted as agency rules require. </w:t>
      </w:r>
    </w:p>
    <w:p w14:paraId="0281243A" w14:textId="77777777" w:rsidR="00164DC2" w:rsidRPr="00164DC2" w:rsidRDefault="00164DC2" w:rsidP="00164DC2"/>
    <w:p w14:paraId="2F57661D" w14:textId="77777777" w:rsidR="00164DC2" w:rsidRPr="00164DC2" w:rsidRDefault="00164DC2" w:rsidP="00164DC2">
      <w:r w:rsidRPr="00164DC2">
        <w:t>In November 2018, DEQ presented an outreach webinar to the Oregon Association of Realtors. The 45-minute presentation delivered basic information about the HOT program, discussed the outreach performed with homeowners and service providers and described the proposed fee increase. Following the webinar, the realtors received a survey. Comments included the need to increase awareness and information for realtors and homeowners about HOT decommissioning and cleanup.</w:t>
      </w:r>
    </w:p>
    <w:p w14:paraId="46F54459" w14:textId="77777777" w:rsidR="00164DC2" w:rsidRPr="00164DC2" w:rsidRDefault="00164DC2" w:rsidP="00164DC2"/>
    <w:p w14:paraId="5C915CC0" w14:textId="1A6E9551" w:rsidR="00164DC2" w:rsidRPr="00164DC2" w:rsidRDefault="00164DC2" w:rsidP="00164DC2">
      <w:r w:rsidRPr="00164DC2">
        <w:t>In July 2019, DEQ designated the fiscal advisory committee for the Heating Oil Tank Program Fee Increases 2019 Rulemaking, to provide stakeholders the opportunity to inform decisions on the proposed fee structure and consider fiscal and economic impacts. The committee members represent entities these rules directly and indirectly affect and include HOT service providers (individuals and small businesses), homeowners, and realtors.</w:t>
      </w:r>
    </w:p>
    <w:p w14:paraId="4FA014A8" w14:textId="77777777" w:rsidR="00164DC2" w:rsidRPr="00164DC2" w:rsidRDefault="00164DC2" w:rsidP="00164DC2">
      <w:pPr>
        <w:keepNext/>
        <w:keepLines/>
        <w:outlineLvl w:val="1"/>
        <w:rPr>
          <w:rFonts w:ascii="Arial" w:hAnsi="Arial" w:cstheme="majorBidi"/>
          <w:b/>
          <w:bCs/>
          <w:sz w:val="32"/>
          <w:szCs w:val="26"/>
        </w:rPr>
      </w:pPr>
      <w:r w:rsidRPr="00164DC2">
        <w:rPr>
          <w:rFonts w:ascii="Arial" w:hAnsi="Arial" w:cstheme="majorBidi"/>
          <w:b/>
          <w:bCs/>
          <w:sz w:val="32"/>
          <w:szCs w:val="26"/>
        </w:rPr>
        <w:lastRenderedPageBreak/>
        <w:t>Summary of impacts</w:t>
      </w:r>
    </w:p>
    <w:p w14:paraId="4B4541E1" w14:textId="77777777" w:rsidR="00164DC2" w:rsidRPr="00164DC2" w:rsidRDefault="00164DC2" w:rsidP="00164DC2"/>
    <w:p w14:paraId="1DE25616" w14:textId="60918766" w:rsidR="00164DC2" w:rsidRPr="00164DC2" w:rsidRDefault="00164DC2" w:rsidP="00164DC2">
      <w:r w:rsidRPr="00164DC2">
        <w:t>The proposed permanent rule amendments modify HOT program licensure fees, decommissioning certification fees, and corrective action certification fees. The changes apply to HOT program fees assessed on and after Jan</w:t>
      </w:r>
      <w:r>
        <w:t>.</w:t>
      </w:r>
      <w:r w:rsidRPr="00164DC2">
        <w:t xml:space="preserve"> 1, 2020. DEQ expects the proposed amendments would increase the direct cost to the fee payers previously described.</w:t>
      </w:r>
    </w:p>
    <w:p w14:paraId="0F0D51A0" w14:textId="77777777" w:rsidR="00164DC2" w:rsidRPr="00164DC2" w:rsidRDefault="00164DC2" w:rsidP="00164DC2"/>
    <w:p w14:paraId="0D01337B" w14:textId="77777777" w:rsidR="00164DC2" w:rsidRPr="00164DC2" w:rsidRDefault="00164DC2" w:rsidP="00164DC2">
      <w:pPr>
        <w:keepNext/>
        <w:keepLines/>
        <w:outlineLvl w:val="1"/>
        <w:rPr>
          <w:rFonts w:ascii="Arial" w:hAnsi="Arial" w:cstheme="majorBidi"/>
          <w:b/>
          <w:bCs/>
          <w:sz w:val="32"/>
          <w:szCs w:val="26"/>
        </w:rPr>
      </w:pPr>
      <w:r w:rsidRPr="00164DC2">
        <w:rPr>
          <w:rFonts w:ascii="Arial" w:hAnsi="Arial" w:cstheme="majorBidi"/>
          <w:b/>
          <w:bCs/>
          <w:sz w:val="32"/>
          <w:szCs w:val="26"/>
        </w:rPr>
        <w:t>Fee payer agreement with fee proposal</w:t>
      </w:r>
    </w:p>
    <w:p w14:paraId="0220ACAF" w14:textId="77777777" w:rsidR="00164DC2" w:rsidRPr="00164DC2" w:rsidRDefault="00164DC2" w:rsidP="00164DC2"/>
    <w:p w14:paraId="3A8D757D" w14:textId="77777777" w:rsidR="00164DC2" w:rsidRPr="00164DC2" w:rsidRDefault="00164DC2" w:rsidP="00164DC2">
      <w:r w:rsidRPr="00164DC2">
        <w:t xml:space="preserve">Feedback garnered through the 2018-2019 homeowner survey, October 2018 HOT service provider focus group and November 2018 webinar to the Oregon Association of Realtors featured the following agreements: </w:t>
      </w:r>
    </w:p>
    <w:p w14:paraId="5FE113ED" w14:textId="77777777" w:rsidR="00164DC2" w:rsidRPr="00164DC2" w:rsidRDefault="00164DC2" w:rsidP="00164DC2"/>
    <w:p w14:paraId="58C661EF" w14:textId="77777777" w:rsidR="00164DC2" w:rsidRPr="00164DC2" w:rsidRDefault="00164DC2" w:rsidP="00164DC2">
      <w:pPr>
        <w:numPr>
          <w:ilvl w:val="0"/>
          <w:numId w:val="31"/>
        </w:numPr>
        <w:contextualSpacing/>
        <w:rPr>
          <w:bCs/>
        </w:rPr>
      </w:pPr>
      <w:r w:rsidRPr="00164DC2">
        <w:rPr>
          <w:bCs/>
        </w:rPr>
        <w:t>The need to increase awareness and information for realtors and homeowners about HOT decommissioning and cleanup</w:t>
      </w:r>
    </w:p>
    <w:p w14:paraId="4DA7EACF" w14:textId="77777777" w:rsidR="00164DC2" w:rsidRPr="00164DC2" w:rsidRDefault="00164DC2" w:rsidP="00164DC2">
      <w:pPr>
        <w:numPr>
          <w:ilvl w:val="0"/>
          <w:numId w:val="31"/>
        </w:numPr>
        <w:contextualSpacing/>
        <w:rPr>
          <w:bCs/>
        </w:rPr>
      </w:pPr>
      <w:r w:rsidRPr="00164DC2">
        <w:rPr>
          <w:bCs/>
        </w:rPr>
        <w:t>The recommendation for a tiered-fee increase for each type of cleanup report – Soil Matrix, Generic Remedy and Risk Based</w:t>
      </w:r>
    </w:p>
    <w:p w14:paraId="3DE7F100" w14:textId="77777777" w:rsidR="00164DC2" w:rsidRPr="00164DC2" w:rsidRDefault="00164DC2" w:rsidP="00164DC2">
      <w:pPr>
        <w:numPr>
          <w:ilvl w:val="0"/>
          <w:numId w:val="31"/>
        </w:numPr>
        <w:contextualSpacing/>
        <w:rPr>
          <w:bCs/>
        </w:rPr>
      </w:pPr>
      <w:r w:rsidRPr="00164DC2">
        <w:rPr>
          <w:bCs/>
        </w:rPr>
        <w:t>More technical assistance from DEQ, which would include regular service provider bulletins and increased availability from project managers to discuss site issues</w:t>
      </w:r>
    </w:p>
    <w:p w14:paraId="061552C3" w14:textId="77777777" w:rsidR="00164DC2" w:rsidRPr="00164DC2" w:rsidRDefault="00164DC2" w:rsidP="00164DC2">
      <w:pPr>
        <w:ind w:left="720"/>
        <w:contextualSpacing/>
        <w:rPr>
          <w:bCs/>
        </w:rPr>
      </w:pPr>
    </w:p>
    <w:p w14:paraId="7B14BA6F" w14:textId="77777777" w:rsidR="00164DC2" w:rsidRPr="00164DC2" w:rsidRDefault="00164DC2" w:rsidP="00164DC2">
      <w:r w:rsidRPr="00164DC2">
        <w:t xml:space="preserve">DEQ considers that the proposed fee structure is responsive to this feedback and the objective to maintain the HOT program’s effectiveness. </w:t>
      </w:r>
    </w:p>
    <w:p w14:paraId="65412BFC" w14:textId="77777777" w:rsidR="00164DC2" w:rsidRPr="00164DC2" w:rsidRDefault="00164DC2" w:rsidP="00164DC2"/>
    <w:p w14:paraId="10413F89" w14:textId="77777777" w:rsidR="00164DC2" w:rsidRPr="00164DC2" w:rsidRDefault="00164DC2" w:rsidP="00164DC2">
      <w:r w:rsidRPr="00164DC2">
        <w:t>The fiscal advisory committee met on August 2, 2019, to review and provide further input into the proposed fee increases. DEQ recorded minutes that document the committee’s comments and recommendations. The agency will include this information with the proposed rule amendments through the required formal notice process that includes a public hearing and the opportunity for the public to comment. DEQ will consider all comments and take the final proposed rule amendments to the EQC in November 2019.</w:t>
      </w:r>
    </w:p>
    <w:p w14:paraId="322F2E35" w14:textId="77777777" w:rsidR="00164DC2" w:rsidRPr="00164DC2" w:rsidRDefault="00164DC2" w:rsidP="00164DC2"/>
    <w:p w14:paraId="570C6D03" w14:textId="77777777" w:rsidR="00164DC2" w:rsidRPr="00164DC2" w:rsidRDefault="00164DC2" w:rsidP="00164DC2">
      <w:pPr>
        <w:keepNext/>
        <w:keepLines/>
        <w:outlineLvl w:val="1"/>
        <w:rPr>
          <w:rFonts w:ascii="Arial" w:hAnsi="Arial" w:cstheme="majorBidi"/>
          <w:b/>
          <w:bCs/>
          <w:sz w:val="32"/>
          <w:szCs w:val="26"/>
        </w:rPr>
      </w:pPr>
      <w:r w:rsidRPr="00164DC2">
        <w:rPr>
          <w:rFonts w:ascii="Arial" w:hAnsi="Arial" w:cstheme="majorBidi"/>
          <w:b/>
          <w:bCs/>
          <w:sz w:val="32"/>
          <w:szCs w:val="26"/>
        </w:rPr>
        <w:t>Links to supporting documents for proposed fees</w:t>
      </w:r>
    </w:p>
    <w:p w14:paraId="12BEEA0E" w14:textId="77777777" w:rsidR="00164DC2" w:rsidRPr="00164DC2" w:rsidRDefault="00164DC2" w:rsidP="00164DC2"/>
    <w:p w14:paraId="4125C605" w14:textId="77777777" w:rsidR="00164DC2" w:rsidRPr="00164DC2" w:rsidRDefault="00164DC2" w:rsidP="00164DC2">
      <w:r w:rsidRPr="00164DC2">
        <w:t>Oregon State Legislature 2019 Regular Session – SB 40</w:t>
      </w:r>
    </w:p>
    <w:p w14:paraId="612A8ABA" w14:textId="77777777" w:rsidR="00164DC2" w:rsidRPr="00164DC2" w:rsidRDefault="00DB67D2" w:rsidP="00164DC2">
      <w:hyperlink r:id="rId22" w:history="1">
        <w:r w:rsidR="00164DC2" w:rsidRPr="00164DC2">
          <w:rPr>
            <w:color w:val="0563C1" w:themeColor="hyperlink"/>
            <w:u w:val="single"/>
          </w:rPr>
          <w:t>https://olis.leg.state.or.us/liz/2019R1/Measures/Overview/SB40</w:t>
        </w:r>
      </w:hyperlink>
    </w:p>
    <w:p w14:paraId="3818E467" w14:textId="77777777" w:rsidR="00164DC2" w:rsidRPr="00164DC2" w:rsidRDefault="00164DC2" w:rsidP="00164DC2"/>
    <w:p w14:paraId="2DFF0D4C" w14:textId="77777777" w:rsidR="00164DC2" w:rsidRPr="00164DC2" w:rsidRDefault="00164DC2" w:rsidP="00164DC2">
      <w:r w:rsidRPr="00164DC2">
        <w:t xml:space="preserve">Fiscal Impact of Proposed Legislation: </w:t>
      </w:r>
      <w:hyperlink r:id="rId23" w:history="1">
        <w:r w:rsidRPr="00164DC2">
          <w:rPr>
            <w:color w:val="0563C1" w:themeColor="hyperlink"/>
            <w:u w:val="single"/>
          </w:rPr>
          <w:t>https://olis.leg.state.or.us/liz/2019R1/Downloads/MeasureAnalysisDocument/44412</w:t>
        </w:r>
      </w:hyperlink>
    </w:p>
    <w:p w14:paraId="2CADFA32" w14:textId="77777777" w:rsidR="00164DC2" w:rsidRPr="00164DC2" w:rsidRDefault="00164DC2" w:rsidP="00164DC2"/>
    <w:p w14:paraId="296424FC" w14:textId="77777777" w:rsidR="00164DC2" w:rsidRPr="00164DC2" w:rsidRDefault="00164DC2" w:rsidP="00164DC2">
      <w:r w:rsidRPr="00164DC2">
        <w:t xml:space="preserve">Revenue Impact of Proposed Legislation: </w:t>
      </w:r>
      <w:hyperlink r:id="rId24" w:history="1">
        <w:r w:rsidRPr="00164DC2">
          <w:rPr>
            <w:color w:val="0563C1" w:themeColor="hyperlink"/>
            <w:u w:val="single"/>
          </w:rPr>
          <w:t>https://olis.leg.state.or.us/liz/2019R1/Downloads/MeasureAnalysisDocument/44526</w:t>
        </w:r>
      </w:hyperlink>
    </w:p>
    <w:p w14:paraId="01EBA2B4" w14:textId="77777777" w:rsidR="00164DC2" w:rsidRPr="00164DC2" w:rsidRDefault="00164DC2" w:rsidP="00164DC2"/>
    <w:p w14:paraId="47CD8DFC" w14:textId="77777777" w:rsidR="00164DC2" w:rsidRPr="00164DC2" w:rsidRDefault="00164DC2" w:rsidP="00164DC2">
      <w:r w:rsidRPr="00164DC2">
        <w:t>Open Government Impact Statement:</w:t>
      </w:r>
    </w:p>
    <w:p w14:paraId="33CCD80A" w14:textId="77777777" w:rsidR="00164DC2" w:rsidRPr="00164DC2" w:rsidRDefault="00DB67D2" w:rsidP="00164DC2">
      <w:hyperlink r:id="rId25" w:history="1">
        <w:r w:rsidR="00164DC2" w:rsidRPr="00164DC2">
          <w:rPr>
            <w:color w:val="0563C1" w:themeColor="hyperlink"/>
            <w:u w:val="single"/>
          </w:rPr>
          <w:t>https://olis.leg.state.or.us/liz/2019R1/Downloads/MeasureAnalysisDocument/44918</w:t>
        </w:r>
      </w:hyperlink>
    </w:p>
    <w:p w14:paraId="5488B9CB" w14:textId="77777777" w:rsidR="00164DC2" w:rsidRPr="00164DC2" w:rsidRDefault="00164DC2" w:rsidP="00164DC2"/>
    <w:p w14:paraId="1C4C8980" w14:textId="77777777" w:rsidR="00164DC2" w:rsidRPr="00164DC2" w:rsidRDefault="00164DC2" w:rsidP="00164DC2">
      <w:r w:rsidRPr="00164DC2">
        <w:lastRenderedPageBreak/>
        <w:t xml:space="preserve">Staff Measure Summary – Joint Committee on Ways and Means: </w:t>
      </w:r>
      <w:hyperlink r:id="rId26" w:history="1">
        <w:r w:rsidRPr="00164DC2">
          <w:rPr>
            <w:color w:val="0563C1" w:themeColor="hyperlink"/>
            <w:u w:val="single"/>
          </w:rPr>
          <w:t>https://olis.leg.state.or.us/liz/2019R1/Downloads/MeasureAnalysisDocument/51322</w:t>
        </w:r>
      </w:hyperlink>
    </w:p>
    <w:p w14:paraId="3F43A46E" w14:textId="77777777" w:rsidR="00164DC2" w:rsidRPr="00164DC2" w:rsidRDefault="00164DC2" w:rsidP="00164DC2"/>
    <w:p w14:paraId="2107DAE4" w14:textId="77777777" w:rsidR="00164DC2" w:rsidRPr="00164DC2" w:rsidRDefault="00164DC2" w:rsidP="00164DC2">
      <w:r w:rsidRPr="00164DC2">
        <w:t xml:space="preserve">Subcommittee Recommendation: </w:t>
      </w:r>
      <w:hyperlink r:id="rId27" w:history="1">
        <w:r w:rsidRPr="00164DC2">
          <w:rPr>
            <w:color w:val="0563C1" w:themeColor="hyperlink"/>
            <w:u w:val="single"/>
          </w:rPr>
          <w:t>https://olis.leg.state.or.us/liz/2019R1/Downloads/CommitteeMeetingDocument/201740</w:t>
        </w:r>
      </w:hyperlink>
    </w:p>
    <w:p w14:paraId="456528E1" w14:textId="77777777" w:rsidR="00164DC2" w:rsidRPr="00164DC2" w:rsidRDefault="00164DC2" w:rsidP="00164DC2"/>
    <w:p w14:paraId="54DE2797" w14:textId="77777777" w:rsidR="00164DC2" w:rsidRPr="00164DC2" w:rsidRDefault="00164DC2" w:rsidP="00164DC2">
      <w:pPr>
        <w:keepNext/>
        <w:keepLines/>
        <w:outlineLvl w:val="1"/>
        <w:rPr>
          <w:rFonts w:ascii="Arial" w:hAnsi="Arial" w:cstheme="majorBidi"/>
          <w:b/>
          <w:bCs/>
        </w:rPr>
      </w:pPr>
    </w:p>
    <w:p w14:paraId="69A19C40" w14:textId="77777777" w:rsidR="00164DC2" w:rsidRPr="00164DC2" w:rsidRDefault="00164DC2" w:rsidP="00164DC2">
      <w:pPr>
        <w:keepNext/>
        <w:keepLines/>
        <w:outlineLvl w:val="1"/>
        <w:rPr>
          <w:rFonts w:ascii="Arial" w:hAnsi="Arial" w:cstheme="majorBidi"/>
          <w:b/>
          <w:bCs/>
          <w:sz w:val="32"/>
          <w:szCs w:val="26"/>
        </w:rPr>
      </w:pPr>
      <w:r w:rsidRPr="00164DC2">
        <w:rPr>
          <w:rFonts w:ascii="Arial" w:hAnsi="Arial" w:cstheme="majorBidi"/>
          <w:b/>
          <w:bCs/>
          <w:sz w:val="32"/>
          <w:szCs w:val="26"/>
        </w:rPr>
        <w:t>How long will the current fee sustain the program?</w:t>
      </w:r>
    </w:p>
    <w:p w14:paraId="77F43FA1" w14:textId="77777777" w:rsidR="00164DC2" w:rsidRPr="00164DC2" w:rsidRDefault="00164DC2" w:rsidP="00164DC2"/>
    <w:p w14:paraId="7039F168" w14:textId="77777777" w:rsidR="00164DC2" w:rsidRPr="00164DC2" w:rsidRDefault="00164DC2" w:rsidP="00164DC2">
      <w:pPr>
        <w:rPr>
          <w:bCs/>
          <w:color w:val="auto"/>
          <w:szCs w:val="32"/>
        </w:rPr>
      </w:pPr>
      <w:r w:rsidRPr="00164DC2">
        <w:rPr>
          <w:bCs/>
          <w:color w:val="auto"/>
          <w:szCs w:val="32"/>
        </w:rPr>
        <w:t>The current fees are inadequate to sustain the program at authorized levels. The new fees were set to fund four program positions for six years after forecasting inflation. Absent new developments, DEQ intends to reevaluate and propose fee updates in 2025.</w:t>
      </w:r>
    </w:p>
    <w:p w14:paraId="79EF0E9A" w14:textId="77777777" w:rsidR="00164DC2" w:rsidRPr="00164DC2" w:rsidRDefault="00164DC2" w:rsidP="00164DC2">
      <w:pPr>
        <w:ind w:left="720"/>
        <w:rPr>
          <w:bCs/>
          <w:color w:val="auto"/>
          <w:szCs w:val="32"/>
        </w:rPr>
      </w:pPr>
    </w:p>
    <w:p w14:paraId="63101278" w14:textId="77777777" w:rsidR="00164DC2" w:rsidRPr="00164DC2" w:rsidRDefault="00164DC2" w:rsidP="00164DC2">
      <w:pPr>
        <w:rPr>
          <w:bCs/>
          <w:color w:val="auto"/>
          <w:szCs w:val="32"/>
        </w:rPr>
      </w:pPr>
      <w:r w:rsidRPr="00164DC2">
        <w:rPr>
          <w:bCs/>
          <w:color w:val="auto"/>
          <w:szCs w:val="32"/>
        </w:rPr>
        <w:t>The HOT service provider and supervisor licensure fees have continued at the original rates since the program’s inception in 1999, while report-filing fees have remained unchanged since 2007 without adjustments for inflation.</w:t>
      </w:r>
    </w:p>
    <w:p w14:paraId="7AA16E6A" w14:textId="77777777" w:rsidR="00164DC2" w:rsidRPr="00164DC2" w:rsidRDefault="00164DC2" w:rsidP="00164DC2"/>
    <w:tbl>
      <w:tblPr>
        <w:tblStyle w:val="TableGrid"/>
        <w:tblW w:w="0" w:type="auto"/>
        <w:jc w:val="center"/>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18"/>
        <w:gridCol w:w="1951"/>
        <w:gridCol w:w="2413"/>
      </w:tblGrid>
      <w:tr w:rsidR="00164DC2" w:rsidRPr="00164DC2" w14:paraId="47D1284F" w14:textId="77777777" w:rsidTr="00164DC2">
        <w:trPr>
          <w:jc w:val="center"/>
        </w:trPr>
        <w:tc>
          <w:tcPr>
            <w:tcW w:w="10224" w:type="dxa"/>
            <w:gridSpan w:val="3"/>
            <w:tcBorders>
              <w:bottom w:val="single" w:sz="4" w:space="0" w:color="000000" w:themeColor="text1"/>
            </w:tcBorders>
            <w:shd w:val="clear" w:color="auto" w:fill="E2EFD9" w:themeFill="accent6" w:themeFillTint="33"/>
          </w:tcPr>
          <w:p w14:paraId="1E15DD22" w14:textId="77777777" w:rsidR="00164DC2" w:rsidRPr="00164DC2" w:rsidRDefault="00164DC2" w:rsidP="00164DC2">
            <w:pPr>
              <w:jc w:val="center"/>
              <w:rPr>
                <w:rFonts w:ascii="Arial" w:hAnsi="Arial" w:cs="Arial"/>
                <w:b/>
                <w:sz w:val="28"/>
                <w:szCs w:val="28"/>
              </w:rPr>
            </w:pPr>
            <w:r w:rsidRPr="00164DC2">
              <w:rPr>
                <w:rFonts w:ascii="Arial" w:hAnsi="Arial" w:cs="Arial"/>
                <w:b/>
                <w:sz w:val="28"/>
                <w:szCs w:val="28"/>
              </w:rPr>
              <w:t>Current Fees</w:t>
            </w:r>
          </w:p>
        </w:tc>
      </w:tr>
      <w:tr w:rsidR="00164DC2" w:rsidRPr="00164DC2" w14:paraId="014257B8" w14:textId="77777777" w:rsidTr="00164DC2">
        <w:trPr>
          <w:trHeight w:val="566"/>
          <w:jc w:val="center"/>
        </w:trPr>
        <w:tc>
          <w:tcPr>
            <w:tcW w:w="5328" w:type="dxa"/>
            <w:tcBorders>
              <w:top w:val="single" w:sz="4" w:space="0" w:color="000000" w:themeColor="text1"/>
              <w:bottom w:val="single" w:sz="12" w:space="0" w:color="000000" w:themeColor="text1"/>
              <w:right w:val="single" w:sz="12" w:space="0" w:color="000000" w:themeColor="text1"/>
            </w:tcBorders>
            <w:shd w:val="clear" w:color="auto" w:fill="FFFFFF" w:themeFill="background1"/>
            <w:vAlign w:val="center"/>
          </w:tcPr>
          <w:p w14:paraId="3E043910" w14:textId="77777777" w:rsidR="00164DC2" w:rsidRPr="00164DC2" w:rsidRDefault="00164DC2" w:rsidP="00164DC2">
            <w:r w:rsidRPr="00164DC2">
              <w:t>Program costs covered by fees</w:t>
            </w:r>
          </w:p>
        </w:tc>
        <w:tc>
          <w:tcPr>
            <w:tcW w:w="2070" w:type="dxa"/>
            <w:tcBorders>
              <w:top w:val="single" w:sz="4" w:space="0" w:color="000000" w:themeColor="text1"/>
              <w:left w:val="single" w:sz="12" w:space="0" w:color="000000" w:themeColor="text1"/>
              <w:bottom w:val="single" w:sz="12" w:space="0" w:color="000000" w:themeColor="text1"/>
              <w:right w:val="single" w:sz="12" w:space="0" w:color="000000" w:themeColor="text1"/>
            </w:tcBorders>
            <w:vAlign w:val="center"/>
          </w:tcPr>
          <w:p w14:paraId="430DF6E6" w14:textId="77777777" w:rsidR="00164DC2" w:rsidRPr="00164DC2" w:rsidRDefault="00164DC2" w:rsidP="00164DC2">
            <w:pPr>
              <w:jc w:val="center"/>
            </w:pPr>
            <w:r w:rsidRPr="00164DC2">
              <w:t>$338,715/yr.</w:t>
            </w:r>
          </w:p>
        </w:tc>
        <w:tc>
          <w:tcPr>
            <w:tcW w:w="2826" w:type="dxa"/>
            <w:tcBorders>
              <w:top w:val="single" w:sz="4" w:space="0" w:color="000000" w:themeColor="text1"/>
              <w:left w:val="single" w:sz="12" w:space="0" w:color="000000" w:themeColor="text1"/>
              <w:bottom w:val="single" w:sz="12" w:space="0" w:color="000000" w:themeColor="text1"/>
            </w:tcBorders>
            <w:vAlign w:val="center"/>
          </w:tcPr>
          <w:p w14:paraId="09C5B877" w14:textId="77777777" w:rsidR="00164DC2" w:rsidRPr="00164DC2" w:rsidRDefault="00164DC2" w:rsidP="00164DC2">
            <w:pPr>
              <w:jc w:val="center"/>
            </w:pPr>
            <w:r w:rsidRPr="00164DC2">
              <w:t>74%</w:t>
            </w:r>
          </w:p>
        </w:tc>
      </w:tr>
      <w:tr w:rsidR="00164DC2" w:rsidRPr="00164DC2" w14:paraId="2BE0ED67" w14:textId="77777777" w:rsidTr="00164DC2">
        <w:trPr>
          <w:trHeight w:val="557"/>
          <w:jc w:val="center"/>
        </w:trPr>
        <w:tc>
          <w:tcPr>
            <w:tcW w:w="5328" w:type="dxa"/>
            <w:tcBorders>
              <w:top w:val="single" w:sz="12" w:space="0" w:color="000000" w:themeColor="text1"/>
              <w:bottom w:val="single" w:sz="12" w:space="0" w:color="000000" w:themeColor="text1"/>
              <w:right w:val="single" w:sz="12" w:space="0" w:color="000000" w:themeColor="text1"/>
            </w:tcBorders>
            <w:shd w:val="clear" w:color="auto" w:fill="FFFFFF" w:themeFill="background1"/>
            <w:vAlign w:val="center"/>
          </w:tcPr>
          <w:p w14:paraId="692BE0F1" w14:textId="77777777" w:rsidR="00164DC2" w:rsidRPr="00164DC2" w:rsidRDefault="00164DC2" w:rsidP="00164DC2">
            <w:r w:rsidRPr="00164DC2">
              <w:t>Program costs covered by General Fund</w:t>
            </w:r>
          </w:p>
        </w:tc>
        <w:tc>
          <w:tcPr>
            <w:tcW w:w="207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5361791C" w14:textId="77777777" w:rsidR="00164DC2" w:rsidRPr="00164DC2" w:rsidRDefault="00164DC2" w:rsidP="00164DC2">
            <w:pPr>
              <w:jc w:val="center"/>
            </w:pPr>
            <w:r w:rsidRPr="00164DC2">
              <w:t>$0</w:t>
            </w:r>
          </w:p>
        </w:tc>
        <w:tc>
          <w:tcPr>
            <w:tcW w:w="2826" w:type="dxa"/>
            <w:tcBorders>
              <w:top w:val="single" w:sz="12" w:space="0" w:color="000000" w:themeColor="text1"/>
              <w:left w:val="single" w:sz="12" w:space="0" w:color="000000" w:themeColor="text1"/>
              <w:bottom w:val="single" w:sz="12" w:space="0" w:color="000000" w:themeColor="text1"/>
            </w:tcBorders>
            <w:vAlign w:val="center"/>
          </w:tcPr>
          <w:p w14:paraId="5D6FFA44" w14:textId="77777777" w:rsidR="00164DC2" w:rsidRPr="00164DC2" w:rsidRDefault="00164DC2" w:rsidP="00164DC2">
            <w:pPr>
              <w:jc w:val="center"/>
            </w:pPr>
            <w:r w:rsidRPr="00164DC2">
              <w:t>0%</w:t>
            </w:r>
          </w:p>
        </w:tc>
      </w:tr>
      <w:tr w:rsidR="00164DC2" w:rsidRPr="00164DC2" w14:paraId="1DE75305" w14:textId="77777777" w:rsidTr="00164DC2">
        <w:trPr>
          <w:trHeight w:val="503"/>
          <w:jc w:val="center"/>
        </w:trPr>
        <w:tc>
          <w:tcPr>
            <w:tcW w:w="5328" w:type="dxa"/>
            <w:tcBorders>
              <w:top w:val="single" w:sz="12" w:space="0" w:color="000000" w:themeColor="text1"/>
              <w:bottom w:val="single" w:sz="18" w:space="0" w:color="000000" w:themeColor="text1"/>
              <w:right w:val="single" w:sz="12" w:space="0" w:color="000000" w:themeColor="text1"/>
            </w:tcBorders>
            <w:shd w:val="clear" w:color="auto" w:fill="FFFFFF" w:themeFill="background1"/>
            <w:vAlign w:val="center"/>
          </w:tcPr>
          <w:p w14:paraId="6F005511" w14:textId="77777777" w:rsidR="00164DC2" w:rsidRPr="00164DC2" w:rsidRDefault="00164DC2" w:rsidP="00164DC2">
            <w:proofErr w:type="spellStart"/>
            <w:r w:rsidRPr="00164DC2">
              <w:t>Fee</w:t>
            </w:r>
            <w:proofErr w:type="spellEnd"/>
            <w:r w:rsidRPr="00164DC2">
              <w:t xml:space="preserve"> Last Changed</w:t>
            </w:r>
          </w:p>
        </w:tc>
        <w:tc>
          <w:tcPr>
            <w:tcW w:w="4896" w:type="dxa"/>
            <w:gridSpan w:val="2"/>
            <w:tcBorders>
              <w:top w:val="single" w:sz="12" w:space="0" w:color="000000" w:themeColor="text1"/>
              <w:left w:val="single" w:sz="12" w:space="0" w:color="000000" w:themeColor="text1"/>
              <w:bottom w:val="single" w:sz="18" w:space="0" w:color="000000" w:themeColor="text1"/>
            </w:tcBorders>
            <w:vAlign w:val="center"/>
          </w:tcPr>
          <w:p w14:paraId="7ACC6668" w14:textId="77777777" w:rsidR="00164DC2" w:rsidRPr="00164DC2" w:rsidRDefault="00164DC2" w:rsidP="00164DC2">
            <w:r w:rsidRPr="00164DC2">
              <w:t>2007 – Report-filing fees increased</w:t>
            </w:r>
          </w:p>
          <w:p w14:paraId="0E81A017" w14:textId="77777777" w:rsidR="00164DC2" w:rsidRPr="00164DC2" w:rsidRDefault="00164DC2" w:rsidP="00164DC2">
            <w:r w:rsidRPr="00164DC2">
              <w:t>1999 – Licensure and report-filing fees established in rule</w:t>
            </w:r>
          </w:p>
        </w:tc>
      </w:tr>
    </w:tbl>
    <w:p w14:paraId="4E68B74A" w14:textId="77777777" w:rsidR="00164DC2" w:rsidRPr="00164DC2" w:rsidRDefault="00164DC2" w:rsidP="00164DC2"/>
    <w:tbl>
      <w:tblPr>
        <w:tblStyle w:val="TableGrid"/>
        <w:tblW w:w="0" w:type="auto"/>
        <w:jc w:val="center"/>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66"/>
        <w:gridCol w:w="1886"/>
        <w:gridCol w:w="2430"/>
      </w:tblGrid>
      <w:tr w:rsidR="00164DC2" w:rsidRPr="00164DC2" w14:paraId="69462472" w14:textId="77777777" w:rsidTr="00164DC2">
        <w:trPr>
          <w:tblHeader/>
          <w:jc w:val="center"/>
        </w:trPr>
        <w:tc>
          <w:tcPr>
            <w:tcW w:w="8882" w:type="dxa"/>
            <w:gridSpan w:val="3"/>
            <w:tcBorders>
              <w:top w:val="single" w:sz="18" w:space="0" w:color="000000" w:themeColor="text1"/>
              <w:bottom w:val="single" w:sz="12" w:space="0" w:color="000000" w:themeColor="text1"/>
            </w:tcBorders>
            <w:shd w:val="clear" w:color="auto" w:fill="E2EFD9" w:themeFill="accent6" w:themeFillTint="33"/>
          </w:tcPr>
          <w:p w14:paraId="224C6EDF" w14:textId="77777777" w:rsidR="00164DC2" w:rsidRPr="00164DC2" w:rsidRDefault="00164DC2" w:rsidP="00164DC2">
            <w:pPr>
              <w:jc w:val="center"/>
              <w:rPr>
                <w:rFonts w:ascii="Arial" w:hAnsi="Arial" w:cs="Arial"/>
                <w:b/>
                <w:sz w:val="28"/>
                <w:szCs w:val="28"/>
              </w:rPr>
            </w:pPr>
            <w:r w:rsidRPr="00164DC2">
              <w:rPr>
                <w:rFonts w:ascii="Arial" w:hAnsi="Arial" w:cs="Arial"/>
                <w:b/>
                <w:sz w:val="28"/>
                <w:szCs w:val="28"/>
              </w:rPr>
              <w:t>Proposed Fees</w:t>
            </w:r>
          </w:p>
        </w:tc>
      </w:tr>
      <w:tr w:rsidR="00164DC2" w:rsidRPr="00164DC2" w14:paraId="4EBC8558" w14:textId="77777777" w:rsidTr="00164DC2">
        <w:trPr>
          <w:trHeight w:val="566"/>
          <w:jc w:val="center"/>
        </w:trPr>
        <w:tc>
          <w:tcPr>
            <w:tcW w:w="4566" w:type="dxa"/>
            <w:vMerge w:val="restart"/>
            <w:tcBorders>
              <w:top w:val="single" w:sz="12" w:space="0" w:color="000000" w:themeColor="text1"/>
              <w:right w:val="single" w:sz="12" w:space="0" w:color="000000" w:themeColor="text1"/>
            </w:tcBorders>
            <w:shd w:val="clear" w:color="auto" w:fill="FFFFFF" w:themeFill="background1"/>
            <w:vAlign w:val="center"/>
          </w:tcPr>
          <w:p w14:paraId="42F11589" w14:textId="77777777" w:rsidR="00164DC2" w:rsidRPr="00164DC2" w:rsidRDefault="00164DC2" w:rsidP="00164DC2">
            <w:r w:rsidRPr="00164DC2">
              <w:t>Expected change in revenue (+/-)</w:t>
            </w:r>
          </w:p>
        </w:tc>
        <w:tc>
          <w:tcPr>
            <w:tcW w:w="18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35D406BB" w14:textId="77777777" w:rsidR="00164DC2" w:rsidRPr="00164DC2" w:rsidRDefault="00164DC2" w:rsidP="00164DC2">
            <w:pPr>
              <w:jc w:val="center"/>
            </w:pPr>
            <w:r w:rsidRPr="00164DC2">
              <w:t>+ $383,959 (2019-21)*</w:t>
            </w:r>
          </w:p>
        </w:tc>
        <w:tc>
          <w:tcPr>
            <w:tcW w:w="2430" w:type="dxa"/>
            <w:tcBorders>
              <w:top w:val="single" w:sz="12" w:space="0" w:color="000000" w:themeColor="text1"/>
              <w:left w:val="single" w:sz="12" w:space="0" w:color="000000" w:themeColor="text1"/>
              <w:bottom w:val="single" w:sz="12" w:space="0" w:color="000000" w:themeColor="text1"/>
            </w:tcBorders>
            <w:vAlign w:val="center"/>
          </w:tcPr>
          <w:p w14:paraId="2213053C" w14:textId="77777777" w:rsidR="00164DC2" w:rsidRPr="00164DC2" w:rsidRDefault="00164DC2" w:rsidP="00164DC2">
            <w:pPr>
              <w:jc w:val="center"/>
            </w:pPr>
            <w:r w:rsidRPr="00164DC2">
              <w:t>100%</w:t>
            </w:r>
          </w:p>
        </w:tc>
      </w:tr>
      <w:tr w:rsidR="00164DC2" w:rsidRPr="00164DC2" w14:paraId="1B80AEFA" w14:textId="77777777" w:rsidTr="00164DC2">
        <w:trPr>
          <w:trHeight w:val="566"/>
          <w:jc w:val="center"/>
        </w:trPr>
        <w:tc>
          <w:tcPr>
            <w:tcW w:w="4566" w:type="dxa"/>
            <w:vMerge/>
            <w:tcBorders>
              <w:bottom w:val="single" w:sz="12" w:space="0" w:color="000000" w:themeColor="text1"/>
              <w:right w:val="single" w:sz="12" w:space="0" w:color="000000" w:themeColor="text1"/>
            </w:tcBorders>
            <w:shd w:val="clear" w:color="auto" w:fill="FFFFFF" w:themeFill="background1"/>
            <w:vAlign w:val="center"/>
          </w:tcPr>
          <w:p w14:paraId="315463CD" w14:textId="77777777" w:rsidR="00164DC2" w:rsidRPr="00164DC2" w:rsidRDefault="00164DC2" w:rsidP="00164DC2"/>
        </w:tc>
        <w:tc>
          <w:tcPr>
            <w:tcW w:w="18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0D85795B" w14:textId="77777777" w:rsidR="00164DC2" w:rsidRPr="00164DC2" w:rsidRDefault="00164DC2" w:rsidP="00164DC2">
            <w:pPr>
              <w:jc w:val="center"/>
            </w:pPr>
            <w:r w:rsidRPr="00164DC2">
              <w:t>+ $513,872</w:t>
            </w:r>
          </w:p>
          <w:p w14:paraId="548D4F48" w14:textId="77777777" w:rsidR="00164DC2" w:rsidRPr="00164DC2" w:rsidRDefault="00164DC2" w:rsidP="00164DC2">
            <w:pPr>
              <w:jc w:val="center"/>
            </w:pPr>
            <w:r w:rsidRPr="00164DC2">
              <w:t>(2021-23)</w:t>
            </w:r>
          </w:p>
        </w:tc>
        <w:tc>
          <w:tcPr>
            <w:tcW w:w="2430" w:type="dxa"/>
            <w:tcBorders>
              <w:top w:val="single" w:sz="12" w:space="0" w:color="000000" w:themeColor="text1"/>
              <w:left w:val="single" w:sz="12" w:space="0" w:color="000000" w:themeColor="text1"/>
              <w:bottom w:val="single" w:sz="12" w:space="0" w:color="000000" w:themeColor="text1"/>
            </w:tcBorders>
            <w:vAlign w:val="center"/>
          </w:tcPr>
          <w:p w14:paraId="4C2751FA" w14:textId="77777777" w:rsidR="00164DC2" w:rsidRPr="00164DC2" w:rsidRDefault="00164DC2" w:rsidP="00164DC2">
            <w:pPr>
              <w:jc w:val="center"/>
            </w:pPr>
            <w:r w:rsidRPr="00164DC2">
              <w:t>100%</w:t>
            </w:r>
          </w:p>
        </w:tc>
      </w:tr>
      <w:tr w:rsidR="00164DC2" w:rsidRPr="00164DC2" w14:paraId="2F394059" w14:textId="77777777" w:rsidTr="00164DC2">
        <w:trPr>
          <w:trHeight w:val="791"/>
          <w:jc w:val="center"/>
        </w:trPr>
        <w:tc>
          <w:tcPr>
            <w:tcW w:w="4566" w:type="dxa"/>
            <w:tcBorders>
              <w:top w:val="single" w:sz="12" w:space="0" w:color="000000" w:themeColor="text1"/>
              <w:bottom w:val="single" w:sz="12" w:space="0" w:color="000000" w:themeColor="text1"/>
              <w:right w:val="single" w:sz="12" w:space="0" w:color="000000" w:themeColor="text1"/>
            </w:tcBorders>
            <w:shd w:val="clear" w:color="auto" w:fill="FFFFFF" w:themeFill="background1"/>
            <w:vAlign w:val="center"/>
          </w:tcPr>
          <w:p w14:paraId="32C5676A" w14:textId="77777777" w:rsidR="00164DC2" w:rsidRPr="00164DC2" w:rsidRDefault="00164DC2" w:rsidP="00164DC2">
            <w:r w:rsidRPr="00164DC2">
              <w:t>Main GF required by statute/rule to fund program</w:t>
            </w:r>
          </w:p>
        </w:tc>
        <w:tc>
          <w:tcPr>
            <w:tcW w:w="18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5A1D28FE" w14:textId="77777777" w:rsidR="00164DC2" w:rsidRPr="00164DC2" w:rsidRDefault="00164DC2" w:rsidP="00164DC2">
            <w:pPr>
              <w:jc w:val="center"/>
            </w:pPr>
            <w:r w:rsidRPr="00164DC2">
              <w:t>$0</w:t>
            </w:r>
          </w:p>
        </w:tc>
        <w:tc>
          <w:tcPr>
            <w:tcW w:w="2430" w:type="dxa"/>
            <w:tcBorders>
              <w:top w:val="single" w:sz="12" w:space="0" w:color="000000" w:themeColor="text1"/>
              <w:left w:val="single" w:sz="12" w:space="0" w:color="000000" w:themeColor="text1"/>
              <w:bottom w:val="single" w:sz="12" w:space="0" w:color="000000" w:themeColor="text1"/>
            </w:tcBorders>
            <w:vAlign w:val="center"/>
          </w:tcPr>
          <w:p w14:paraId="2BBA9029" w14:textId="77777777" w:rsidR="00164DC2" w:rsidRPr="00164DC2" w:rsidRDefault="00164DC2" w:rsidP="00164DC2">
            <w:pPr>
              <w:jc w:val="center"/>
            </w:pPr>
            <w:r w:rsidRPr="00164DC2">
              <w:t>0%</w:t>
            </w:r>
          </w:p>
        </w:tc>
      </w:tr>
      <w:tr w:rsidR="00164DC2" w:rsidRPr="00164DC2" w14:paraId="19A9B356" w14:textId="77777777" w:rsidTr="00164DC2">
        <w:trPr>
          <w:trHeight w:val="773"/>
          <w:jc w:val="center"/>
        </w:trPr>
        <w:tc>
          <w:tcPr>
            <w:tcW w:w="4566" w:type="dxa"/>
            <w:tcBorders>
              <w:top w:val="single" w:sz="12" w:space="0" w:color="000000" w:themeColor="text1"/>
              <w:bottom w:val="single" w:sz="12" w:space="0" w:color="000000" w:themeColor="text1"/>
              <w:right w:val="single" w:sz="12" w:space="0" w:color="000000" w:themeColor="text1"/>
            </w:tcBorders>
            <w:shd w:val="clear" w:color="auto" w:fill="FFFFFF" w:themeFill="background1"/>
            <w:vAlign w:val="center"/>
          </w:tcPr>
          <w:p w14:paraId="42666CCD" w14:textId="77777777" w:rsidR="00164DC2" w:rsidRPr="00164DC2" w:rsidRDefault="00164DC2" w:rsidP="00164DC2">
            <w:r w:rsidRPr="00164DC2">
              <w:t>Proposed fee allows General Fund replacement</w:t>
            </w:r>
          </w:p>
        </w:tc>
        <w:tc>
          <w:tcPr>
            <w:tcW w:w="18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6E68BF79" w14:textId="77777777" w:rsidR="00164DC2" w:rsidRPr="00164DC2" w:rsidRDefault="00164DC2" w:rsidP="00164DC2">
            <w:pPr>
              <w:jc w:val="center"/>
            </w:pPr>
            <w:r w:rsidRPr="00164DC2">
              <w:t>$0</w:t>
            </w:r>
          </w:p>
        </w:tc>
        <w:tc>
          <w:tcPr>
            <w:tcW w:w="2430" w:type="dxa"/>
            <w:tcBorders>
              <w:top w:val="single" w:sz="12" w:space="0" w:color="000000" w:themeColor="text1"/>
              <w:left w:val="single" w:sz="12" w:space="0" w:color="000000" w:themeColor="text1"/>
              <w:bottom w:val="single" w:sz="12" w:space="0" w:color="000000" w:themeColor="text1"/>
            </w:tcBorders>
            <w:vAlign w:val="center"/>
          </w:tcPr>
          <w:p w14:paraId="43867E57" w14:textId="77777777" w:rsidR="00164DC2" w:rsidRPr="00164DC2" w:rsidRDefault="00164DC2" w:rsidP="00164DC2">
            <w:pPr>
              <w:jc w:val="center"/>
            </w:pPr>
            <w:r w:rsidRPr="00164DC2">
              <w:t>0%</w:t>
            </w:r>
          </w:p>
        </w:tc>
      </w:tr>
      <w:tr w:rsidR="00164DC2" w:rsidRPr="00164DC2" w14:paraId="59338F79" w14:textId="77777777" w:rsidTr="00164DC2">
        <w:trPr>
          <w:trHeight w:val="656"/>
          <w:jc w:val="center"/>
        </w:trPr>
        <w:tc>
          <w:tcPr>
            <w:tcW w:w="4566" w:type="dxa"/>
            <w:tcBorders>
              <w:top w:val="single" w:sz="12" w:space="0" w:color="000000" w:themeColor="text1"/>
              <w:bottom w:val="single" w:sz="12" w:space="0" w:color="000000" w:themeColor="text1"/>
              <w:right w:val="single" w:sz="12" w:space="0" w:color="000000" w:themeColor="text1"/>
            </w:tcBorders>
            <w:shd w:val="clear" w:color="auto" w:fill="FFFFFF" w:themeFill="background1"/>
            <w:vAlign w:val="center"/>
          </w:tcPr>
          <w:p w14:paraId="1E51BB04" w14:textId="77777777" w:rsidR="00164DC2" w:rsidRPr="00164DC2" w:rsidRDefault="00164DC2" w:rsidP="00164DC2">
            <w:r w:rsidRPr="00164DC2">
              <w:t>Expected effective date</w:t>
            </w:r>
          </w:p>
        </w:tc>
        <w:tc>
          <w:tcPr>
            <w:tcW w:w="4316" w:type="dxa"/>
            <w:gridSpan w:val="2"/>
            <w:tcBorders>
              <w:top w:val="single" w:sz="12" w:space="0" w:color="000000" w:themeColor="text1"/>
              <w:left w:val="single" w:sz="12" w:space="0" w:color="000000" w:themeColor="text1"/>
              <w:bottom w:val="single" w:sz="12" w:space="0" w:color="000000" w:themeColor="text1"/>
            </w:tcBorders>
            <w:vAlign w:val="center"/>
          </w:tcPr>
          <w:p w14:paraId="40805AF3" w14:textId="77777777" w:rsidR="00164DC2" w:rsidRPr="00164DC2" w:rsidRDefault="00164DC2" w:rsidP="00164DC2">
            <w:r w:rsidRPr="00164DC2">
              <w:t>Jan. 1, 2020 for report- filing fees</w:t>
            </w:r>
          </w:p>
          <w:p w14:paraId="172DF598" w14:textId="77777777" w:rsidR="00164DC2" w:rsidRPr="00164DC2" w:rsidRDefault="00164DC2" w:rsidP="00164DC2">
            <w:r w:rsidRPr="00164DC2">
              <w:t>Jan. 2, 2022 for licensure fees (phased fee increases shall begin Jan. 1, 2020)</w:t>
            </w:r>
          </w:p>
        </w:tc>
      </w:tr>
      <w:tr w:rsidR="00164DC2" w:rsidRPr="00164DC2" w14:paraId="5DFE48C4" w14:textId="77777777" w:rsidTr="00164DC2">
        <w:trPr>
          <w:trHeight w:val="656"/>
          <w:jc w:val="center"/>
        </w:trPr>
        <w:tc>
          <w:tcPr>
            <w:tcW w:w="8882" w:type="dxa"/>
            <w:gridSpan w:val="3"/>
            <w:tcBorders>
              <w:top w:val="single" w:sz="12" w:space="0" w:color="000000" w:themeColor="text1"/>
              <w:bottom w:val="single" w:sz="18" w:space="0" w:color="000000" w:themeColor="text1"/>
            </w:tcBorders>
            <w:shd w:val="clear" w:color="auto" w:fill="FFFFFF" w:themeFill="background1"/>
            <w:vAlign w:val="center"/>
          </w:tcPr>
          <w:p w14:paraId="2A140B32" w14:textId="77777777" w:rsidR="00164DC2" w:rsidRPr="00164DC2" w:rsidRDefault="00164DC2" w:rsidP="00164DC2">
            <w:pPr>
              <w:rPr>
                <w:sz w:val="20"/>
                <w:szCs w:val="20"/>
              </w:rPr>
            </w:pPr>
            <w:r w:rsidRPr="00164DC2">
              <w:rPr>
                <w:sz w:val="20"/>
                <w:szCs w:val="20"/>
              </w:rPr>
              <w:t xml:space="preserve">* For purposes of this analysis, agency revenue specifically from the modified license fees is assumed to not increase until Jan. 1, 2022. The expected revenue increase is staggered by two years from the effective date of these fee increases to account for the two-year operative duration of the supervisor licenses and the phased fee schedule for the service provider licenses. DEQ may assess the increased fee amount before Jan. </w:t>
            </w:r>
            <w:r w:rsidRPr="00164DC2">
              <w:rPr>
                <w:sz w:val="20"/>
                <w:szCs w:val="20"/>
              </w:rPr>
              <w:lastRenderedPageBreak/>
              <w:t>1, 2022 for license activities occurring on or after Jan. 1, 2022. Total revenue is expected to eventually decline after fee implementation due to projected declining volumes.</w:t>
            </w:r>
          </w:p>
        </w:tc>
      </w:tr>
    </w:tbl>
    <w:p w14:paraId="7F3A6B9A" w14:textId="77777777" w:rsidR="00164DC2" w:rsidRPr="00164DC2" w:rsidRDefault="00164DC2" w:rsidP="00164DC2"/>
    <w:tbl>
      <w:tblPr>
        <w:tblStyle w:val="TableGrid"/>
        <w:tblW w:w="9247" w:type="dxa"/>
        <w:jc w:val="center"/>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4" w:space="0" w:color="000000" w:themeColor="text1"/>
          <w:insideV w:val="single" w:sz="4" w:space="0" w:color="000000" w:themeColor="text1"/>
        </w:tblBorders>
        <w:tblLayout w:type="fixed"/>
        <w:tblCellMar>
          <w:left w:w="43" w:type="dxa"/>
          <w:right w:w="43" w:type="dxa"/>
        </w:tblCellMar>
        <w:tblLook w:val="04A0" w:firstRow="1" w:lastRow="0" w:firstColumn="1" w:lastColumn="0" w:noHBand="0" w:noVBand="1"/>
      </w:tblPr>
      <w:tblGrid>
        <w:gridCol w:w="1777"/>
        <w:gridCol w:w="1440"/>
        <w:gridCol w:w="1530"/>
        <w:gridCol w:w="1530"/>
        <w:gridCol w:w="1440"/>
        <w:gridCol w:w="1530"/>
      </w:tblGrid>
      <w:tr w:rsidR="00164DC2" w:rsidRPr="00164DC2" w14:paraId="2F4D302C" w14:textId="77777777" w:rsidTr="00164DC2">
        <w:trPr>
          <w:trHeight w:val="495"/>
          <w:tblHeader/>
          <w:jc w:val="center"/>
        </w:trPr>
        <w:tc>
          <w:tcPr>
            <w:tcW w:w="9247" w:type="dxa"/>
            <w:gridSpan w:val="6"/>
            <w:tcBorders>
              <w:bottom w:val="single" w:sz="4" w:space="0" w:color="000000" w:themeColor="text1"/>
            </w:tcBorders>
            <w:shd w:val="clear" w:color="auto" w:fill="E2EFD9" w:themeFill="accent6" w:themeFillTint="33"/>
            <w:vAlign w:val="center"/>
          </w:tcPr>
          <w:p w14:paraId="7F3F026E" w14:textId="77777777" w:rsidR="00164DC2" w:rsidRPr="00164DC2" w:rsidRDefault="00164DC2" w:rsidP="00164DC2">
            <w:pPr>
              <w:jc w:val="center"/>
              <w:rPr>
                <w:rFonts w:ascii="Arial" w:hAnsi="Arial" w:cs="Arial"/>
                <w:b/>
                <w:sz w:val="28"/>
                <w:szCs w:val="28"/>
              </w:rPr>
            </w:pPr>
            <w:r w:rsidRPr="00164DC2">
              <w:rPr>
                <w:rFonts w:ascii="Arial" w:hAnsi="Arial" w:cs="Arial"/>
                <w:b/>
                <w:sz w:val="28"/>
                <w:szCs w:val="28"/>
              </w:rPr>
              <w:t>HOT Program Fee Schedule</w:t>
            </w:r>
          </w:p>
        </w:tc>
      </w:tr>
      <w:tr w:rsidR="00164DC2" w:rsidRPr="00164DC2" w14:paraId="642B4B28" w14:textId="77777777" w:rsidTr="00164DC2">
        <w:trPr>
          <w:tblHeader/>
          <w:jc w:val="center"/>
        </w:trPr>
        <w:tc>
          <w:tcPr>
            <w:tcW w:w="1777" w:type="dxa"/>
            <w:tcBorders>
              <w:top w:val="single" w:sz="4" w:space="0" w:color="000000" w:themeColor="text1"/>
              <w:bottom w:val="single" w:sz="12" w:space="0" w:color="000000" w:themeColor="text1"/>
              <w:right w:val="single" w:sz="12" w:space="0" w:color="000000" w:themeColor="text1"/>
            </w:tcBorders>
            <w:shd w:val="clear" w:color="auto" w:fill="C5E0B3" w:themeFill="accent6" w:themeFillTint="66"/>
            <w:vAlign w:val="center"/>
          </w:tcPr>
          <w:p w14:paraId="3F3DC55A" w14:textId="77777777" w:rsidR="00164DC2" w:rsidRPr="00164DC2" w:rsidRDefault="00164DC2" w:rsidP="00164DC2">
            <w:pPr>
              <w:jc w:val="center"/>
              <w:rPr>
                <w:rFonts w:ascii="Arial" w:hAnsi="Arial" w:cs="Arial"/>
                <w:b/>
              </w:rPr>
            </w:pPr>
            <w:r w:rsidRPr="00164DC2">
              <w:rPr>
                <w:rFonts w:ascii="Arial" w:hAnsi="Arial" w:cs="Arial"/>
                <w:b/>
              </w:rPr>
              <w:t>Fee Description</w:t>
            </w:r>
          </w:p>
        </w:tc>
        <w:tc>
          <w:tcPr>
            <w:tcW w:w="1440" w:type="dxa"/>
            <w:tcBorders>
              <w:top w:val="single" w:sz="4" w:space="0" w:color="000000" w:themeColor="text1"/>
              <w:left w:val="single" w:sz="12" w:space="0" w:color="000000" w:themeColor="text1"/>
              <w:bottom w:val="single" w:sz="12" w:space="0" w:color="000000" w:themeColor="text1"/>
              <w:right w:val="single" w:sz="12" w:space="0" w:color="000000" w:themeColor="text1"/>
            </w:tcBorders>
            <w:shd w:val="clear" w:color="auto" w:fill="C5E0B3" w:themeFill="accent6" w:themeFillTint="66"/>
            <w:vAlign w:val="center"/>
          </w:tcPr>
          <w:p w14:paraId="3FC8DE78" w14:textId="77777777" w:rsidR="00164DC2" w:rsidRPr="00164DC2" w:rsidRDefault="00164DC2" w:rsidP="00164DC2">
            <w:pPr>
              <w:jc w:val="center"/>
              <w:rPr>
                <w:rFonts w:ascii="Arial" w:hAnsi="Arial" w:cs="Arial"/>
                <w:b/>
              </w:rPr>
            </w:pPr>
            <w:r w:rsidRPr="00164DC2">
              <w:rPr>
                <w:rFonts w:ascii="Arial" w:hAnsi="Arial" w:cs="Arial"/>
                <w:b/>
              </w:rPr>
              <w:t>Current Fee Amount</w:t>
            </w:r>
          </w:p>
        </w:tc>
        <w:tc>
          <w:tcPr>
            <w:tcW w:w="1530" w:type="dxa"/>
            <w:tcBorders>
              <w:top w:val="single" w:sz="4" w:space="0" w:color="000000" w:themeColor="text1"/>
              <w:left w:val="single" w:sz="12" w:space="0" w:color="000000" w:themeColor="text1"/>
              <w:bottom w:val="single" w:sz="12" w:space="0" w:color="000000" w:themeColor="text1"/>
              <w:right w:val="single" w:sz="12" w:space="0" w:color="000000" w:themeColor="text1"/>
            </w:tcBorders>
            <w:shd w:val="clear" w:color="auto" w:fill="C5E0B3" w:themeFill="accent6" w:themeFillTint="66"/>
            <w:vAlign w:val="center"/>
          </w:tcPr>
          <w:p w14:paraId="180B7418" w14:textId="77777777" w:rsidR="00164DC2" w:rsidRPr="00164DC2" w:rsidRDefault="00164DC2" w:rsidP="00164DC2">
            <w:pPr>
              <w:jc w:val="center"/>
              <w:rPr>
                <w:rFonts w:ascii="Arial" w:hAnsi="Arial" w:cs="Arial"/>
                <w:b/>
              </w:rPr>
            </w:pPr>
            <w:r w:rsidRPr="00164DC2">
              <w:rPr>
                <w:rFonts w:ascii="Arial" w:hAnsi="Arial" w:cs="Arial"/>
                <w:b/>
              </w:rPr>
              <w:t>Proposed Fee Amount</w:t>
            </w:r>
          </w:p>
        </w:tc>
        <w:tc>
          <w:tcPr>
            <w:tcW w:w="1530" w:type="dxa"/>
            <w:tcBorders>
              <w:top w:val="single" w:sz="4" w:space="0" w:color="000000" w:themeColor="text1"/>
              <w:left w:val="single" w:sz="12" w:space="0" w:color="000000" w:themeColor="text1"/>
              <w:bottom w:val="single" w:sz="12" w:space="0" w:color="000000" w:themeColor="text1"/>
              <w:right w:val="single" w:sz="12" w:space="0" w:color="000000" w:themeColor="text1"/>
            </w:tcBorders>
            <w:shd w:val="clear" w:color="auto" w:fill="C5E0B3" w:themeFill="accent6" w:themeFillTint="66"/>
            <w:vAlign w:val="center"/>
          </w:tcPr>
          <w:p w14:paraId="0A716FAC" w14:textId="77777777" w:rsidR="00164DC2" w:rsidRPr="00164DC2" w:rsidRDefault="00164DC2" w:rsidP="00164DC2">
            <w:pPr>
              <w:jc w:val="center"/>
              <w:rPr>
                <w:rFonts w:ascii="Arial" w:hAnsi="Arial" w:cs="Arial"/>
                <w:b/>
              </w:rPr>
            </w:pPr>
            <w:r w:rsidRPr="00164DC2">
              <w:rPr>
                <w:rFonts w:ascii="Arial" w:hAnsi="Arial" w:cs="Arial"/>
                <w:b/>
              </w:rPr>
              <w:t>Assumed Effective Date</w:t>
            </w:r>
          </w:p>
        </w:tc>
        <w:tc>
          <w:tcPr>
            <w:tcW w:w="1440" w:type="dxa"/>
            <w:tcBorders>
              <w:top w:val="single" w:sz="4" w:space="0" w:color="000000" w:themeColor="text1"/>
              <w:left w:val="single" w:sz="12" w:space="0" w:color="000000" w:themeColor="text1"/>
              <w:bottom w:val="single" w:sz="12" w:space="0" w:color="000000" w:themeColor="text1"/>
            </w:tcBorders>
            <w:shd w:val="clear" w:color="auto" w:fill="C5E0B3" w:themeFill="accent6" w:themeFillTint="66"/>
            <w:vAlign w:val="center"/>
          </w:tcPr>
          <w:p w14:paraId="3CD5E0BE" w14:textId="77777777" w:rsidR="00164DC2" w:rsidRPr="00164DC2" w:rsidRDefault="00164DC2" w:rsidP="00164DC2">
            <w:pPr>
              <w:jc w:val="center"/>
              <w:rPr>
                <w:rFonts w:ascii="Arial" w:hAnsi="Arial" w:cs="Arial"/>
                <w:b/>
              </w:rPr>
            </w:pPr>
            <w:r w:rsidRPr="00164DC2">
              <w:rPr>
                <w:rFonts w:ascii="Arial" w:hAnsi="Arial" w:cs="Arial"/>
                <w:b/>
              </w:rPr>
              <w:t>2019-21 Additional Revenue</w:t>
            </w:r>
          </w:p>
        </w:tc>
        <w:tc>
          <w:tcPr>
            <w:tcW w:w="1530" w:type="dxa"/>
            <w:tcBorders>
              <w:top w:val="single" w:sz="4" w:space="0" w:color="000000" w:themeColor="text1"/>
              <w:left w:val="single" w:sz="12" w:space="0" w:color="000000" w:themeColor="text1"/>
              <w:bottom w:val="single" w:sz="12" w:space="0" w:color="000000" w:themeColor="text1"/>
            </w:tcBorders>
            <w:shd w:val="clear" w:color="auto" w:fill="C5E0B3" w:themeFill="accent6" w:themeFillTint="66"/>
          </w:tcPr>
          <w:p w14:paraId="741BA8E5" w14:textId="77777777" w:rsidR="00164DC2" w:rsidRPr="00164DC2" w:rsidRDefault="00164DC2" w:rsidP="00164DC2">
            <w:pPr>
              <w:jc w:val="center"/>
              <w:rPr>
                <w:rFonts w:ascii="Arial" w:hAnsi="Arial" w:cs="Arial"/>
                <w:b/>
              </w:rPr>
            </w:pPr>
            <w:r w:rsidRPr="00164DC2">
              <w:rPr>
                <w:rFonts w:ascii="Arial" w:hAnsi="Arial" w:cs="Arial"/>
                <w:b/>
              </w:rPr>
              <w:t>2021-23 Additional Revenue</w:t>
            </w:r>
          </w:p>
        </w:tc>
      </w:tr>
      <w:tr w:rsidR="00164DC2" w:rsidRPr="00164DC2" w14:paraId="17071675" w14:textId="77777777" w:rsidTr="00164DC2">
        <w:trPr>
          <w:jc w:val="center"/>
        </w:trPr>
        <w:tc>
          <w:tcPr>
            <w:tcW w:w="1777" w:type="dxa"/>
            <w:tcBorders>
              <w:top w:val="single" w:sz="12" w:space="0" w:color="000000" w:themeColor="text1"/>
              <w:bottom w:val="single" w:sz="12" w:space="0" w:color="000000" w:themeColor="text1"/>
              <w:right w:val="single" w:sz="12" w:space="0" w:color="000000" w:themeColor="text1"/>
            </w:tcBorders>
            <w:shd w:val="clear" w:color="auto" w:fill="FFFFFF" w:themeFill="background1"/>
            <w:vAlign w:val="center"/>
          </w:tcPr>
          <w:p w14:paraId="6BEF2202" w14:textId="77777777" w:rsidR="00164DC2" w:rsidRPr="00164DC2" w:rsidRDefault="00164DC2" w:rsidP="00164DC2">
            <w:r w:rsidRPr="00164DC2">
              <w:t>Service provider business license</w:t>
            </w:r>
          </w:p>
        </w:tc>
        <w:tc>
          <w:tcPr>
            <w:tcW w:w="14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tcPr>
          <w:p w14:paraId="4FF896D2" w14:textId="77777777" w:rsidR="00164DC2" w:rsidRPr="00164DC2" w:rsidRDefault="00164DC2" w:rsidP="00164DC2">
            <w:pPr>
              <w:jc w:val="center"/>
            </w:pPr>
            <w:r w:rsidRPr="00164DC2">
              <w:t>$750</w:t>
            </w:r>
          </w:p>
        </w:tc>
        <w:tc>
          <w:tcPr>
            <w:tcW w:w="153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tcPr>
          <w:p w14:paraId="0EBEC5F1" w14:textId="77777777" w:rsidR="00164DC2" w:rsidRPr="00164DC2" w:rsidRDefault="00164DC2" w:rsidP="00164DC2">
            <w:pPr>
              <w:jc w:val="center"/>
            </w:pPr>
            <w:r w:rsidRPr="00164DC2">
              <w:t>$1,000</w:t>
            </w:r>
          </w:p>
        </w:tc>
        <w:tc>
          <w:tcPr>
            <w:tcW w:w="153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tcPr>
          <w:p w14:paraId="47BC6540" w14:textId="77777777" w:rsidR="00164DC2" w:rsidRPr="00164DC2" w:rsidRDefault="00164DC2" w:rsidP="00164DC2">
            <w:pPr>
              <w:jc w:val="center"/>
            </w:pPr>
            <w:r w:rsidRPr="00164DC2">
              <w:t>1/1/22</w:t>
            </w:r>
          </w:p>
        </w:tc>
        <w:tc>
          <w:tcPr>
            <w:tcW w:w="1440" w:type="dxa"/>
            <w:tcBorders>
              <w:top w:val="single" w:sz="12" w:space="0" w:color="000000" w:themeColor="text1"/>
              <w:left w:val="single" w:sz="12" w:space="0" w:color="000000" w:themeColor="text1"/>
              <w:bottom w:val="single" w:sz="12" w:space="0" w:color="000000" w:themeColor="text1"/>
            </w:tcBorders>
            <w:shd w:val="clear" w:color="auto" w:fill="auto"/>
            <w:vAlign w:val="center"/>
          </w:tcPr>
          <w:p w14:paraId="218512A8" w14:textId="77777777" w:rsidR="00164DC2" w:rsidRPr="00164DC2" w:rsidRDefault="00164DC2" w:rsidP="00164DC2">
            <w:pPr>
              <w:jc w:val="center"/>
            </w:pPr>
            <w:r w:rsidRPr="00164DC2">
              <w:t>-</w:t>
            </w:r>
          </w:p>
        </w:tc>
        <w:tc>
          <w:tcPr>
            <w:tcW w:w="1530" w:type="dxa"/>
            <w:tcBorders>
              <w:top w:val="single" w:sz="12" w:space="0" w:color="000000" w:themeColor="text1"/>
              <w:left w:val="single" w:sz="12" w:space="0" w:color="000000" w:themeColor="text1"/>
              <w:bottom w:val="single" w:sz="12" w:space="0" w:color="000000" w:themeColor="text1"/>
            </w:tcBorders>
            <w:vAlign w:val="center"/>
          </w:tcPr>
          <w:p w14:paraId="092978AC" w14:textId="77777777" w:rsidR="00164DC2" w:rsidRPr="00164DC2" w:rsidRDefault="00164DC2" w:rsidP="00164DC2">
            <w:pPr>
              <w:jc w:val="center"/>
            </w:pPr>
            <w:r w:rsidRPr="00164DC2">
              <w:t>$18,000</w:t>
            </w:r>
          </w:p>
        </w:tc>
      </w:tr>
      <w:tr w:rsidR="00164DC2" w:rsidRPr="00164DC2" w14:paraId="530281DD" w14:textId="77777777" w:rsidTr="00164DC2">
        <w:trPr>
          <w:jc w:val="center"/>
        </w:trPr>
        <w:tc>
          <w:tcPr>
            <w:tcW w:w="1777" w:type="dxa"/>
            <w:tcBorders>
              <w:top w:val="single" w:sz="12" w:space="0" w:color="000000" w:themeColor="text1"/>
              <w:bottom w:val="single" w:sz="12" w:space="0" w:color="000000" w:themeColor="text1"/>
              <w:right w:val="single" w:sz="12" w:space="0" w:color="000000" w:themeColor="text1"/>
            </w:tcBorders>
            <w:shd w:val="clear" w:color="auto" w:fill="FFFFFF" w:themeFill="background1"/>
            <w:vAlign w:val="center"/>
          </w:tcPr>
          <w:p w14:paraId="05F55449" w14:textId="77777777" w:rsidR="00164DC2" w:rsidRPr="00164DC2" w:rsidRDefault="00164DC2" w:rsidP="00164DC2">
            <w:r w:rsidRPr="00164DC2">
              <w:t>Service provider individual license</w:t>
            </w:r>
          </w:p>
        </w:tc>
        <w:tc>
          <w:tcPr>
            <w:tcW w:w="14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tcPr>
          <w:p w14:paraId="2FAF1677" w14:textId="77777777" w:rsidR="00164DC2" w:rsidRPr="00164DC2" w:rsidRDefault="00164DC2" w:rsidP="00164DC2">
            <w:pPr>
              <w:jc w:val="center"/>
            </w:pPr>
            <w:r w:rsidRPr="00164DC2">
              <w:t>$75</w:t>
            </w:r>
          </w:p>
        </w:tc>
        <w:tc>
          <w:tcPr>
            <w:tcW w:w="153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tcPr>
          <w:p w14:paraId="6AFD9192" w14:textId="77777777" w:rsidR="00164DC2" w:rsidRPr="00164DC2" w:rsidRDefault="00164DC2" w:rsidP="00164DC2">
            <w:pPr>
              <w:jc w:val="center"/>
            </w:pPr>
            <w:r w:rsidRPr="00164DC2">
              <w:t>$100</w:t>
            </w:r>
          </w:p>
        </w:tc>
        <w:tc>
          <w:tcPr>
            <w:tcW w:w="153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tcPr>
          <w:p w14:paraId="1CC66CAD" w14:textId="77777777" w:rsidR="00164DC2" w:rsidRPr="00164DC2" w:rsidRDefault="00164DC2" w:rsidP="00164DC2">
            <w:pPr>
              <w:jc w:val="center"/>
            </w:pPr>
            <w:r w:rsidRPr="00164DC2">
              <w:t>1/1/22</w:t>
            </w:r>
          </w:p>
        </w:tc>
        <w:tc>
          <w:tcPr>
            <w:tcW w:w="1440" w:type="dxa"/>
            <w:tcBorders>
              <w:top w:val="single" w:sz="12" w:space="0" w:color="000000" w:themeColor="text1"/>
              <w:left w:val="single" w:sz="12" w:space="0" w:color="000000" w:themeColor="text1"/>
              <w:bottom w:val="single" w:sz="12" w:space="0" w:color="000000" w:themeColor="text1"/>
            </w:tcBorders>
            <w:shd w:val="clear" w:color="auto" w:fill="auto"/>
            <w:vAlign w:val="center"/>
          </w:tcPr>
          <w:p w14:paraId="0343EC36" w14:textId="77777777" w:rsidR="00164DC2" w:rsidRPr="00164DC2" w:rsidRDefault="00164DC2" w:rsidP="00164DC2">
            <w:pPr>
              <w:jc w:val="center"/>
            </w:pPr>
            <w:r w:rsidRPr="00164DC2">
              <w:t>-</w:t>
            </w:r>
          </w:p>
        </w:tc>
        <w:tc>
          <w:tcPr>
            <w:tcW w:w="1530" w:type="dxa"/>
            <w:tcBorders>
              <w:top w:val="single" w:sz="12" w:space="0" w:color="000000" w:themeColor="text1"/>
              <w:left w:val="single" w:sz="12" w:space="0" w:color="000000" w:themeColor="text1"/>
              <w:bottom w:val="single" w:sz="12" w:space="0" w:color="000000" w:themeColor="text1"/>
            </w:tcBorders>
            <w:vAlign w:val="center"/>
          </w:tcPr>
          <w:p w14:paraId="5FC99268" w14:textId="77777777" w:rsidR="00164DC2" w:rsidRPr="00164DC2" w:rsidRDefault="00164DC2" w:rsidP="00164DC2">
            <w:pPr>
              <w:jc w:val="center"/>
            </w:pPr>
            <w:r w:rsidRPr="00164DC2">
              <w:t>$4,200</w:t>
            </w:r>
          </w:p>
        </w:tc>
      </w:tr>
      <w:tr w:rsidR="00164DC2" w:rsidRPr="00164DC2" w14:paraId="0DCAF569" w14:textId="77777777" w:rsidTr="00164DC2">
        <w:trPr>
          <w:jc w:val="center"/>
        </w:trPr>
        <w:tc>
          <w:tcPr>
            <w:tcW w:w="1777" w:type="dxa"/>
            <w:tcBorders>
              <w:top w:val="single" w:sz="12" w:space="0" w:color="000000" w:themeColor="text1"/>
              <w:bottom w:val="single" w:sz="12" w:space="0" w:color="000000" w:themeColor="text1"/>
              <w:right w:val="single" w:sz="12" w:space="0" w:color="000000" w:themeColor="text1"/>
            </w:tcBorders>
            <w:shd w:val="clear" w:color="auto" w:fill="FFFFFF" w:themeFill="background1"/>
            <w:vAlign w:val="center"/>
          </w:tcPr>
          <w:p w14:paraId="223CE336" w14:textId="77777777" w:rsidR="00164DC2" w:rsidRPr="00164DC2" w:rsidRDefault="00164DC2" w:rsidP="00164DC2">
            <w:r w:rsidRPr="00164DC2">
              <w:t>Certification, report-filing fee</w:t>
            </w:r>
          </w:p>
        </w:tc>
        <w:tc>
          <w:tcPr>
            <w:tcW w:w="14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tcPr>
          <w:p w14:paraId="14E565FD" w14:textId="77777777" w:rsidR="00164DC2" w:rsidRPr="00164DC2" w:rsidRDefault="00164DC2" w:rsidP="00164DC2">
            <w:pPr>
              <w:jc w:val="center"/>
            </w:pPr>
            <w:r w:rsidRPr="00164DC2">
              <w:t>$75</w:t>
            </w:r>
          </w:p>
        </w:tc>
        <w:tc>
          <w:tcPr>
            <w:tcW w:w="153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tcPr>
          <w:p w14:paraId="3F864672" w14:textId="77777777" w:rsidR="00164DC2" w:rsidRPr="00164DC2" w:rsidRDefault="00164DC2" w:rsidP="00164DC2">
            <w:pPr>
              <w:jc w:val="center"/>
            </w:pPr>
            <w:r w:rsidRPr="00164DC2">
              <w:t>$100</w:t>
            </w:r>
          </w:p>
        </w:tc>
        <w:tc>
          <w:tcPr>
            <w:tcW w:w="153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tcPr>
          <w:p w14:paraId="1D494B59" w14:textId="77777777" w:rsidR="00164DC2" w:rsidRPr="00164DC2" w:rsidRDefault="00164DC2" w:rsidP="00164DC2">
            <w:pPr>
              <w:jc w:val="center"/>
            </w:pPr>
            <w:r w:rsidRPr="00164DC2">
              <w:t>1/1/20</w:t>
            </w:r>
          </w:p>
        </w:tc>
        <w:tc>
          <w:tcPr>
            <w:tcW w:w="1440" w:type="dxa"/>
            <w:tcBorders>
              <w:top w:val="single" w:sz="12" w:space="0" w:color="000000" w:themeColor="text1"/>
              <w:left w:val="single" w:sz="12" w:space="0" w:color="000000" w:themeColor="text1"/>
              <w:bottom w:val="single" w:sz="12" w:space="0" w:color="000000" w:themeColor="text1"/>
            </w:tcBorders>
            <w:shd w:val="clear" w:color="auto" w:fill="auto"/>
            <w:vAlign w:val="center"/>
          </w:tcPr>
          <w:p w14:paraId="1FDC5732" w14:textId="77777777" w:rsidR="00164DC2" w:rsidRPr="00164DC2" w:rsidRDefault="00164DC2" w:rsidP="00164DC2">
            <w:pPr>
              <w:jc w:val="center"/>
            </w:pPr>
            <w:r w:rsidRPr="00164DC2">
              <w:t>$23,379</w:t>
            </w:r>
          </w:p>
        </w:tc>
        <w:tc>
          <w:tcPr>
            <w:tcW w:w="1530" w:type="dxa"/>
            <w:tcBorders>
              <w:top w:val="single" w:sz="12" w:space="0" w:color="000000" w:themeColor="text1"/>
              <w:left w:val="single" w:sz="12" w:space="0" w:color="000000" w:themeColor="text1"/>
              <w:bottom w:val="single" w:sz="12" w:space="0" w:color="000000" w:themeColor="text1"/>
            </w:tcBorders>
            <w:vAlign w:val="center"/>
          </w:tcPr>
          <w:p w14:paraId="6309E60A" w14:textId="77777777" w:rsidR="00164DC2" w:rsidRPr="00164DC2" w:rsidRDefault="00164DC2" w:rsidP="00164DC2">
            <w:pPr>
              <w:jc w:val="center"/>
            </w:pPr>
            <w:r w:rsidRPr="00164DC2">
              <w:t>$29,938</w:t>
            </w:r>
          </w:p>
        </w:tc>
      </w:tr>
      <w:tr w:rsidR="00164DC2" w:rsidRPr="00164DC2" w14:paraId="2E2D8EEC" w14:textId="77777777" w:rsidTr="00164DC2">
        <w:trPr>
          <w:jc w:val="center"/>
        </w:trPr>
        <w:tc>
          <w:tcPr>
            <w:tcW w:w="1777" w:type="dxa"/>
            <w:tcBorders>
              <w:top w:val="single" w:sz="12" w:space="0" w:color="000000" w:themeColor="text1"/>
              <w:bottom w:val="single" w:sz="12" w:space="0" w:color="000000" w:themeColor="text1"/>
              <w:right w:val="single" w:sz="12" w:space="0" w:color="000000" w:themeColor="text1"/>
            </w:tcBorders>
            <w:shd w:val="clear" w:color="auto" w:fill="FFFFFF" w:themeFill="background1"/>
            <w:vAlign w:val="center"/>
          </w:tcPr>
          <w:p w14:paraId="3E358693" w14:textId="77777777" w:rsidR="00164DC2" w:rsidRPr="00164DC2" w:rsidRDefault="00164DC2" w:rsidP="00164DC2">
            <w:r w:rsidRPr="00164DC2">
              <w:t>Certification, corrective action report-filing fee – Simple</w:t>
            </w:r>
          </w:p>
        </w:tc>
        <w:tc>
          <w:tcPr>
            <w:tcW w:w="14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tcPr>
          <w:p w14:paraId="26788F8B" w14:textId="77777777" w:rsidR="00164DC2" w:rsidRPr="00164DC2" w:rsidRDefault="00164DC2" w:rsidP="00164DC2">
            <w:pPr>
              <w:jc w:val="center"/>
            </w:pPr>
            <w:r w:rsidRPr="00164DC2">
              <w:t>$200</w:t>
            </w:r>
          </w:p>
        </w:tc>
        <w:tc>
          <w:tcPr>
            <w:tcW w:w="153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tcPr>
          <w:p w14:paraId="7A278EAD" w14:textId="77777777" w:rsidR="00164DC2" w:rsidRPr="00164DC2" w:rsidRDefault="00164DC2" w:rsidP="00164DC2">
            <w:pPr>
              <w:jc w:val="center"/>
            </w:pPr>
            <w:r w:rsidRPr="00164DC2">
              <w:t>$250</w:t>
            </w:r>
          </w:p>
        </w:tc>
        <w:tc>
          <w:tcPr>
            <w:tcW w:w="153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tcPr>
          <w:p w14:paraId="5A99721D" w14:textId="77777777" w:rsidR="00164DC2" w:rsidRPr="00164DC2" w:rsidRDefault="00164DC2" w:rsidP="00164DC2">
            <w:pPr>
              <w:jc w:val="center"/>
            </w:pPr>
            <w:r w:rsidRPr="00164DC2">
              <w:t>1/1/20</w:t>
            </w:r>
          </w:p>
        </w:tc>
        <w:tc>
          <w:tcPr>
            <w:tcW w:w="1440" w:type="dxa"/>
            <w:tcBorders>
              <w:top w:val="single" w:sz="12" w:space="0" w:color="000000" w:themeColor="text1"/>
              <w:left w:val="single" w:sz="12" w:space="0" w:color="000000" w:themeColor="text1"/>
              <w:bottom w:val="single" w:sz="12" w:space="0" w:color="000000" w:themeColor="text1"/>
            </w:tcBorders>
            <w:shd w:val="clear" w:color="auto" w:fill="auto"/>
            <w:vAlign w:val="center"/>
          </w:tcPr>
          <w:p w14:paraId="4BBBB8B2" w14:textId="77777777" w:rsidR="00164DC2" w:rsidRPr="00164DC2" w:rsidRDefault="00164DC2" w:rsidP="00164DC2">
            <w:pPr>
              <w:jc w:val="center"/>
            </w:pPr>
            <w:r w:rsidRPr="00164DC2">
              <w:t>$29,470</w:t>
            </w:r>
          </w:p>
        </w:tc>
        <w:tc>
          <w:tcPr>
            <w:tcW w:w="1530" w:type="dxa"/>
            <w:tcBorders>
              <w:top w:val="single" w:sz="12" w:space="0" w:color="000000" w:themeColor="text1"/>
              <w:left w:val="single" w:sz="12" w:space="0" w:color="000000" w:themeColor="text1"/>
              <w:bottom w:val="single" w:sz="12" w:space="0" w:color="000000" w:themeColor="text1"/>
            </w:tcBorders>
            <w:vAlign w:val="center"/>
          </w:tcPr>
          <w:p w14:paraId="7BA96FA9" w14:textId="77777777" w:rsidR="00164DC2" w:rsidRPr="00164DC2" w:rsidRDefault="00164DC2" w:rsidP="00164DC2">
            <w:pPr>
              <w:jc w:val="center"/>
            </w:pPr>
            <w:r w:rsidRPr="00164DC2">
              <w:t>$37,737</w:t>
            </w:r>
          </w:p>
        </w:tc>
      </w:tr>
      <w:tr w:rsidR="00164DC2" w:rsidRPr="00164DC2" w14:paraId="5E9FAB9D" w14:textId="77777777" w:rsidTr="00164DC2">
        <w:trPr>
          <w:jc w:val="center"/>
        </w:trPr>
        <w:tc>
          <w:tcPr>
            <w:tcW w:w="1777" w:type="dxa"/>
            <w:tcBorders>
              <w:top w:val="single" w:sz="12" w:space="0" w:color="000000" w:themeColor="text1"/>
              <w:bottom w:val="single" w:sz="12" w:space="0" w:color="000000" w:themeColor="text1"/>
              <w:right w:val="single" w:sz="12" w:space="0" w:color="000000" w:themeColor="text1"/>
            </w:tcBorders>
            <w:shd w:val="clear" w:color="auto" w:fill="FFFFFF" w:themeFill="background1"/>
            <w:vAlign w:val="center"/>
          </w:tcPr>
          <w:p w14:paraId="24D0B633" w14:textId="77777777" w:rsidR="00164DC2" w:rsidRPr="00164DC2" w:rsidRDefault="00164DC2" w:rsidP="00164DC2">
            <w:r w:rsidRPr="00164DC2">
              <w:t>Certification corrective action report-filing fee – Intermediate</w:t>
            </w:r>
          </w:p>
        </w:tc>
        <w:tc>
          <w:tcPr>
            <w:tcW w:w="14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tcPr>
          <w:p w14:paraId="75EA7A6C" w14:textId="77777777" w:rsidR="00164DC2" w:rsidRPr="00164DC2" w:rsidRDefault="00164DC2" w:rsidP="00164DC2">
            <w:pPr>
              <w:jc w:val="center"/>
            </w:pPr>
            <w:r w:rsidRPr="00164DC2">
              <w:t>$200</w:t>
            </w:r>
          </w:p>
        </w:tc>
        <w:tc>
          <w:tcPr>
            <w:tcW w:w="153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tcPr>
          <w:p w14:paraId="3F676E68" w14:textId="77777777" w:rsidR="00164DC2" w:rsidRPr="00164DC2" w:rsidRDefault="00164DC2" w:rsidP="00164DC2">
            <w:pPr>
              <w:jc w:val="center"/>
            </w:pPr>
            <w:r w:rsidRPr="00164DC2">
              <w:t>$350</w:t>
            </w:r>
          </w:p>
        </w:tc>
        <w:tc>
          <w:tcPr>
            <w:tcW w:w="153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tcPr>
          <w:p w14:paraId="7E035848" w14:textId="77777777" w:rsidR="00164DC2" w:rsidRPr="00164DC2" w:rsidRDefault="00164DC2" w:rsidP="00164DC2">
            <w:pPr>
              <w:jc w:val="center"/>
            </w:pPr>
            <w:r w:rsidRPr="00164DC2">
              <w:t>1/1/20</w:t>
            </w:r>
          </w:p>
        </w:tc>
        <w:tc>
          <w:tcPr>
            <w:tcW w:w="1440" w:type="dxa"/>
            <w:tcBorders>
              <w:top w:val="single" w:sz="12" w:space="0" w:color="000000" w:themeColor="text1"/>
              <w:left w:val="single" w:sz="12" w:space="0" w:color="000000" w:themeColor="text1"/>
              <w:bottom w:val="single" w:sz="12" w:space="0" w:color="000000" w:themeColor="text1"/>
            </w:tcBorders>
            <w:shd w:val="clear" w:color="auto" w:fill="auto"/>
            <w:vAlign w:val="center"/>
          </w:tcPr>
          <w:p w14:paraId="615EAD74" w14:textId="77777777" w:rsidR="00164DC2" w:rsidRPr="00164DC2" w:rsidRDefault="00164DC2" w:rsidP="00164DC2">
            <w:pPr>
              <w:jc w:val="center"/>
            </w:pPr>
            <w:r w:rsidRPr="00164DC2">
              <w:t>$75,050</w:t>
            </w:r>
          </w:p>
        </w:tc>
        <w:tc>
          <w:tcPr>
            <w:tcW w:w="1530" w:type="dxa"/>
            <w:tcBorders>
              <w:top w:val="single" w:sz="12" w:space="0" w:color="000000" w:themeColor="text1"/>
              <w:left w:val="single" w:sz="12" w:space="0" w:color="000000" w:themeColor="text1"/>
              <w:bottom w:val="single" w:sz="12" w:space="0" w:color="000000" w:themeColor="text1"/>
            </w:tcBorders>
            <w:vAlign w:val="center"/>
          </w:tcPr>
          <w:p w14:paraId="0831192E" w14:textId="77777777" w:rsidR="00164DC2" w:rsidRPr="00164DC2" w:rsidRDefault="00164DC2" w:rsidP="00164DC2">
            <w:pPr>
              <w:jc w:val="center"/>
            </w:pPr>
            <w:r w:rsidRPr="00164DC2">
              <w:t>$96,104</w:t>
            </w:r>
          </w:p>
        </w:tc>
      </w:tr>
      <w:tr w:rsidR="00164DC2" w:rsidRPr="00164DC2" w14:paraId="033202F6" w14:textId="77777777" w:rsidTr="00164DC2">
        <w:trPr>
          <w:jc w:val="center"/>
        </w:trPr>
        <w:tc>
          <w:tcPr>
            <w:tcW w:w="1777" w:type="dxa"/>
            <w:tcBorders>
              <w:top w:val="single" w:sz="12" w:space="0" w:color="000000" w:themeColor="text1"/>
              <w:bottom w:val="single" w:sz="12" w:space="0" w:color="000000" w:themeColor="text1"/>
              <w:right w:val="single" w:sz="12" w:space="0" w:color="000000" w:themeColor="text1"/>
            </w:tcBorders>
            <w:shd w:val="clear" w:color="auto" w:fill="FFFFFF" w:themeFill="background1"/>
            <w:vAlign w:val="center"/>
          </w:tcPr>
          <w:p w14:paraId="2E877ED4" w14:textId="77777777" w:rsidR="00164DC2" w:rsidRPr="00164DC2" w:rsidRDefault="00164DC2" w:rsidP="00164DC2">
            <w:r w:rsidRPr="00164DC2">
              <w:t>Certification corrective action report-filing fee – Complex</w:t>
            </w:r>
          </w:p>
        </w:tc>
        <w:tc>
          <w:tcPr>
            <w:tcW w:w="14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tcPr>
          <w:p w14:paraId="1F1947DC" w14:textId="77777777" w:rsidR="00164DC2" w:rsidRPr="00164DC2" w:rsidRDefault="00164DC2" w:rsidP="00164DC2">
            <w:pPr>
              <w:jc w:val="center"/>
            </w:pPr>
            <w:r w:rsidRPr="00164DC2">
              <w:t>$200</w:t>
            </w:r>
          </w:p>
        </w:tc>
        <w:tc>
          <w:tcPr>
            <w:tcW w:w="153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tcPr>
          <w:p w14:paraId="27E68948" w14:textId="77777777" w:rsidR="00164DC2" w:rsidRPr="00164DC2" w:rsidRDefault="00164DC2" w:rsidP="00164DC2">
            <w:pPr>
              <w:jc w:val="center"/>
            </w:pPr>
            <w:r w:rsidRPr="00164DC2">
              <w:t>$450</w:t>
            </w:r>
          </w:p>
        </w:tc>
        <w:tc>
          <w:tcPr>
            <w:tcW w:w="153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tcPr>
          <w:p w14:paraId="522D5823" w14:textId="77777777" w:rsidR="00164DC2" w:rsidRPr="00164DC2" w:rsidRDefault="00164DC2" w:rsidP="00164DC2">
            <w:pPr>
              <w:jc w:val="center"/>
            </w:pPr>
            <w:r w:rsidRPr="00164DC2">
              <w:t>1/1/20</w:t>
            </w:r>
          </w:p>
        </w:tc>
        <w:tc>
          <w:tcPr>
            <w:tcW w:w="1440" w:type="dxa"/>
            <w:tcBorders>
              <w:top w:val="single" w:sz="12" w:space="0" w:color="000000" w:themeColor="text1"/>
              <w:left w:val="single" w:sz="12" w:space="0" w:color="000000" w:themeColor="text1"/>
              <w:bottom w:val="single" w:sz="12" w:space="0" w:color="000000" w:themeColor="text1"/>
            </w:tcBorders>
            <w:shd w:val="clear" w:color="auto" w:fill="auto"/>
            <w:vAlign w:val="center"/>
          </w:tcPr>
          <w:p w14:paraId="309B0D68" w14:textId="77777777" w:rsidR="00164DC2" w:rsidRPr="00164DC2" w:rsidRDefault="00164DC2" w:rsidP="00164DC2">
            <w:pPr>
              <w:jc w:val="center"/>
            </w:pPr>
            <w:r w:rsidRPr="00164DC2">
              <w:t>$256,060</w:t>
            </w:r>
          </w:p>
        </w:tc>
        <w:tc>
          <w:tcPr>
            <w:tcW w:w="1530" w:type="dxa"/>
            <w:tcBorders>
              <w:top w:val="single" w:sz="12" w:space="0" w:color="000000" w:themeColor="text1"/>
              <w:left w:val="single" w:sz="12" w:space="0" w:color="000000" w:themeColor="text1"/>
              <w:bottom w:val="single" w:sz="12" w:space="0" w:color="000000" w:themeColor="text1"/>
            </w:tcBorders>
            <w:vAlign w:val="center"/>
          </w:tcPr>
          <w:p w14:paraId="475E2EB0" w14:textId="77777777" w:rsidR="00164DC2" w:rsidRPr="00164DC2" w:rsidRDefault="00164DC2" w:rsidP="00164DC2">
            <w:pPr>
              <w:jc w:val="center"/>
            </w:pPr>
            <w:r w:rsidRPr="00164DC2">
              <w:t>$327,893</w:t>
            </w:r>
          </w:p>
        </w:tc>
      </w:tr>
      <w:tr w:rsidR="00164DC2" w:rsidRPr="00164DC2" w14:paraId="3E2C788B" w14:textId="77777777" w:rsidTr="00164DC2">
        <w:trPr>
          <w:trHeight w:val="609"/>
          <w:jc w:val="center"/>
        </w:trPr>
        <w:tc>
          <w:tcPr>
            <w:tcW w:w="6277" w:type="dxa"/>
            <w:gridSpan w:val="4"/>
            <w:tcBorders>
              <w:top w:val="single" w:sz="12" w:space="0" w:color="000000" w:themeColor="text1"/>
              <w:bottom w:val="single" w:sz="18" w:space="0" w:color="000000" w:themeColor="text1"/>
              <w:right w:val="single" w:sz="12" w:space="0" w:color="000000" w:themeColor="text1"/>
            </w:tcBorders>
            <w:shd w:val="clear" w:color="auto" w:fill="FFFFFF" w:themeFill="background1"/>
            <w:vAlign w:val="center"/>
          </w:tcPr>
          <w:p w14:paraId="30A855DC" w14:textId="77777777" w:rsidR="00164DC2" w:rsidRPr="00164DC2" w:rsidRDefault="00164DC2" w:rsidP="00164DC2">
            <w:pPr>
              <w:rPr>
                <w:b/>
              </w:rPr>
            </w:pPr>
          </w:p>
          <w:p w14:paraId="44F29F22" w14:textId="77777777" w:rsidR="00164DC2" w:rsidRPr="00164DC2" w:rsidRDefault="00164DC2" w:rsidP="00164DC2">
            <w:pPr>
              <w:rPr>
                <w:b/>
              </w:rPr>
            </w:pPr>
            <w:r w:rsidRPr="00164DC2">
              <w:rPr>
                <w:b/>
              </w:rPr>
              <w:t>Total</w:t>
            </w:r>
          </w:p>
          <w:p w14:paraId="2ACFAD66" w14:textId="77777777" w:rsidR="00164DC2" w:rsidRPr="00164DC2" w:rsidRDefault="00164DC2" w:rsidP="00164DC2">
            <w:pPr>
              <w:jc w:val="center"/>
            </w:pPr>
          </w:p>
        </w:tc>
        <w:tc>
          <w:tcPr>
            <w:tcW w:w="1440" w:type="dxa"/>
            <w:tcBorders>
              <w:top w:val="single" w:sz="12" w:space="0" w:color="000000" w:themeColor="text1"/>
              <w:left w:val="single" w:sz="12" w:space="0" w:color="000000" w:themeColor="text1"/>
              <w:bottom w:val="single" w:sz="18" w:space="0" w:color="000000" w:themeColor="text1"/>
            </w:tcBorders>
            <w:shd w:val="clear" w:color="auto" w:fill="auto"/>
            <w:vAlign w:val="center"/>
          </w:tcPr>
          <w:p w14:paraId="7C3BF7EB" w14:textId="77777777" w:rsidR="00164DC2" w:rsidRPr="00164DC2" w:rsidRDefault="00164DC2" w:rsidP="00164DC2">
            <w:pPr>
              <w:jc w:val="center"/>
              <w:rPr>
                <w:b/>
              </w:rPr>
            </w:pPr>
            <w:r w:rsidRPr="00164DC2">
              <w:rPr>
                <w:b/>
              </w:rPr>
              <w:t>$383,959</w:t>
            </w:r>
          </w:p>
        </w:tc>
        <w:tc>
          <w:tcPr>
            <w:tcW w:w="1530" w:type="dxa"/>
            <w:tcBorders>
              <w:top w:val="single" w:sz="12" w:space="0" w:color="000000" w:themeColor="text1"/>
              <w:left w:val="single" w:sz="12" w:space="0" w:color="000000" w:themeColor="text1"/>
              <w:bottom w:val="single" w:sz="18" w:space="0" w:color="000000" w:themeColor="text1"/>
            </w:tcBorders>
            <w:vAlign w:val="center"/>
          </w:tcPr>
          <w:p w14:paraId="23A2F8B8" w14:textId="77777777" w:rsidR="00164DC2" w:rsidRPr="00164DC2" w:rsidRDefault="00164DC2" w:rsidP="00164DC2">
            <w:pPr>
              <w:jc w:val="center"/>
              <w:rPr>
                <w:b/>
              </w:rPr>
            </w:pPr>
            <w:r w:rsidRPr="00164DC2">
              <w:rPr>
                <w:b/>
              </w:rPr>
              <w:t>$513,872</w:t>
            </w:r>
          </w:p>
        </w:tc>
      </w:tr>
    </w:tbl>
    <w:p w14:paraId="4B195432" w14:textId="77777777" w:rsidR="00164DC2" w:rsidRPr="00164DC2" w:rsidRDefault="00164DC2" w:rsidP="00164DC2"/>
    <w:p w14:paraId="25BFEAFE" w14:textId="77777777" w:rsidR="00164DC2" w:rsidRPr="00164DC2" w:rsidRDefault="00164DC2" w:rsidP="00164DC2"/>
    <w:p w14:paraId="4EA6CA2B" w14:textId="77777777" w:rsidR="00164DC2" w:rsidRPr="00164DC2" w:rsidRDefault="00164DC2" w:rsidP="00164DC2"/>
    <w:p w14:paraId="6EF2218E" w14:textId="77777777" w:rsidR="002F2F6F" w:rsidRDefault="002F2F6F" w:rsidP="002F2F6F">
      <w:r>
        <w:br w:type="page"/>
      </w:r>
    </w:p>
    <w:p w14:paraId="59FE34E7" w14:textId="77777777" w:rsidR="002F2F6F" w:rsidRPr="003C26EE" w:rsidRDefault="002F2F6F" w:rsidP="002F2F6F">
      <w:pPr>
        <w:sectPr w:rsidR="002F2F6F" w:rsidRPr="003C26EE" w:rsidSect="00A112DA">
          <w:pgSz w:w="12240" w:h="15840"/>
          <w:pgMar w:top="1440" w:right="1440" w:bottom="1440" w:left="1440" w:header="720" w:footer="720" w:gutter="432"/>
          <w:cols w:space="720"/>
          <w:docGrid w:linePitch="360"/>
        </w:sectPr>
      </w:pPr>
    </w:p>
    <w:p w14:paraId="0840668D" w14:textId="2D09B495" w:rsidR="002F2F6F" w:rsidRPr="003C26EE" w:rsidRDefault="00164DC2" w:rsidP="002F2F6F">
      <w:pPr>
        <w:pStyle w:val="Heading1"/>
      </w:pPr>
      <w:bookmarkStart w:id="15" w:name="_Toc3988350"/>
      <w:bookmarkStart w:id="16" w:name="_Toc4051282"/>
      <w:r>
        <w:lastRenderedPageBreak/>
        <w:t>Statement of F</w:t>
      </w:r>
      <w:r w:rsidR="002F2F6F" w:rsidRPr="003C26EE">
        <w:t xml:space="preserve">iscal and </w:t>
      </w:r>
      <w:r>
        <w:t>Economic I</w:t>
      </w:r>
      <w:r w:rsidR="002F2F6F" w:rsidRPr="003C26EE">
        <w:t>mpact</w:t>
      </w:r>
      <w:bookmarkEnd w:id="15"/>
      <w:bookmarkEnd w:id="16"/>
    </w:p>
    <w:p w14:paraId="29AAE087" w14:textId="77777777" w:rsidR="002F2F6F" w:rsidRDefault="002F2F6F" w:rsidP="002F2F6F">
      <w:pPr>
        <w:rPr>
          <w:rStyle w:val="instructionsChar"/>
        </w:rPr>
      </w:pPr>
      <w:r>
        <w:rPr>
          <w:rStyle w:val="instructionsChar"/>
        </w:rPr>
        <w:t>Copy and paste from Notice of Rulemaking.</w:t>
      </w:r>
    </w:p>
    <w:p w14:paraId="1B746274" w14:textId="77777777" w:rsidR="002F2F6F" w:rsidRDefault="002F2F6F" w:rsidP="002F2F6F">
      <w:pPr>
        <w:rPr>
          <w:rStyle w:val="instructionsChar"/>
        </w:rPr>
      </w:pPr>
    </w:p>
    <w:p w14:paraId="5AF1B396" w14:textId="77777777" w:rsidR="002F2F6F" w:rsidRDefault="002F2F6F" w:rsidP="002F2F6F">
      <w:r w:rsidRPr="001404B0">
        <w:rPr>
          <w:noProof/>
        </w:rPr>
        <mc:AlternateContent>
          <mc:Choice Requires="wps">
            <w:drawing>
              <wp:inline distT="0" distB="0" distL="0" distR="0" wp14:anchorId="2C7648BA" wp14:editId="50D0E588">
                <wp:extent cx="4478866" cy="1009650"/>
                <wp:effectExtent l="0" t="0" r="17145" b="19050"/>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8866" cy="1009650"/>
                        </a:xfrm>
                        <a:prstGeom prst="rect">
                          <a:avLst/>
                        </a:prstGeom>
                        <a:solidFill>
                          <a:schemeClr val="bg1">
                            <a:lumMod val="85000"/>
                            <a:lumOff val="0"/>
                          </a:schemeClr>
                        </a:solidFill>
                        <a:ln w="9525">
                          <a:solidFill>
                            <a:srgbClr val="000000"/>
                          </a:solidFill>
                          <a:miter lim="800000"/>
                          <a:headEnd/>
                          <a:tailEnd/>
                        </a:ln>
                      </wps:spPr>
                      <wps:txbx>
                        <w:txbxContent>
                          <w:p w14:paraId="441FB46F" w14:textId="77777777" w:rsidR="00DB67D2" w:rsidRPr="001A4DE1" w:rsidRDefault="00DB67D2" w:rsidP="002F2F6F">
                            <w:pPr>
                              <w:rPr>
                                <w:rFonts w:asciiTheme="minorHAnsi" w:hAnsiTheme="minorHAnsi" w:cstheme="minorHAnsi"/>
                                <w:b/>
                              </w:rPr>
                            </w:pPr>
                            <w:r w:rsidRPr="00F9567F">
                              <w:rPr>
                                <w:rFonts w:asciiTheme="minorHAnsi" w:hAnsiTheme="minorHAnsi" w:cstheme="minorHAnsi"/>
                                <w:b/>
                                <w:color w:val="FF0000"/>
                              </w:rPr>
                              <w:t>REVIEWERS</w:t>
                            </w:r>
                            <w:r w:rsidRPr="001A4DE1">
                              <w:rPr>
                                <w:rFonts w:asciiTheme="minorHAnsi" w:hAnsiTheme="minorHAnsi" w:cstheme="minorHAnsi"/>
                                <w:b/>
                              </w:rPr>
                              <w:t xml:space="preserve"> do not edit or modify this section </w:t>
                            </w:r>
                          </w:p>
                          <w:p w14:paraId="0F59D740" w14:textId="77777777" w:rsidR="00DB67D2" w:rsidRDefault="00DB67D2" w:rsidP="002F2F6F">
                            <w:pPr>
                              <w:outlineLvl w:val="9"/>
                            </w:pPr>
                            <w:r w:rsidRPr="001A4DE1">
                              <w:rPr>
                                <w:rFonts w:asciiTheme="minorHAnsi" w:hAnsiTheme="minorHAnsi" w:cstheme="minorHAnsi"/>
                              </w:rPr>
                              <w:t xml:space="preserve"> </w:t>
                            </w:r>
                            <w:r>
                              <w:rPr>
                                <w:rFonts w:asciiTheme="minorHAnsi" w:hAnsiTheme="minorHAnsi" w:cstheme="minorHAnsi"/>
                              </w:rPr>
                              <w:t xml:space="preserve">Management reviewed and edited this section. It was then published with the Public Notice. </w:t>
                            </w:r>
                            <w:r w:rsidRPr="001A4DE1">
                              <w:rPr>
                                <w:rFonts w:asciiTheme="minorHAnsi" w:hAnsiTheme="minorHAnsi" w:cstheme="minorHAnsi"/>
                              </w:rPr>
                              <w:t xml:space="preserve">Do not modify it except to correct typographical errors. </w:t>
                            </w:r>
                          </w:p>
                        </w:txbxContent>
                      </wps:txbx>
                      <wps:bodyPr rot="0" vert="horz" wrap="square" lIns="91440" tIns="91440" rIns="91440" bIns="91440" anchor="ctr" anchorCtr="0" upright="1">
                        <a:noAutofit/>
                      </wps:bodyPr>
                    </wps:wsp>
                  </a:graphicData>
                </a:graphic>
              </wp:inline>
            </w:drawing>
          </mc:Choice>
          <mc:Fallback>
            <w:pict>
              <v:shape w14:anchorId="2C7648BA" id="_x0000_s1030" type="#_x0000_t202" style="width:352.65pt;height:7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WFfSAIAAJEEAAAOAAAAZHJzL2Uyb0RvYy54bWysVNtu2zAMfR+wfxD0vtoJkiwx6hRdug4D&#10;ugvQ7gNkWbaFSaImKbG7rx8lJVm6vQ17MUSKOjw8JH19M2lFDsJ5Caams6uSEmE4tNL0Nf32dP9m&#10;TYkPzLRMgRE1fRae3mxfv7oebSXmMIBqhSMIYnw12poOIdiqKDwfhGb+CqwweNmB0yyg6fqidWxE&#10;dK2KeVmuihFcax1w4T167/Il3Sb8rhM8fOk6LwJRNUVuIX1d+jbxW2yvWdU7ZgfJjzTYP7DQTBpM&#10;eoa6Y4GRvZN/QWnJHXjowhUHXUDXSS5SDVjNrPyjmseBWZFqQXG8Pcvk/x8s/3z46ohssXcoj2Ea&#10;e/QkpkDewURmUZ7R+gqjHi3GhQndGJpK9fYB+HdPDOwGZnpx6xyMg2At0ksvi4unGcdHkGb8BC2m&#10;YfsACWjqnI7aoRoE0ZHH87k1kQpH52Lxdr1erSjheDcry81qmZpXsOr03DofPgjQJB5q6rD3CZ4d&#10;HnzAQjD0FBKzeVCyvZdKJSPOm9gpRw4MJ6Xpc4lqr5Fr9q2XZXmcF3TjVGX3iUWa2IiQEr0AV4aM&#10;Nd0s58us24vErm/OaTHBMQdyfQGhZcA1UVLXdH0OYlVU+71p0xAHJlU+42NlkEaUPyqetQ9TM6VG&#10;L09dbaB9xn44yFuBW4yHAdxPSkbciJr6H3vmBCXqo8GebmaLRVyhS8NdGs2lwQxHqJry4CjJxi7k&#10;xdtbJ/sBc2WRDdziJHQy9ShyzryOBeDcJ0WPOxoX69JOUb//JNtfAAAA//8DAFBLAwQUAAYACAAA&#10;ACEA7LHO9doAAAAFAQAADwAAAGRycy9kb3ducmV2LnhtbEyPQUvDQBCF74L/YRnBm92oVGuaTSmC&#10;OQo2gtdtdpINzc6G3W2T+usdvdjLg+E93vum2MxuECcMsfek4H6RgUBqvOmpU/BZv92tQMSkyejB&#10;Eyo4Y4RNeX1V6Nz4iT7wtEud4BKKuVZgUxpzKWNj0em48CMSe60PTic+QydN0BOXu0E+ZNmTdLon&#10;XrB6xFeLzWF3dArSOXxN8/d7O7aVs261rauqrpW6vZm3axAJ5/Qfhl98RoeSmfb+SCaKQQE/kv6U&#10;veds+Qhiz6HlSwayLOQlffkDAAD//wMAUEsBAi0AFAAGAAgAAAAhALaDOJL+AAAA4QEAABMAAAAA&#10;AAAAAAAAAAAAAAAAAFtDb250ZW50X1R5cGVzXS54bWxQSwECLQAUAAYACAAAACEAOP0h/9YAAACU&#10;AQAACwAAAAAAAAAAAAAAAAAvAQAAX3JlbHMvLnJlbHNQSwECLQAUAAYACAAAACEAel1hX0gCAACR&#10;BAAADgAAAAAAAAAAAAAAAAAuAgAAZHJzL2Uyb0RvYy54bWxQSwECLQAUAAYACAAAACEA7LHO9doA&#10;AAAFAQAADwAAAAAAAAAAAAAAAACiBAAAZHJzL2Rvd25yZXYueG1sUEsFBgAAAAAEAAQA8wAAAKkF&#10;AAAAAA==&#10;" fillcolor="#d8d8d8 [2732]">
                <v:textbox inset=",7.2pt,,7.2pt">
                  <w:txbxContent>
                    <w:p w14:paraId="441FB46F" w14:textId="77777777" w:rsidR="00DB67D2" w:rsidRPr="001A4DE1" w:rsidRDefault="00DB67D2" w:rsidP="002F2F6F">
                      <w:pPr>
                        <w:rPr>
                          <w:rFonts w:asciiTheme="minorHAnsi" w:hAnsiTheme="minorHAnsi" w:cstheme="minorHAnsi"/>
                          <w:b/>
                        </w:rPr>
                      </w:pPr>
                      <w:r w:rsidRPr="00F9567F">
                        <w:rPr>
                          <w:rFonts w:asciiTheme="minorHAnsi" w:hAnsiTheme="minorHAnsi" w:cstheme="minorHAnsi"/>
                          <w:b/>
                          <w:color w:val="FF0000"/>
                        </w:rPr>
                        <w:t>REVIEWERS</w:t>
                      </w:r>
                      <w:r w:rsidRPr="001A4DE1">
                        <w:rPr>
                          <w:rFonts w:asciiTheme="minorHAnsi" w:hAnsiTheme="minorHAnsi" w:cstheme="minorHAnsi"/>
                          <w:b/>
                        </w:rPr>
                        <w:t xml:space="preserve"> do not edit or modify this section </w:t>
                      </w:r>
                    </w:p>
                    <w:p w14:paraId="0F59D740" w14:textId="77777777" w:rsidR="00DB67D2" w:rsidRDefault="00DB67D2" w:rsidP="002F2F6F">
                      <w:pPr>
                        <w:outlineLvl w:val="9"/>
                      </w:pPr>
                      <w:r w:rsidRPr="001A4DE1">
                        <w:rPr>
                          <w:rFonts w:asciiTheme="minorHAnsi" w:hAnsiTheme="minorHAnsi" w:cstheme="minorHAnsi"/>
                        </w:rPr>
                        <w:t xml:space="preserve"> </w:t>
                      </w:r>
                      <w:r>
                        <w:rPr>
                          <w:rFonts w:asciiTheme="minorHAnsi" w:hAnsiTheme="minorHAnsi" w:cstheme="minorHAnsi"/>
                        </w:rPr>
                        <w:t xml:space="preserve">Management reviewed and edited this section. It was then published with the Public Notice. </w:t>
                      </w:r>
                      <w:r w:rsidRPr="001A4DE1">
                        <w:rPr>
                          <w:rFonts w:asciiTheme="minorHAnsi" w:hAnsiTheme="minorHAnsi" w:cstheme="minorHAnsi"/>
                        </w:rPr>
                        <w:t xml:space="preserve">Do not modify it except to correct typographical errors. </w:t>
                      </w:r>
                    </w:p>
                  </w:txbxContent>
                </v:textbox>
                <w10:anchorlock/>
              </v:shape>
            </w:pict>
          </mc:Fallback>
        </mc:AlternateContent>
      </w:r>
    </w:p>
    <w:p w14:paraId="04A36C53" w14:textId="77777777" w:rsidR="002F2F6F" w:rsidRDefault="002F2F6F" w:rsidP="002F2F6F"/>
    <w:p w14:paraId="418DA89E" w14:textId="48371B20" w:rsidR="00164DC2" w:rsidRPr="00164DC2" w:rsidRDefault="00164DC2" w:rsidP="00164DC2">
      <w:r w:rsidRPr="00B65827">
        <w:rPr>
          <w:rFonts w:ascii="Arial" w:hAnsi="Arial" w:cstheme="majorBidi"/>
          <w:b/>
          <w:bCs/>
          <w:sz w:val="32"/>
          <w:szCs w:val="26"/>
        </w:rPr>
        <w:t>Fiscal and economic impact</w:t>
      </w:r>
    </w:p>
    <w:p w14:paraId="728A7B14" w14:textId="77777777" w:rsidR="00164DC2" w:rsidRPr="00B65827" w:rsidRDefault="00164DC2" w:rsidP="00164DC2">
      <w:pPr>
        <w:rPr>
          <w:highlight w:val="yellow"/>
        </w:rPr>
      </w:pPr>
    </w:p>
    <w:p w14:paraId="45A0AB9F" w14:textId="77777777" w:rsidR="00164DC2" w:rsidRPr="00B65827" w:rsidRDefault="00164DC2" w:rsidP="00164DC2">
      <w:r w:rsidRPr="00B65827">
        <w:t>The proposed permanent rule amendments will increase HOT program licensure fees for small businesses and individuals conducting HOT decommissioning work in Oregon. The proposed amendments will also increase report-filing fees for the work. This includes certified reports for HOT decommissions with no confirmed release (“clean decommission”) and tiered-fee increases based on complexity for HOT decommissions that require cleanup</w:t>
      </w:r>
      <w:r>
        <w:t>,</w:t>
      </w:r>
      <w:r w:rsidRPr="00B65827">
        <w:t xml:space="preserve"> or corrective action, or both. The accepted fee increases will apply to HOT program fees assessed on and after Jan</w:t>
      </w:r>
      <w:r>
        <w:t>uary</w:t>
      </w:r>
      <w:r w:rsidRPr="00B65827">
        <w:t xml:space="preserve"> 1, 2020. </w:t>
      </w:r>
    </w:p>
    <w:p w14:paraId="3FE4C841" w14:textId="77777777" w:rsidR="00164DC2" w:rsidRPr="00B65827" w:rsidRDefault="00164DC2" w:rsidP="00164DC2">
      <w:r w:rsidRPr="00B65827">
        <w:tab/>
      </w:r>
    </w:p>
    <w:p w14:paraId="46E3491E" w14:textId="77777777" w:rsidR="00164DC2" w:rsidRPr="00B65827" w:rsidRDefault="00164DC2" w:rsidP="00164DC2">
      <w:pPr>
        <w:keepNext/>
        <w:keepLines/>
        <w:outlineLvl w:val="1"/>
        <w:rPr>
          <w:rFonts w:ascii="Arial" w:hAnsi="Arial" w:cstheme="majorBidi"/>
          <w:b/>
          <w:bCs/>
          <w:sz w:val="32"/>
          <w:szCs w:val="26"/>
        </w:rPr>
      </w:pPr>
      <w:r w:rsidRPr="00B65827">
        <w:rPr>
          <w:rFonts w:ascii="Arial" w:hAnsi="Arial" w:cstheme="majorBidi"/>
          <w:b/>
          <w:bCs/>
          <w:sz w:val="32"/>
          <w:szCs w:val="26"/>
        </w:rPr>
        <w:t>Statement of cost of compliance</w:t>
      </w:r>
      <w:r w:rsidRPr="00B65827">
        <w:rPr>
          <w:rFonts w:ascii="Arial" w:hAnsi="Arial" w:cstheme="majorBidi"/>
          <w:b/>
          <w:bCs/>
          <w:sz w:val="32"/>
          <w:szCs w:val="26"/>
        </w:rPr>
        <w:tab/>
        <w:t xml:space="preserve">  </w:t>
      </w:r>
    </w:p>
    <w:p w14:paraId="1878E622" w14:textId="77777777" w:rsidR="00164DC2" w:rsidRPr="00B65827" w:rsidRDefault="00164DC2" w:rsidP="00164DC2"/>
    <w:p w14:paraId="71215ED8" w14:textId="77777777" w:rsidR="00164DC2" w:rsidRPr="00B65827" w:rsidRDefault="00164DC2" w:rsidP="00164DC2">
      <w:r w:rsidRPr="00B65827">
        <w:t>All entities that conduct a HOT decommissioning project must pay the appropriate report filing fee. These parties will experience a slight increase in direct costs with modified report filing fees. They may also experience indirect impacts from the cost of increased HOT service provider license fees. Contractors may decide to pass this cost on to customers through increasing the overall price of HOT decommission work. DEQ cannot quantify these potential transferred costs. However, they are expected to comprise a small fraction of the average project cost of $1,824 for clean decommissioning or $5,271 for cleanup. Parties subject to these costs include local governments and schools, large and small businesses and the public.</w:t>
      </w:r>
    </w:p>
    <w:p w14:paraId="28408306" w14:textId="77777777" w:rsidR="00164DC2" w:rsidRPr="00B65827" w:rsidRDefault="00164DC2" w:rsidP="00164DC2"/>
    <w:p w14:paraId="4DEF4F13" w14:textId="77777777" w:rsidR="00164DC2" w:rsidRPr="00B65827" w:rsidRDefault="00164DC2" w:rsidP="00164DC2">
      <w:pPr>
        <w:keepNext/>
        <w:keepLines/>
        <w:outlineLvl w:val="2"/>
        <w:rPr>
          <w:rFonts w:ascii="Arial" w:eastAsiaTheme="majorEastAsia" w:hAnsi="Arial" w:cstheme="majorBidi"/>
          <w:b/>
          <w:sz w:val="28"/>
        </w:rPr>
      </w:pPr>
      <w:r w:rsidRPr="00B65827">
        <w:rPr>
          <w:rFonts w:ascii="Arial" w:eastAsiaTheme="majorEastAsia" w:hAnsi="Arial" w:cstheme="majorBidi"/>
          <w:b/>
          <w:sz w:val="28"/>
        </w:rPr>
        <w:t>DEQ</w:t>
      </w:r>
    </w:p>
    <w:p w14:paraId="70B97A32" w14:textId="77777777" w:rsidR="00164DC2" w:rsidRPr="00B65827" w:rsidRDefault="00164DC2" w:rsidP="00164DC2">
      <w:pPr>
        <w:ind w:left="720"/>
        <w:rPr>
          <w:bCs/>
          <w:color w:val="auto"/>
          <w:szCs w:val="32"/>
        </w:rPr>
      </w:pPr>
    </w:p>
    <w:p w14:paraId="1691B864" w14:textId="77777777" w:rsidR="00164DC2" w:rsidRPr="00B65827" w:rsidRDefault="00164DC2" w:rsidP="00164DC2">
      <w:pPr>
        <w:rPr>
          <w:bCs/>
          <w:color w:val="auto"/>
          <w:szCs w:val="32"/>
        </w:rPr>
      </w:pPr>
      <w:r w:rsidRPr="00B65827">
        <w:rPr>
          <w:bCs/>
          <w:color w:val="auto"/>
          <w:szCs w:val="32"/>
        </w:rPr>
        <w:t>DEQ anticipates adopting the proposed rule amendments will have a minimal impact on agency expenditures. Costs may temporarily increase with agency staff training and outreach following the rule amendments. Since the agency already disseminates HOT program information through the HOT Service Provider Bulletin, it expects any subsequent cost increases to be nominal.</w:t>
      </w:r>
    </w:p>
    <w:p w14:paraId="6F5BA147" w14:textId="77777777" w:rsidR="00164DC2" w:rsidRPr="00B65827" w:rsidRDefault="00164DC2" w:rsidP="00164DC2"/>
    <w:p w14:paraId="29470F8A" w14:textId="77777777" w:rsidR="00164DC2" w:rsidRPr="00B65827" w:rsidRDefault="00164DC2" w:rsidP="00164DC2">
      <w:pPr>
        <w:keepNext/>
        <w:keepLines/>
        <w:outlineLvl w:val="2"/>
        <w:rPr>
          <w:rFonts w:ascii="Arial" w:eastAsiaTheme="majorEastAsia" w:hAnsi="Arial" w:cstheme="majorBidi"/>
          <w:b/>
          <w:sz w:val="28"/>
        </w:rPr>
      </w:pPr>
      <w:r w:rsidRPr="00B65827">
        <w:rPr>
          <w:rFonts w:ascii="Arial" w:eastAsiaTheme="majorEastAsia" w:hAnsi="Arial" w:cstheme="majorBidi"/>
          <w:b/>
          <w:sz w:val="28"/>
        </w:rPr>
        <w:t>Small businesses – businesses with 50 or fewer employees</w:t>
      </w:r>
    </w:p>
    <w:p w14:paraId="262BE698" w14:textId="77777777" w:rsidR="00164DC2" w:rsidRPr="00B65827" w:rsidRDefault="00164DC2" w:rsidP="00164DC2"/>
    <w:p w14:paraId="7D3A174D" w14:textId="77777777" w:rsidR="00164DC2" w:rsidRPr="00B65827" w:rsidRDefault="00164DC2" w:rsidP="00164DC2">
      <w:r w:rsidRPr="00B65827">
        <w:t xml:space="preserve">Small businesses that need to contract HOT decommissioning work would have the direct and indirect costs previously described under </w:t>
      </w:r>
      <w:r w:rsidRPr="00B65827">
        <w:rPr>
          <w:b/>
        </w:rPr>
        <w:t>Statement of Cost of Compliance</w:t>
      </w:r>
      <w:r w:rsidRPr="00B65827">
        <w:t>.</w:t>
      </w:r>
    </w:p>
    <w:p w14:paraId="389CED1E" w14:textId="77777777" w:rsidR="00164DC2" w:rsidRPr="00B65827" w:rsidRDefault="00164DC2" w:rsidP="00164DC2"/>
    <w:p w14:paraId="77417362" w14:textId="77777777" w:rsidR="00164DC2" w:rsidRPr="00B65827" w:rsidRDefault="00164DC2" w:rsidP="00164DC2">
      <w:r w:rsidRPr="00B65827">
        <w:lastRenderedPageBreak/>
        <w:t>Small businesses that perform HOT work (service providers) will experience increases in direct costs associated with the modified licensure fees. To minimize immediate impact to small businesses, DEQ will gradually phase in the 12-month HOT service provider license fee increase between Jan</w:t>
      </w:r>
      <w:r>
        <w:t xml:space="preserve">uary </w:t>
      </w:r>
      <w:r w:rsidRPr="00B65827">
        <w:t xml:space="preserve">1, 2020 </w:t>
      </w:r>
      <w:r>
        <w:t xml:space="preserve">and </w:t>
      </w:r>
      <w:r w:rsidRPr="00B65827">
        <w:t>the end of year 2021</w:t>
      </w:r>
      <w:r>
        <w:t xml:space="preserve">. The total increase </w:t>
      </w:r>
      <w:r w:rsidRPr="00B65827">
        <w:t xml:space="preserve">of 33% from the current fee </w:t>
      </w:r>
      <w:r>
        <w:t xml:space="preserve">will </w:t>
      </w:r>
      <w:r w:rsidRPr="00B65827">
        <w:t>effective as of Jan</w:t>
      </w:r>
      <w:r>
        <w:t>uary</w:t>
      </w:r>
      <w:r w:rsidRPr="00B65827">
        <w:t xml:space="preserve"> 1, 2022. DEQ will increase the 24-month HOT supervisor license fee from $150 to $200. This also reflects a 33% increase from the current fee and will become effective Jan</w:t>
      </w:r>
      <w:r>
        <w:t>uary</w:t>
      </w:r>
      <w:r w:rsidRPr="00B65827">
        <w:t xml:space="preserve"> 1, 2020.</w:t>
      </w:r>
    </w:p>
    <w:p w14:paraId="24F46E7D" w14:textId="77777777" w:rsidR="00164DC2" w:rsidRPr="00B65827" w:rsidRDefault="00164DC2" w:rsidP="00164DC2"/>
    <w:p w14:paraId="503F7CDD" w14:textId="77777777" w:rsidR="00164DC2" w:rsidRPr="00B65827" w:rsidRDefault="00164DC2" w:rsidP="00164DC2">
      <w:pPr>
        <w:rPr>
          <w:rFonts w:ascii="Arial" w:hAnsi="Arial" w:cs="Arial"/>
          <w:b/>
        </w:rPr>
      </w:pPr>
      <w:r w:rsidRPr="00B65827">
        <w:rPr>
          <w:rFonts w:ascii="Arial" w:hAnsi="Arial" w:cs="Arial"/>
          <w:b/>
        </w:rPr>
        <w:t>ORS 183.336 Cost of compliance effect on small businesses</w:t>
      </w:r>
    </w:p>
    <w:p w14:paraId="2EA600C1" w14:textId="77777777" w:rsidR="00164DC2" w:rsidRPr="00B65827" w:rsidRDefault="00164DC2" w:rsidP="00164DC2"/>
    <w:p w14:paraId="3177B71E" w14:textId="77777777" w:rsidR="00164DC2" w:rsidRPr="00B65827" w:rsidRDefault="00164DC2" w:rsidP="00164DC2">
      <w:pPr>
        <w:numPr>
          <w:ilvl w:val="0"/>
          <w:numId w:val="27"/>
        </w:numPr>
        <w:contextualSpacing/>
        <w:rPr>
          <w:rFonts w:cs="Arial"/>
          <w:bCs/>
        </w:rPr>
      </w:pPr>
      <w:r w:rsidRPr="00B65827">
        <w:rPr>
          <w:rFonts w:ascii="Arial" w:hAnsi="Arial" w:cs="Arial"/>
          <w:b/>
          <w:bCs/>
        </w:rPr>
        <w:t>Estimated number of small businesses and types of businesses and industries with small businesses subject to proposed rule</w:t>
      </w:r>
    </w:p>
    <w:p w14:paraId="58B8CCEB" w14:textId="77777777" w:rsidR="00164DC2" w:rsidRPr="00B65827" w:rsidRDefault="00164DC2" w:rsidP="00164DC2">
      <w:pPr>
        <w:ind w:left="720"/>
        <w:contextualSpacing/>
        <w:rPr>
          <w:rFonts w:cs="Arial"/>
          <w:bCs/>
        </w:rPr>
      </w:pPr>
    </w:p>
    <w:p w14:paraId="449A371A" w14:textId="77777777" w:rsidR="00164DC2" w:rsidRPr="00B65827" w:rsidRDefault="00164DC2" w:rsidP="00164DC2">
      <w:pPr>
        <w:ind w:left="720"/>
        <w:rPr>
          <w:bCs/>
          <w:color w:val="auto"/>
          <w:szCs w:val="32"/>
        </w:rPr>
      </w:pPr>
      <w:r w:rsidRPr="00B65827">
        <w:rPr>
          <w:bCs/>
          <w:color w:val="auto"/>
          <w:szCs w:val="32"/>
        </w:rPr>
        <w:t>Based on the number and type of HOT projects recorded for year 2018, an estimated total of 225 small businesses will be subject to the increased report</w:t>
      </w:r>
      <w:r>
        <w:rPr>
          <w:bCs/>
          <w:color w:val="auto"/>
          <w:szCs w:val="32"/>
        </w:rPr>
        <w:t>-</w:t>
      </w:r>
      <w:r w:rsidRPr="00B65827">
        <w:rPr>
          <w:bCs/>
          <w:color w:val="auto"/>
          <w:szCs w:val="32"/>
        </w:rPr>
        <w:t>filing fees. Real estate development companies comprise approximately 50 percent of these businesses. The remaining businesses vary in industry and include, but are not limited to, commercially owned apartment complexes, non-profit companies and religious centers. The 2018 data found approximately 70 small businesses paid the report</w:t>
      </w:r>
      <w:r>
        <w:rPr>
          <w:bCs/>
          <w:color w:val="auto"/>
          <w:szCs w:val="32"/>
        </w:rPr>
        <w:t>-</w:t>
      </w:r>
      <w:r w:rsidRPr="00B65827">
        <w:rPr>
          <w:bCs/>
          <w:color w:val="auto"/>
          <w:szCs w:val="32"/>
        </w:rPr>
        <w:t xml:space="preserve">filing fee for a clean decommission, while 155 small businesses paid the fee for filing a cleanup and corrective action report. </w:t>
      </w:r>
    </w:p>
    <w:p w14:paraId="6B40B137" w14:textId="77777777" w:rsidR="00164DC2" w:rsidRPr="00B65827" w:rsidRDefault="00164DC2" w:rsidP="00164DC2">
      <w:pPr>
        <w:ind w:left="720"/>
        <w:rPr>
          <w:bCs/>
          <w:color w:val="auto"/>
          <w:szCs w:val="32"/>
        </w:rPr>
      </w:pPr>
    </w:p>
    <w:p w14:paraId="2BDB83D7" w14:textId="77777777" w:rsidR="00164DC2" w:rsidRPr="00B65827" w:rsidRDefault="00164DC2" w:rsidP="00164DC2">
      <w:pPr>
        <w:ind w:left="720"/>
        <w:rPr>
          <w:bCs/>
          <w:color w:val="auto"/>
          <w:szCs w:val="32"/>
        </w:rPr>
      </w:pPr>
      <w:r w:rsidRPr="00B65827">
        <w:rPr>
          <w:bCs/>
          <w:color w:val="auto"/>
          <w:szCs w:val="32"/>
        </w:rPr>
        <w:t xml:space="preserve">Additionally, 48 small businesses currently perform HOT work as licensed service providers and employ 112 individuals with HOT supervisor licenses. These businesses will be subject to the fee increase for both types of licenses.  </w:t>
      </w:r>
    </w:p>
    <w:p w14:paraId="1F5DA87F" w14:textId="77777777" w:rsidR="00164DC2" w:rsidRPr="00B65827" w:rsidRDefault="00164DC2" w:rsidP="00164DC2"/>
    <w:p w14:paraId="6715DE5C" w14:textId="77777777" w:rsidR="00164DC2" w:rsidRPr="00B65827" w:rsidRDefault="00164DC2" w:rsidP="00164DC2">
      <w:pPr>
        <w:numPr>
          <w:ilvl w:val="0"/>
          <w:numId w:val="27"/>
        </w:numPr>
        <w:contextualSpacing/>
        <w:rPr>
          <w:bCs/>
        </w:rPr>
      </w:pPr>
      <w:r w:rsidRPr="00B65827">
        <w:rPr>
          <w:rFonts w:ascii="Arial" w:hAnsi="Arial" w:cs="Arial"/>
          <w:b/>
          <w:bCs/>
        </w:rPr>
        <w:t>Projected reporting, recordkeeping and other administrative activities, including costs of professional services, required for small businesses to comply with the proposed rule</w:t>
      </w:r>
    </w:p>
    <w:p w14:paraId="4D00618A" w14:textId="77777777" w:rsidR="00164DC2" w:rsidRPr="00B65827" w:rsidRDefault="00164DC2" w:rsidP="00164DC2">
      <w:pPr>
        <w:ind w:left="720"/>
        <w:contextualSpacing/>
        <w:rPr>
          <w:bCs/>
        </w:rPr>
      </w:pPr>
    </w:p>
    <w:p w14:paraId="22AAB71D" w14:textId="77777777" w:rsidR="00164DC2" w:rsidRPr="00B65827" w:rsidRDefault="00164DC2" w:rsidP="00164DC2">
      <w:pPr>
        <w:ind w:left="720"/>
        <w:rPr>
          <w:bCs/>
          <w:color w:val="auto"/>
          <w:szCs w:val="32"/>
        </w:rPr>
      </w:pPr>
      <w:r w:rsidRPr="00B65827">
        <w:rPr>
          <w:bCs/>
          <w:color w:val="auto"/>
          <w:szCs w:val="32"/>
        </w:rPr>
        <w:t>The proposed rule amendments will not require any additional activities for small businesses to comply. HOT service providers and supervisors already pay the licensure fees. Entities contracting for HOT work already pay the report-filing fees as applicable (clean decommission or corrective action) through the overall cost of the project.</w:t>
      </w:r>
    </w:p>
    <w:p w14:paraId="0A3F8E0F" w14:textId="77777777" w:rsidR="00164DC2" w:rsidRPr="00B65827" w:rsidRDefault="00164DC2" w:rsidP="00164DC2"/>
    <w:p w14:paraId="4339839B" w14:textId="77777777" w:rsidR="00164DC2" w:rsidRPr="00B65827" w:rsidRDefault="00164DC2" w:rsidP="00164DC2">
      <w:pPr>
        <w:numPr>
          <w:ilvl w:val="0"/>
          <w:numId w:val="27"/>
        </w:numPr>
        <w:contextualSpacing/>
        <w:rPr>
          <w:bCs/>
        </w:rPr>
      </w:pPr>
      <w:r w:rsidRPr="00B65827">
        <w:rPr>
          <w:rFonts w:ascii="Arial" w:hAnsi="Arial" w:cs="Arial"/>
          <w:b/>
          <w:bCs/>
        </w:rPr>
        <w:t>Projected equipment, supplies, labor and increased administration required for small businesses to comply with the proposed rule</w:t>
      </w:r>
    </w:p>
    <w:p w14:paraId="107AA6F4" w14:textId="77777777" w:rsidR="00164DC2" w:rsidRPr="00B65827" w:rsidRDefault="00164DC2" w:rsidP="00164DC2">
      <w:pPr>
        <w:ind w:left="720"/>
        <w:contextualSpacing/>
        <w:rPr>
          <w:bCs/>
        </w:rPr>
      </w:pPr>
    </w:p>
    <w:p w14:paraId="4C63A9B8" w14:textId="77777777" w:rsidR="00164DC2" w:rsidRPr="00B65827" w:rsidRDefault="00164DC2" w:rsidP="00164DC2">
      <w:pPr>
        <w:ind w:left="720"/>
        <w:rPr>
          <w:bCs/>
          <w:color w:val="auto"/>
          <w:szCs w:val="32"/>
        </w:rPr>
      </w:pPr>
      <w:r w:rsidRPr="00B65827">
        <w:rPr>
          <w:bCs/>
          <w:color w:val="auto"/>
          <w:szCs w:val="32"/>
        </w:rPr>
        <w:t>The proposed rule amendments will not require any additional resources. HOT service providers and supervisors already pay the licensure fees. Entities contracting for HOT work already pay the report-filing fees as applicable (clean decommission or corrective action) through the overall cost of the project.</w:t>
      </w:r>
    </w:p>
    <w:p w14:paraId="2672D1D6" w14:textId="77777777" w:rsidR="00164DC2" w:rsidRPr="00B65827" w:rsidRDefault="00164DC2" w:rsidP="00164DC2">
      <w:pPr>
        <w:ind w:left="720"/>
        <w:rPr>
          <w:bCs/>
          <w:color w:val="auto"/>
          <w:szCs w:val="32"/>
        </w:rPr>
      </w:pPr>
    </w:p>
    <w:p w14:paraId="1DE8B7FD" w14:textId="77777777" w:rsidR="00164DC2" w:rsidRDefault="00164DC2" w:rsidP="00164DC2">
      <w:pPr>
        <w:numPr>
          <w:ilvl w:val="0"/>
          <w:numId w:val="27"/>
        </w:numPr>
        <w:contextualSpacing/>
        <w:rPr>
          <w:bCs/>
        </w:rPr>
      </w:pPr>
      <w:r w:rsidRPr="00B65827">
        <w:rPr>
          <w:rFonts w:ascii="Arial" w:hAnsi="Arial" w:cs="Arial"/>
          <w:b/>
          <w:bCs/>
        </w:rPr>
        <w:t>Describe how DEQ involved small businesses in developing this proposed rule</w:t>
      </w:r>
    </w:p>
    <w:p w14:paraId="03E73610" w14:textId="77777777" w:rsidR="00164DC2" w:rsidRDefault="00164DC2" w:rsidP="00164DC2">
      <w:pPr>
        <w:ind w:left="720"/>
        <w:contextualSpacing/>
        <w:rPr>
          <w:bCs/>
        </w:rPr>
      </w:pPr>
    </w:p>
    <w:p w14:paraId="5811AC6C" w14:textId="77777777" w:rsidR="00164DC2" w:rsidRDefault="00164DC2" w:rsidP="00164DC2">
      <w:pPr>
        <w:ind w:left="720"/>
        <w:contextualSpacing/>
      </w:pPr>
      <w:r w:rsidRPr="00B65827">
        <w:t xml:space="preserve">In October 2018, DEQ facilitated a HOT Service Provider Focus Group meeting that discussed sustaining the HOT Program and the proposed rule amendments. The HOT Service </w:t>
      </w:r>
      <w:r w:rsidRPr="00E80320">
        <w:t xml:space="preserve">Provider Focus Group included small business representatives who conduct HOT work in Oregon. DEQ invited participants from the 2018 meeting, along with realtors and former HOT owners, to serve on the fiscal advisory committee for this rulemaking. The committee </w:t>
      </w:r>
      <w:r>
        <w:t>has reviewed and further advised</w:t>
      </w:r>
      <w:r w:rsidRPr="00E80320">
        <w:t xml:space="preserve"> on the fiscal and economic impact of adopting the rule amendments.</w:t>
      </w:r>
    </w:p>
    <w:p w14:paraId="3910964F" w14:textId="77777777" w:rsidR="00164DC2" w:rsidRPr="00B65827" w:rsidRDefault="00164DC2" w:rsidP="00164DC2">
      <w:pPr>
        <w:ind w:left="720"/>
        <w:contextualSpacing/>
        <w:rPr>
          <w:bCs/>
        </w:rPr>
      </w:pPr>
      <w:r w:rsidRPr="00B65827">
        <w:t xml:space="preserve">   </w:t>
      </w:r>
    </w:p>
    <w:p w14:paraId="4C631DD4" w14:textId="77777777" w:rsidR="00164DC2" w:rsidRPr="00762E9F" w:rsidRDefault="00164DC2" w:rsidP="00164DC2">
      <w:pPr>
        <w:pStyle w:val="Heading2"/>
      </w:pPr>
      <w:r w:rsidRPr="00762E9F">
        <w:t>Documents relied on for fiscal and economic impact</w:t>
      </w:r>
    </w:p>
    <w:p w14:paraId="117C32A6" w14:textId="77777777" w:rsidR="00164DC2" w:rsidRPr="00762E9F" w:rsidRDefault="00164DC2" w:rsidP="00164DC2"/>
    <w:tbl>
      <w:tblPr>
        <w:tblStyle w:val="TableGrid"/>
        <w:tblW w:w="8820" w:type="dxa"/>
        <w:jc w:val="center"/>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2" w:space="0" w:color="000000" w:themeColor="text1"/>
          <w:insideV w:val="single" w:sz="12" w:space="0" w:color="000000" w:themeColor="text1"/>
        </w:tblBorders>
        <w:tblLayout w:type="fixed"/>
        <w:tblLook w:val="04A0" w:firstRow="1" w:lastRow="0" w:firstColumn="1" w:lastColumn="0" w:noHBand="0" w:noVBand="1"/>
      </w:tblPr>
      <w:tblGrid>
        <w:gridCol w:w="3870"/>
        <w:gridCol w:w="4950"/>
      </w:tblGrid>
      <w:tr w:rsidR="00164DC2" w:rsidRPr="00762E9F" w14:paraId="252B3814" w14:textId="77777777" w:rsidTr="00164DC2">
        <w:trPr>
          <w:trHeight w:val="558"/>
          <w:jc w:val="center"/>
        </w:trPr>
        <w:tc>
          <w:tcPr>
            <w:tcW w:w="3870" w:type="dxa"/>
            <w:shd w:val="clear" w:color="auto" w:fill="C5E0B3" w:themeFill="accent6" w:themeFillTint="66"/>
            <w:vAlign w:val="center"/>
          </w:tcPr>
          <w:p w14:paraId="64AFBB9B" w14:textId="77777777" w:rsidR="00164DC2" w:rsidRPr="002811F5" w:rsidRDefault="00164DC2" w:rsidP="00164DC2">
            <w:pPr>
              <w:jc w:val="center"/>
              <w:rPr>
                <w:rFonts w:ascii="Arial" w:hAnsi="Arial" w:cs="Arial"/>
                <w:b/>
                <w:sz w:val="28"/>
                <w:szCs w:val="28"/>
              </w:rPr>
            </w:pPr>
            <w:r w:rsidRPr="002811F5">
              <w:rPr>
                <w:rFonts w:ascii="Arial" w:hAnsi="Arial" w:cs="Arial"/>
                <w:b/>
                <w:sz w:val="28"/>
                <w:szCs w:val="28"/>
              </w:rPr>
              <w:t>Document title</w:t>
            </w:r>
          </w:p>
        </w:tc>
        <w:tc>
          <w:tcPr>
            <w:tcW w:w="4950" w:type="dxa"/>
            <w:shd w:val="clear" w:color="auto" w:fill="C5E0B3" w:themeFill="accent6" w:themeFillTint="66"/>
            <w:vAlign w:val="center"/>
          </w:tcPr>
          <w:p w14:paraId="44BD1714" w14:textId="77777777" w:rsidR="00164DC2" w:rsidRPr="002811F5" w:rsidRDefault="00164DC2" w:rsidP="00164DC2">
            <w:pPr>
              <w:jc w:val="center"/>
              <w:rPr>
                <w:rFonts w:ascii="Arial" w:hAnsi="Arial" w:cs="Arial"/>
                <w:b/>
                <w:sz w:val="28"/>
                <w:szCs w:val="28"/>
              </w:rPr>
            </w:pPr>
            <w:r w:rsidRPr="002811F5">
              <w:rPr>
                <w:rFonts w:ascii="Arial" w:hAnsi="Arial" w:cs="Arial"/>
                <w:b/>
                <w:sz w:val="28"/>
                <w:szCs w:val="28"/>
              </w:rPr>
              <w:t>Document location</w:t>
            </w:r>
          </w:p>
        </w:tc>
      </w:tr>
      <w:tr w:rsidR="00164DC2" w:rsidRPr="00762E9F" w14:paraId="78B3D711" w14:textId="77777777" w:rsidTr="00164DC2">
        <w:trPr>
          <w:jc w:val="center"/>
        </w:trPr>
        <w:tc>
          <w:tcPr>
            <w:tcW w:w="3870" w:type="dxa"/>
            <w:vAlign w:val="center"/>
          </w:tcPr>
          <w:p w14:paraId="06131AA1" w14:textId="77777777" w:rsidR="00164DC2" w:rsidRPr="00762E9F" w:rsidRDefault="00164DC2" w:rsidP="00164DC2">
            <w:r>
              <w:t>Oregon Department of Environmental Quality HOT Project Cost Summary and Data, Year 2018</w:t>
            </w:r>
          </w:p>
        </w:tc>
        <w:tc>
          <w:tcPr>
            <w:tcW w:w="4950" w:type="dxa"/>
          </w:tcPr>
          <w:p w14:paraId="25F15148" w14:textId="77777777" w:rsidR="00164DC2" w:rsidRDefault="00164DC2" w:rsidP="00164DC2">
            <w:r>
              <w:t>Oregon DEQ – Land Quality Division</w:t>
            </w:r>
          </w:p>
          <w:p w14:paraId="35C7F2E0" w14:textId="77777777" w:rsidR="00164DC2" w:rsidRDefault="00164DC2" w:rsidP="00164DC2">
            <w:r>
              <w:t>Heating Oil Tank Program</w:t>
            </w:r>
          </w:p>
          <w:p w14:paraId="52BD4C4C" w14:textId="77777777" w:rsidR="00164DC2" w:rsidRDefault="00164DC2" w:rsidP="00164DC2">
            <w:r>
              <w:t>700 NE Multnomah St., Ste. 600</w:t>
            </w:r>
          </w:p>
          <w:p w14:paraId="4324E00B" w14:textId="77777777" w:rsidR="00164DC2" w:rsidRPr="00762E9F" w:rsidRDefault="00164DC2" w:rsidP="00164DC2">
            <w:r>
              <w:t>Portland, OR 97232-1400</w:t>
            </w:r>
          </w:p>
        </w:tc>
      </w:tr>
      <w:tr w:rsidR="00164DC2" w:rsidRPr="00762E9F" w14:paraId="3394C971" w14:textId="77777777" w:rsidTr="00164DC2">
        <w:trPr>
          <w:jc w:val="center"/>
        </w:trPr>
        <w:tc>
          <w:tcPr>
            <w:tcW w:w="3870" w:type="dxa"/>
          </w:tcPr>
          <w:p w14:paraId="264E958C" w14:textId="77777777" w:rsidR="00164DC2" w:rsidRDefault="00164DC2" w:rsidP="00164DC2">
            <w:r>
              <w:t>Oregon Department of Environmental Quality HOT Cleanups and Property Owner Type, Year 2018</w:t>
            </w:r>
          </w:p>
        </w:tc>
        <w:tc>
          <w:tcPr>
            <w:tcW w:w="4950" w:type="dxa"/>
          </w:tcPr>
          <w:p w14:paraId="2FCBE4C4" w14:textId="77777777" w:rsidR="00164DC2" w:rsidRDefault="00164DC2" w:rsidP="00164DC2">
            <w:r>
              <w:t>Oregon DEQ – Land Quality Division</w:t>
            </w:r>
          </w:p>
          <w:p w14:paraId="3C1402ED" w14:textId="77777777" w:rsidR="00164DC2" w:rsidRDefault="00164DC2" w:rsidP="00164DC2">
            <w:r>
              <w:t>Heating Oil Tank Program</w:t>
            </w:r>
          </w:p>
          <w:p w14:paraId="66C12220" w14:textId="77777777" w:rsidR="00164DC2" w:rsidRDefault="00164DC2" w:rsidP="00164DC2">
            <w:r>
              <w:t>700 NE Multnomah St., Ste. 600</w:t>
            </w:r>
          </w:p>
          <w:p w14:paraId="1A471246" w14:textId="77777777" w:rsidR="00164DC2" w:rsidRDefault="00164DC2" w:rsidP="00164DC2">
            <w:r>
              <w:t>Portland, OR 97232-1400</w:t>
            </w:r>
          </w:p>
        </w:tc>
      </w:tr>
      <w:tr w:rsidR="00164DC2" w:rsidRPr="00762E9F" w14:paraId="50C976CF" w14:textId="77777777" w:rsidTr="00164DC2">
        <w:trPr>
          <w:trHeight w:val="1023"/>
          <w:jc w:val="center"/>
        </w:trPr>
        <w:tc>
          <w:tcPr>
            <w:tcW w:w="3870" w:type="dxa"/>
            <w:vAlign w:val="center"/>
          </w:tcPr>
          <w:p w14:paraId="6E00CEDD" w14:textId="77777777" w:rsidR="00164DC2" w:rsidRPr="00762E9F" w:rsidRDefault="00164DC2" w:rsidP="00164DC2">
            <w:r w:rsidRPr="003657FA">
              <w:t xml:space="preserve">Oregon Department of Environmental Quality </w:t>
            </w:r>
            <w:r>
              <w:t>HOT Project Type 2007-2017</w:t>
            </w:r>
          </w:p>
        </w:tc>
        <w:tc>
          <w:tcPr>
            <w:tcW w:w="4950" w:type="dxa"/>
          </w:tcPr>
          <w:p w14:paraId="300CD3D2" w14:textId="77777777" w:rsidR="00164DC2" w:rsidRDefault="00164DC2" w:rsidP="00164DC2">
            <w:r w:rsidRPr="003657FA">
              <w:t>Oregon DEQ – Land Quality Division</w:t>
            </w:r>
          </w:p>
          <w:p w14:paraId="7726E98A" w14:textId="77777777" w:rsidR="00164DC2" w:rsidRDefault="00164DC2" w:rsidP="00164DC2">
            <w:r>
              <w:t>Heating Oil Tank Program</w:t>
            </w:r>
          </w:p>
          <w:p w14:paraId="2ADA5390" w14:textId="77777777" w:rsidR="00164DC2" w:rsidRDefault="00164DC2" w:rsidP="00164DC2">
            <w:r>
              <w:t>700 NE Multnomah St., Ste. 600</w:t>
            </w:r>
          </w:p>
          <w:p w14:paraId="14C47BAE" w14:textId="77777777" w:rsidR="00164DC2" w:rsidRPr="00762E9F" w:rsidRDefault="00164DC2" w:rsidP="00164DC2">
            <w:r>
              <w:t>Portland, OR 97232-1400</w:t>
            </w:r>
          </w:p>
        </w:tc>
      </w:tr>
      <w:tr w:rsidR="00164DC2" w:rsidRPr="00762E9F" w14:paraId="59C5C8C0" w14:textId="77777777" w:rsidTr="00164DC2">
        <w:trPr>
          <w:trHeight w:val="1023"/>
          <w:jc w:val="center"/>
        </w:trPr>
        <w:tc>
          <w:tcPr>
            <w:tcW w:w="3870" w:type="dxa"/>
          </w:tcPr>
          <w:p w14:paraId="5BDFD0AB" w14:textId="77777777" w:rsidR="00164DC2" w:rsidRPr="003657FA" w:rsidRDefault="00164DC2" w:rsidP="00164DC2">
            <w:r>
              <w:t>Oregon Department of Environmental Quality HOT Reported Sites Projections, January 2019</w:t>
            </w:r>
          </w:p>
        </w:tc>
        <w:tc>
          <w:tcPr>
            <w:tcW w:w="4950" w:type="dxa"/>
          </w:tcPr>
          <w:p w14:paraId="3455186C" w14:textId="77777777" w:rsidR="00164DC2" w:rsidRPr="006470F6" w:rsidRDefault="00164DC2" w:rsidP="00164DC2">
            <w:r w:rsidRPr="006470F6">
              <w:t>Oregon DEQ – Land Quality Division</w:t>
            </w:r>
          </w:p>
          <w:p w14:paraId="3F96BB14" w14:textId="77777777" w:rsidR="00164DC2" w:rsidRPr="006470F6" w:rsidRDefault="00164DC2" w:rsidP="00164DC2">
            <w:r w:rsidRPr="006470F6">
              <w:t>Heating Oil Tank Program</w:t>
            </w:r>
          </w:p>
          <w:p w14:paraId="1493D1EC" w14:textId="77777777" w:rsidR="00164DC2" w:rsidRPr="006470F6" w:rsidRDefault="00164DC2" w:rsidP="00164DC2">
            <w:r w:rsidRPr="006470F6">
              <w:t>700 NE Multnomah St., Ste. 600</w:t>
            </w:r>
          </w:p>
          <w:p w14:paraId="05E9148B" w14:textId="77777777" w:rsidR="00164DC2" w:rsidRPr="003657FA" w:rsidRDefault="00164DC2" w:rsidP="00164DC2">
            <w:r w:rsidRPr="006470F6">
              <w:t>Portland, OR 97232-1400</w:t>
            </w:r>
          </w:p>
        </w:tc>
      </w:tr>
    </w:tbl>
    <w:p w14:paraId="13B346B1" w14:textId="77777777" w:rsidR="00164DC2" w:rsidRPr="00762E9F" w:rsidRDefault="00164DC2" w:rsidP="00164DC2"/>
    <w:p w14:paraId="5FABBF14" w14:textId="77777777" w:rsidR="00164DC2" w:rsidRPr="00B65827" w:rsidRDefault="00164DC2" w:rsidP="00164DC2">
      <w:pPr>
        <w:keepNext/>
        <w:keepLines/>
        <w:outlineLvl w:val="1"/>
        <w:rPr>
          <w:rFonts w:ascii="Arial" w:hAnsi="Arial" w:cstheme="majorBidi"/>
          <w:b/>
          <w:bCs/>
          <w:sz w:val="32"/>
          <w:szCs w:val="26"/>
        </w:rPr>
      </w:pPr>
      <w:r w:rsidRPr="00B65827">
        <w:rPr>
          <w:rFonts w:ascii="Arial" w:hAnsi="Arial" w:cstheme="majorBidi"/>
          <w:b/>
          <w:bCs/>
          <w:sz w:val="32"/>
          <w:szCs w:val="26"/>
        </w:rPr>
        <w:t>Advisory committee fiscal review</w:t>
      </w:r>
    </w:p>
    <w:p w14:paraId="5ACE46BE" w14:textId="77777777" w:rsidR="00164DC2" w:rsidRPr="00B65827" w:rsidRDefault="00164DC2" w:rsidP="00164DC2"/>
    <w:p w14:paraId="367CD71E" w14:textId="77777777" w:rsidR="00164DC2" w:rsidRPr="00B65827" w:rsidRDefault="00164DC2" w:rsidP="00164DC2">
      <w:r w:rsidRPr="00B65827">
        <w:t>DEQ appointed an advisory committee. As ORS 183.33 requires, the agency asked for the committee’s recommendations on:</w:t>
      </w:r>
    </w:p>
    <w:p w14:paraId="6E55698B" w14:textId="77777777" w:rsidR="00164DC2" w:rsidRPr="00B65827" w:rsidRDefault="00164DC2" w:rsidP="00164DC2"/>
    <w:p w14:paraId="5DBEFCEB" w14:textId="77777777" w:rsidR="00164DC2" w:rsidRPr="00B65827" w:rsidRDefault="00164DC2" w:rsidP="00164DC2">
      <w:pPr>
        <w:numPr>
          <w:ilvl w:val="0"/>
          <w:numId w:val="32"/>
        </w:numPr>
        <w:contextualSpacing/>
        <w:rPr>
          <w:bCs/>
        </w:rPr>
      </w:pPr>
      <w:r w:rsidRPr="00B65827">
        <w:rPr>
          <w:bCs/>
        </w:rPr>
        <w:t xml:space="preserve">Whether the proposed rules will have a fiscal impact </w:t>
      </w:r>
    </w:p>
    <w:p w14:paraId="02F9B44B" w14:textId="77777777" w:rsidR="00164DC2" w:rsidRPr="00B65827" w:rsidRDefault="00164DC2" w:rsidP="00164DC2">
      <w:pPr>
        <w:numPr>
          <w:ilvl w:val="0"/>
          <w:numId w:val="32"/>
        </w:numPr>
        <w:contextualSpacing/>
        <w:rPr>
          <w:bCs/>
        </w:rPr>
      </w:pPr>
      <w:r w:rsidRPr="00B65827">
        <w:rPr>
          <w:bCs/>
        </w:rPr>
        <w:t>The extent of the impact</w:t>
      </w:r>
    </w:p>
    <w:p w14:paraId="40864A75" w14:textId="77777777" w:rsidR="00164DC2" w:rsidRPr="00DB4402" w:rsidRDefault="00164DC2" w:rsidP="00164DC2">
      <w:pPr>
        <w:numPr>
          <w:ilvl w:val="0"/>
          <w:numId w:val="32"/>
        </w:numPr>
        <w:contextualSpacing/>
        <w:rPr>
          <w:bCs/>
        </w:rPr>
      </w:pPr>
      <w:r w:rsidRPr="00B65827">
        <w:rPr>
          <w:bCs/>
        </w:rPr>
        <w:t>Whether the proposed rules will have a significant adverse impact on small businesses; if so, then how DEQ can comply with ORS 183.540 to reduce that impact</w:t>
      </w:r>
    </w:p>
    <w:p w14:paraId="7AE34098" w14:textId="77777777" w:rsidR="00164DC2" w:rsidRPr="00B65827" w:rsidRDefault="00164DC2" w:rsidP="00164DC2">
      <w:pPr>
        <w:ind w:left="720"/>
        <w:contextualSpacing/>
        <w:rPr>
          <w:bCs/>
        </w:rPr>
      </w:pPr>
    </w:p>
    <w:p w14:paraId="7B32131B" w14:textId="77777777" w:rsidR="00164DC2" w:rsidRDefault="00164DC2" w:rsidP="00164DC2">
      <w:r w:rsidRPr="00B65827">
        <w:t xml:space="preserve">The committee </w:t>
      </w:r>
      <w:r>
        <w:t>has reviewed</w:t>
      </w:r>
      <w:r w:rsidRPr="00B65827">
        <w:t xml:space="preserve"> the draft fiscal and economic impact statement and its findings </w:t>
      </w:r>
      <w:r>
        <w:t>are</w:t>
      </w:r>
      <w:r w:rsidRPr="00B65827">
        <w:t xml:space="preserve"> documented in the approved minutes for the meeting on Aug. 2, 2019. The documented findings </w:t>
      </w:r>
      <w:r>
        <w:t>are</w:t>
      </w:r>
      <w:r w:rsidRPr="00B65827">
        <w:t xml:space="preserve"> included in the record of this rulemaking.</w:t>
      </w:r>
      <w:r>
        <w:t xml:space="preserve"> </w:t>
      </w:r>
    </w:p>
    <w:p w14:paraId="4B13F7CE" w14:textId="77777777" w:rsidR="00164DC2" w:rsidRDefault="00164DC2" w:rsidP="00164DC2"/>
    <w:p w14:paraId="5816838F" w14:textId="77777777" w:rsidR="00164DC2" w:rsidRPr="00B65827" w:rsidRDefault="00164DC2" w:rsidP="00164DC2">
      <w:r>
        <w:lastRenderedPageBreak/>
        <w:t>The committee determined that the proposed rule amendments would have a fiscal impact, however the extent of that impact depends on the number of projects a business contracts annually. Therefore, the smaller the business, the greater the impact. The committee also expressed that the fees are just one portion of other business costs that are gradually increasing with time, so the fee increase alone does not present a significant adverse impact to small businesses. DEQ documented input from the committee on how the agency can help reduce the impact by simplifying the report submission process. The committee expressed that an electronic reporting process with DEQ would help businesses reduce the administrative time and costs for report filing.</w:t>
      </w:r>
    </w:p>
    <w:p w14:paraId="72C1EA1A" w14:textId="77777777" w:rsidR="00164DC2" w:rsidRPr="00B65827" w:rsidRDefault="00164DC2" w:rsidP="00164DC2"/>
    <w:p w14:paraId="143EC988" w14:textId="77777777" w:rsidR="00164DC2" w:rsidRPr="00B65827" w:rsidRDefault="00164DC2" w:rsidP="00164DC2">
      <w:pPr>
        <w:rPr>
          <w:rFonts w:ascii="Arial" w:hAnsi="Arial" w:cstheme="minorHAnsi"/>
          <w:b/>
          <w:bCs/>
          <w:sz w:val="44"/>
          <w:szCs w:val="20"/>
        </w:rPr>
      </w:pPr>
      <w:bookmarkStart w:id="17" w:name="_Toc3985804"/>
      <w:r w:rsidRPr="00B65827">
        <w:rPr>
          <w:rFonts w:ascii="Arial" w:hAnsi="Arial" w:cstheme="minorHAnsi"/>
          <w:b/>
          <w:bCs/>
          <w:sz w:val="44"/>
          <w:szCs w:val="20"/>
        </w:rPr>
        <w:t>Housing cost</w:t>
      </w:r>
      <w:bookmarkEnd w:id="17"/>
      <w:r w:rsidRPr="00B65827">
        <w:rPr>
          <w:rFonts w:ascii="Arial" w:hAnsi="Arial" w:cstheme="minorHAnsi"/>
          <w:b/>
          <w:bCs/>
          <w:sz w:val="44"/>
          <w:szCs w:val="20"/>
        </w:rPr>
        <w:t xml:space="preserve">  </w:t>
      </w:r>
    </w:p>
    <w:p w14:paraId="47C6110A" w14:textId="77777777" w:rsidR="00164DC2" w:rsidRPr="00B65827" w:rsidRDefault="00164DC2" w:rsidP="00164DC2">
      <w:pPr>
        <w:ind w:left="720"/>
        <w:rPr>
          <w:bCs/>
          <w:color w:val="auto"/>
          <w:szCs w:val="32"/>
        </w:rPr>
      </w:pPr>
    </w:p>
    <w:p w14:paraId="14889409" w14:textId="77777777" w:rsidR="00164DC2" w:rsidRDefault="00164DC2" w:rsidP="00164DC2">
      <w:r w:rsidRPr="00B65827">
        <w:t xml:space="preserve">As ORS 183.534 requires, DEQ evaluated whether the proposed rule amendments would affect the development cost of a 6,000-square-foot parcel and construction of a 1,200-square-foot detached, single-family dwelling on that parcel. The agency determined the proposed rule amendments </w:t>
      </w:r>
      <w:r w:rsidRPr="00B65827">
        <w:rPr>
          <w:bCs/>
          <w:color w:val="auto"/>
          <w:szCs w:val="32"/>
        </w:rPr>
        <w:t>could</w:t>
      </w:r>
      <w:r w:rsidRPr="00B65827">
        <w:t xml:space="preserve"> affect the development costs by slightly increasing the cost to decommission a HOT and address cleanup/corrective action if warranted. The increased cost applies to projects that require this work, but it is considered insignificant compared to the overall cost of purchasing and/or developing a property.</w:t>
      </w:r>
    </w:p>
    <w:p w14:paraId="0C34244B" w14:textId="4B11AEE8" w:rsidR="002F2F6F" w:rsidRPr="003C26EE" w:rsidRDefault="002F2F6F" w:rsidP="002F2F6F">
      <w:pPr>
        <w:sectPr w:rsidR="002F2F6F" w:rsidRPr="003C26EE" w:rsidSect="00A112DA">
          <w:pgSz w:w="12240" w:h="15840"/>
          <w:pgMar w:top="1440" w:right="1440" w:bottom="1440" w:left="1440" w:header="720" w:footer="720" w:gutter="432"/>
          <w:cols w:space="720"/>
          <w:docGrid w:linePitch="360"/>
        </w:sectPr>
      </w:pPr>
    </w:p>
    <w:p w14:paraId="47611A14" w14:textId="77777777" w:rsidR="002F2F6F" w:rsidRPr="003C26EE" w:rsidRDefault="002F2F6F" w:rsidP="002F2F6F">
      <w:pPr>
        <w:pStyle w:val="Heading1"/>
      </w:pPr>
      <w:bookmarkStart w:id="18" w:name="_Toc3988351"/>
      <w:bookmarkStart w:id="19" w:name="_Toc4051283"/>
      <w:r w:rsidRPr="003C26EE">
        <w:lastRenderedPageBreak/>
        <w:t>Federal relationship</w:t>
      </w:r>
      <w:bookmarkEnd w:id="18"/>
      <w:bookmarkEnd w:id="19"/>
    </w:p>
    <w:p w14:paraId="73323A05" w14:textId="77777777" w:rsidR="002F2F6F" w:rsidRDefault="002F2F6F" w:rsidP="00A83AA3">
      <w:pPr>
        <w:pStyle w:val="instructions"/>
      </w:pPr>
      <w:r>
        <w:t>Copy and paste from Notice of Rulemaking.</w:t>
      </w:r>
    </w:p>
    <w:p w14:paraId="68E8B9F7" w14:textId="77777777" w:rsidR="002F2F6F" w:rsidRDefault="002F2F6F" w:rsidP="00A83AA3">
      <w:pPr>
        <w:pStyle w:val="instructions"/>
      </w:pPr>
    </w:p>
    <w:p w14:paraId="43332527" w14:textId="77777777" w:rsidR="002F2F6F" w:rsidRDefault="002F2F6F" w:rsidP="002F2F6F">
      <w:r w:rsidRPr="001404B0">
        <w:rPr>
          <w:noProof/>
        </w:rPr>
        <mc:AlternateContent>
          <mc:Choice Requires="wps">
            <w:drawing>
              <wp:inline distT="0" distB="0" distL="0" distR="0" wp14:anchorId="790263B3" wp14:editId="6BB7CD4D">
                <wp:extent cx="4478866" cy="1009650"/>
                <wp:effectExtent l="0" t="0" r="17145" b="19050"/>
                <wp:docPr id="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8866" cy="1009650"/>
                        </a:xfrm>
                        <a:prstGeom prst="rect">
                          <a:avLst/>
                        </a:prstGeom>
                        <a:solidFill>
                          <a:schemeClr val="bg1">
                            <a:lumMod val="85000"/>
                            <a:lumOff val="0"/>
                          </a:schemeClr>
                        </a:solidFill>
                        <a:ln w="9525">
                          <a:solidFill>
                            <a:srgbClr val="000000"/>
                          </a:solidFill>
                          <a:miter lim="800000"/>
                          <a:headEnd/>
                          <a:tailEnd/>
                        </a:ln>
                      </wps:spPr>
                      <wps:txbx>
                        <w:txbxContent>
                          <w:p w14:paraId="64F25ABC" w14:textId="77777777" w:rsidR="00DB67D2" w:rsidRPr="001A4DE1" w:rsidRDefault="00DB67D2" w:rsidP="002F2F6F">
                            <w:pPr>
                              <w:rPr>
                                <w:rFonts w:asciiTheme="minorHAnsi" w:hAnsiTheme="minorHAnsi" w:cstheme="minorHAnsi"/>
                                <w:b/>
                              </w:rPr>
                            </w:pPr>
                            <w:r w:rsidRPr="00F9567F">
                              <w:rPr>
                                <w:rFonts w:asciiTheme="minorHAnsi" w:hAnsiTheme="minorHAnsi" w:cstheme="minorHAnsi"/>
                                <w:b/>
                                <w:color w:val="FF0000"/>
                              </w:rPr>
                              <w:t>REVIEWERS</w:t>
                            </w:r>
                            <w:r w:rsidRPr="001A4DE1">
                              <w:rPr>
                                <w:rFonts w:asciiTheme="minorHAnsi" w:hAnsiTheme="minorHAnsi" w:cstheme="minorHAnsi"/>
                                <w:b/>
                              </w:rPr>
                              <w:t xml:space="preserve"> do not edit or modify this section </w:t>
                            </w:r>
                          </w:p>
                          <w:p w14:paraId="408FD968" w14:textId="77777777" w:rsidR="00DB67D2" w:rsidRDefault="00DB67D2" w:rsidP="002F2F6F">
                            <w:pPr>
                              <w:outlineLvl w:val="9"/>
                            </w:pPr>
                            <w:r w:rsidRPr="001A4DE1">
                              <w:rPr>
                                <w:rFonts w:asciiTheme="minorHAnsi" w:hAnsiTheme="minorHAnsi" w:cstheme="minorHAnsi"/>
                              </w:rPr>
                              <w:t xml:space="preserve"> </w:t>
                            </w:r>
                            <w:r>
                              <w:rPr>
                                <w:rFonts w:asciiTheme="minorHAnsi" w:hAnsiTheme="minorHAnsi" w:cstheme="minorHAnsi"/>
                              </w:rPr>
                              <w:t xml:space="preserve">Management reviewed and edited this section. It was then published with the Public Notice. </w:t>
                            </w:r>
                            <w:r w:rsidRPr="001A4DE1">
                              <w:rPr>
                                <w:rFonts w:asciiTheme="minorHAnsi" w:hAnsiTheme="minorHAnsi" w:cstheme="minorHAnsi"/>
                              </w:rPr>
                              <w:t xml:space="preserve">Do not modify it except to correct typographical errors. </w:t>
                            </w:r>
                          </w:p>
                        </w:txbxContent>
                      </wps:txbx>
                      <wps:bodyPr rot="0" vert="horz" wrap="square" lIns="91440" tIns="91440" rIns="91440" bIns="91440" anchor="ctr" anchorCtr="0" upright="1">
                        <a:noAutofit/>
                      </wps:bodyPr>
                    </wps:wsp>
                  </a:graphicData>
                </a:graphic>
              </wp:inline>
            </w:drawing>
          </mc:Choice>
          <mc:Fallback>
            <w:pict>
              <v:shape w14:anchorId="790263B3" id="_x0000_s1031" type="#_x0000_t202" style="width:352.65pt;height:7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wR7SAIAAJEEAAAOAAAAZHJzL2Uyb0RvYy54bWysVNtu2zAMfR+wfxD0vtoJkiwx6hRdug4D&#10;ugvQ7gNkWbaFSaImKbG7rx8lJVm6vQ17MUSKOjw8JH19M2lFDsJ5Caams6uSEmE4tNL0Nf32dP9m&#10;TYkPzLRMgRE1fRae3mxfv7oebSXmMIBqhSMIYnw12poOIdiqKDwfhGb+CqwweNmB0yyg6fqidWxE&#10;dK2KeVmuihFcax1w4T167/Il3Sb8rhM8fOk6LwJRNUVuIX1d+jbxW2yvWdU7ZgfJjzTYP7DQTBpM&#10;eoa6Y4GRvZN/QWnJHXjowhUHXUDXSS5SDVjNrPyjmseBWZFqQXG8Pcvk/x8s/3z46ohssXczSgzT&#10;2KMnMQXyDiYyi/KM1lcY9WgxLkzoxtBUqrcPwL97YmA3MNOLW+dgHARrkV56WVw8zTg+gjTjJ2gx&#10;DdsHSEBT53TUDtUgiI5tej63JlLh6Fws3q7XqxUlHO9mZblZLVPzCladnlvnwwcBmsRDTR32PsGz&#10;w4MPWAiGnkJiNg9KtvdSqWTEeRM75ciB4aQ0fS5R7TVyzb71siyP84JunKrsPrFIExsRUqIX4MqQ&#10;saab5XyZdXuR2PXNOS0mOOZAri8gtAy4Jkrqmq7PQayKar83bRriwKTKZ3ysDNKI8kfFs/ZhaqbU&#10;6NWpqw20z9gPB3krcIvxMID7ScmIG1FT/2PPnKBEfTTY081ssYgrdGm4S6O5NJjhCFVTHhwl2diF&#10;vHh762Q/YK4ssoFbnIROph5FzpnXsQCc+6TocUfjYl3aKer3n2T7CwAA//8DAFBLAwQUAAYACAAA&#10;ACEA7LHO9doAAAAFAQAADwAAAGRycy9kb3ducmV2LnhtbEyPQUvDQBCF74L/YRnBm92oVGuaTSmC&#10;OQo2gtdtdpINzc6G3W2T+usdvdjLg+E93vum2MxuECcMsfek4H6RgUBqvOmpU/BZv92tQMSkyejB&#10;Eyo4Y4RNeX1V6Nz4iT7wtEud4BKKuVZgUxpzKWNj0em48CMSe60PTic+QydN0BOXu0E+ZNmTdLon&#10;XrB6xFeLzWF3dArSOXxN8/d7O7aVs261rauqrpW6vZm3axAJ5/Qfhl98RoeSmfb+SCaKQQE/kv6U&#10;veds+Qhiz6HlSwayLOQlffkDAAD//wMAUEsBAi0AFAAGAAgAAAAhALaDOJL+AAAA4QEAABMAAAAA&#10;AAAAAAAAAAAAAAAAAFtDb250ZW50X1R5cGVzXS54bWxQSwECLQAUAAYACAAAACEAOP0h/9YAAACU&#10;AQAACwAAAAAAAAAAAAAAAAAvAQAAX3JlbHMvLnJlbHNQSwECLQAUAAYACAAAACEA0xcEe0gCAACR&#10;BAAADgAAAAAAAAAAAAAAAAAuAgAAZHJzL2Uyb0RvYy54bWxQSwECLQAUAAYACAAAACEA7LHO9doA&#10;AAAFAQAADwAAAAAAAAAAAAAAAACiBAAAZHJzL2Rvd25yZXYueG1sUEsFBgAAAAAEAAQA8wAAAKkF&#10;AAAAAA==&#10;" fillcolor="#d8d8d8 [2732]">
                <v:textbox inset=",7.2pt,,7.2pt">
                  <w:txbxContent>
                    <w:p w14:paraId="64F25ABC" w14:textId="77777777" w:rsidR="00DB67D2" w:rsidRPr="001A4DE1" w:rsidRDefault="00DB67D2" w:rsidP="002F2F6F">
                      <w:pPr>
                        <w:rPr>
                          <w:rFonts w:asciiTheme="minorHAnsi" w:hAnsiTheme="minorHAnsi" w:cstheme="minorHAnsi"/>
                          <w:b/>
                        </w:rPr>
                      </w:pPr>
                      <w:r w:rsidRPr="00F9567F">
                        <w:rPr>
                          <w:rFonts w:asciiTheme="minorHAnsi" w:hAnsiTheme="minorHAnsi" w:cstheme="minorHAnsi"/>
                          <w:b/>
                          <w:color w:val="FF0000"/>
                        </w:rPr>
                        <w:t>REVIEWERS</w:t>
                      </w:r>
                      <w:r w:rsidRPr="001A4DE1">
                        <w:rPr>
                          <w:rFonts w:asciiTheme="minorHAnsi" w:hAnsiTheme="minorHAnsi" w:cstheme="minorHAnsi"/>
                          <w:b/>
                        </w:rPr>
                        <w:t xml:space="preserve"> do not edit or modify this section </w:t>
                      </w:r>
                    </w:p>
                    <w:p w14:paraId="408FD968" w14:textId="77777777" w:rsidR="00DB67D2" w:rsidRDefault="00DB67D2" w:rsidP="002F2F6F">
                      <w:pPr>
                        <w:outlineLvl w:val="9"/>
                      </w:pPr>
                      <w:r w:rsidRPr="001A4DE1">
                        <w:rPr>
                          <w:rFonts w:asciiTheme="minorHAnsi" w:hAnsiTheme="minorHAnsi" w:cstheme="minorHAnsi"/>
                        </w:rPr>
                        <w:t xml:space="preserve"> </w:t>
                      </w:r>
                      <w:r>
                        <w:rPr>
                          <w:rFonts w:asciiTheme="minorHAnsi" w:hAnsiTheme="minorHAnsi" w:cstheme="minorHAnsi"/>
                        </w:rPr>
                        <w:t xml:space="preserve">Management reviewed and edited this section. It was then published with the Public Notice. </w:t>
                      </w:r>
                      <w:r w:rsidRPr="001A4DE1">
                        <w:rPr>
                          <w:rFonts w:asciiTheme="minorHAnsi" w:hAnsiTheme="minorHAnsi" w:cstheme="minorHAnsi"/>
                        </w:rPr>
                        <w:t xml:space="preserve">Do not modify it except to correct typographical errors. </w:t>
                      </w:r>
                    </w:p>
                  </w:txbxContent>
                </v:textbox>
                <w10:anchorlock/>
              </v:shape>
            </w:pict>
          </mc:Fallback>
        </mc:AlternateContent>
      </w:r>
    </w:p>
    <w:p w14:paraId="69942EF7" w14:textId="77777777" w:rsidR="002F2F6F" w:rsidRDefault="002F2F6F" w:rsidP="002F2F6F"/>
    <w:p w14:paraId="1DC00F1F" w14:textId="27754A36" w:rsidR="00164DC2" w:rsidRPr="00762E9F" w:rsidRDefault="00164DC2" w:rsidP="00164DC2">
      <w:pPr>
        <w:sectPr w:rsidR="00164DC2" w:rsidRPr="00762E9F" w:rsidSect="00CC521E">
          <w:pgSz w:w="12240" w:h="15840"/>
          <w:pgMar w:top="1440" w:right="1440" w:bottom="1440" w:left="1440" w:header="720" w:footer="720" w:gutter="432"/>
          <w:cols w:space="720"/>
          <w:docGrid w:linePitch="360"/>
        </w:sectPr>
      </w:pPr>
      <w:r w:rsidRPr="00762E9F">
        <w:t>ORS 183.332, 468A.327 and OAR 340-011-0029 require DEQ to attempt to ado</w:t>
      </w:r>
      <w:r>
        <w:t xml:space="preserve">pt rules that </w:t>
      </w:r>
      <w:r w:rsidRPr="00762E9F">
        <w:t xml:space="preserve">correspond with existing equivalent federal laws and rules unless </w:t>
      </w:r>
      <w:r>
        <w:t>there are reasons not to do so. Since there are no corresponding federal regulations for heating oil tanks, the proposed rules are not different from or in addition to federal requirements.</w:t>
      </w:r>
    </w:p>
    <w:p w14:paraId="020B4651" w14:textId="172A692F" w:rsidR="002F2F6F" w:rsidRPr="003C26EE" w:rsidRDefault="002F2F6F" w:rsidP="002F2F6F">
      <w:pPr>
        <w:sectPr w:rsidR="002F2F6F" w:rsidRPr="003C26EE" w:rsidSect="006355E1">
          <w:type w:val="continuous"/>
          <w:pgSz w:w="12240" w:h="15840" w:code="1"/>
          <w:pgMar w:top="1440" w:right="1440" w:bottom="1440" w:left="1440" w:header="720" w:footer="720" w:gutter="432"/>
          <w:cols w:space="720"/>
          <w:docGrid w:linePitch="360"/>
        </w:sectPr>
      </w:pPr>
    </w:p>
    <w:p w14:paraId="0595401C" w14:textId="77777777" w:rsidR="002F2F6F" w:rsidRPr="003C26EE" w:rsidRDefault="002F2F6F" w:rsidP="002F2F6F">
      <w:pPr>
        <w:pStyle w:val="Heading1"/>
      </w:pPr>
      <w:bookmarkStart w:id="20" w:name="_Toc3988352"/>
      <w:bookmarkStart w:id="21" w:name="_Toc4051284"/>
      <w:r w:rsidRPr="003C26EE">
        <w:lastRenderedPageBreak/>
        <w:t>Land use</w:t>
      </w:r>
      <w:bookmarkEnd w:id="20"/>
      <w:bookmarkEnd w:id="21"/>
    </w:p>
    <w:p w14:paraId="49C92BDE" w14:textId="77777777" w:rsidR="002F2F6F" w:rsidRDefault="002F2F6F" w:rsidP="00A83AA3">
      <w:pPr>
        <w:pStyle w:val="instructions"/>
      </w:pPr>
      <w:r>
        <w:t>Copy and paste from Notice of Rulemaking.</w:t>
      </w:r>
    </w:p>
    <w:p w14:paraId="45A4CF3C" w14:textId="77777777" w:rsidR="002F2F6F" w:rsidRDefault="002F2F6F" w:rsidP="00A83AA3">
      <w:pPr>
        <w:pStyle w:val="instructions"/>
      </w:pPr>
    </w:p>
    <w:p w14:paraId="5EAF1B6B" w14:textId="77777777" w:rsidR="002F2F6F" w:rsidRDefault="002F2F6F" w:rsidP="002F2F6F">
      <w:r w:rsidRPr="001404B0">
        <w:rPr>
          <w:noProof/>
        </w:rPr>
        <mc:AlternateContent>
          <mc:Choice Requires="wps">
            <w:drawing>
              <wp:inline distT="0" distB="0" distL="0" distR="0" wp14:anchorId="054BE5CF" wp14:editId="4BBBD9CA">
                <wp:extent cx="4478866" cy="1009650"/>
                <wp:effectExtent l="0" t="0" r="17145" b="19050"/>
                <wp:docPr id="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8866" cy="1009650"/>
                        </a:xfrm>
                        <a:prstGeom prst="rect">
                          <a:avLst/>
                        </a:prstGeom>
                        <a:solidFill>
                          <a:schemeClr val="bg1">
                            <a:lumMod val="85000"/>
                            <a:lumOff val="0"/>
                          </a:schemeClr>
                        </a:solidFill>
                        <a:ln w="9525">
                          <a:solidFill>
                            <a:srgbClr val="000000"/>
                          </a:solidFill>
                          <a:miter lim="800000"/>
                          <a:headEnd/>
                          <a:tailEnd/>
                        </a:ln>
                      </wps:spPr>
                      <wps:txbx>
                        <w:txbxContent>
                          <w:p w14:paraId="3B06F647" w14:textId="77777777" w:rsidR="00DB67D2" w:rsidRPr="001A4DE1" w:rsidRDefault="00DB67D2" w:rsidP="002F2F6F">
                            <w:pPr>
                              <w:rPr>
                                <w:rFonts w:asciiTheme="minorHAnsi" w:hAnsiTheme="minorHAnsi" w:cstheme="minorHAnsi"/>
                                <w:b/>
                              </w:rPr>
                            </w:pPr>
                            <w:r w:rsidRPr="00F9567F">
                              <w:rPr>
                                <w:rFonts w:asciiTheme="minorHAnsi" w:hAnsiTheme="minorHAnsi" w:cstheme="minorHAnsi"/>
                                <w:b/>
                                <w:color w:val="FF0000"/>
                              </w:rPr>
                              <w:t>REVIEWERS</w:t>
                            </w:r>
                            <w:r w:rsidRPr="001A4DE1">
                              <w:rPr>
                                <w:rFonts w:asciiTheme="minorHAnsi" w:hAnsiTheme="minorHAnsi" w:cstheme="minorHAnsi"/>
                                <w:b/>
                              </w:rPr>
                              <w:t xml:space="preserve"> do not edit or modify this section </w:t>
                            </w:r>
                          </w:p>
                          <w:p w14:paraId="1522E54D" w14:textId="77777777" w:rsidR="00DB67D2" w:rsidRDefault="00DB67D2" w:rsidP="002F2F6F">
                            <w:pPr>
                              <w:outlineLvl w:val="9"/>
                            </w:pPr>
                            <w:r w:rsidRPr="001A4DE1">
                              <w:rPr>
                                <w:rFonts w:asciiTheme="minorHAnsi" w:hAnsiTheme="minorHAnsi" w:cstheme="minorHAnsi"/>
                              </w:rPr>
                              <w:t xml:space="preserve"> </w:t>
                            </w:r>
                            <w:r>
                              <w:rPr>
                                <w:rFonts w:asciiTheme="minorHAnsi" w:hAnsiTheme="minorHAnsi" w:cstheme="minorHAnsi"/>
                              </w:rPr>
                              <w:t xml:space="preserve">Management reviewed and edited this section. It was then published with the Public Notice. </w:t>
                            </w:r>
                            <w:r w:rsidRPr="001A4DE1">
                              <w:rPr>
                                <w:rFonts w:asciiTheme="minorHAnsi" w:hAnsiTheme="minorHAnsi" w:cstheme="minorHAnsi"/>
                              </w:rPr>
                              <w:t xml:space="preserve">Do not modify it except to correct typographical errors. </w:t>
                            </w:r>
                          </w:p>
                        </w:txbxContent>
                      </wps:txbx>
                      <wps:bodyPr rot="0" vert="horz" wrap="square" lIns="91440" tIns="91440" rIns="91440" bIns="91440" anchor="ctr" anchorCtr="0" upright="1">
                        <a:noAutofit/>
                      </wps:bodyPr>
                    </wps:wsp>
                  </a:graphicData>
                </a:graphic>
              </wp:inline>
            </w:drawing>
          </mc:Choice>
          <mc:Fallback>
            <w:pict>
              <v:shape w14:anchorId="054BE5CF" id="_x0000_s1032" type="#_x0000_t202" style="width:352.65pt;height:7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fqSAIAAJEEAAAOAAAAZHJzL2Uyb0RvYy54bWysVNtu2zAMfR+wfxD0vtoJkjQx6hRduw4D&#10;um5Auw+QZdkWptsoJXb39aOkJEu3t2EvhkhRh4eHpK+uJ63IXoCX1tR0dlFSIgy3rTR9Tb89379b&#10;U+IDMy1T1oiavghPr7dv31yNrhJzO1jVCiAIYnw1upoOIbiqKDwfhGb+wjph8LKzoFlAE/qiBTYi&#10;ulbFvCxXxWihdWC58B69d/mSbhN+1wkevnSdF4GomiK3kL6Qvk38FtsrVvXA3CD5gQb7BxaaSYNJ&#10;T1B3LDCyA/kXlJYcrLdduOBWF7brJBepBqxmVv5RzdPAnEi1oDjenWTy/w+WP+6/ApEt9m5OiWEa&#10;e/QspkDe24nMojyj8xVGPTmMCxO6MTSV6t2D5d89MfZ2YKYXNwB2HARrkV56WZw9zTg+gjTjZ9ti&#10;GrYLNgFNHeioHapBEB3b9HJqTaTC0blYXK7XqxUlHO9mZblZLVPzClYdnzvw4aOwmsRDTQF7n+DZ&#10;/sEHLARDjyExm7dKtvdSqWTEeRO3Csie4aQ0fS5R7TRyzb71siwP84JunKrsPrJIExsRUqJX4MqQ&#10;saab5XyZdXuVGPrmlBYTHHIg11cQWgZcEyV1TdenIFZFtT+YNg1xYFLlMz5WBmlE+aPiWfswNVNq&#10;9OWxq41tX7AfYPNW4BbjYbDwk5IRN6Km/seOgaBEfTLY081ssYgrdG7AudGcG8xwhKopD0BJNm5D&#10;XrydA9kPmCuLbOwNTkInU48i58zrUADOfVL0sKNxsc7tFPX7T7L9BQAA//8DAFBLAwQUAAYACAAA&#10;ACEA7LHO9doAAAAFAQAADwAAAGRycy9kb3ducmV2LnhtbEyPQUvDQBCF74L/YRnBm92oVGuaTSmC&#10;OQo2gtdtdpINzc6G3W2T+usdvdjLg+E93vum2MxuECcMsfek4H6RgUBqvOmpU/BZv92tQMSkyejB&#10;Eyo4Y4RNeX1V6Nz4iT7wtEud4BKKuVZgUxpzKWNj0em48CMSe60PTic+QydN0BOXu0E+ZNmTdLon&#10;XrB6xFeLzWF3dArSOXxN8/d7O7aVs261rauqrpW6vZm3axAJ5/Qfhl98RoeSmfb+SCaKQQE/kv6U&#10;veds+Qhiz6HlSwayLOQlffkDAAD//wMAUEsBAi0AFAAGAAgAAAAhALaDOJL+AAAA4QEAABMAAAAA&#10;AAAAAAAAAAAAAAAAAFtDb250ZW50X1R5cGVzXS54bWxQSwECLQAUAAYACAAAACEAOP0h/9YAAACU&#10;AQAACwAAAAAAAAAAAAAAAAAvAQAAX3JlbHMvLnJlbHNQSwECLQAUAAYACAAAACEABDon6kgCAACR&#10;BAAADgAAAAAAAAAAAAAAAAAuAgAAZHJzL2Uyb0RvYy54bWxQSwECLQAUAAYACAAAACEA7LHO9doA&#10;AAAFAQAADwAAAAAAAAAAAAAAAACiBAAAZHJzL2Rvd25yZXYueG1sUEsFBgAAAAAEAAQA8wAAAKkF&#10;AAAAAA==&#10;" fillcolor="#d8d8d8 [2732]">
                <v:textbox inset=",7.2pt,,7.2pt">
                  <w:txbxContent>
                    <w:p w14:paraId="3B06F647" w14:textId="77777777" w:rsidR="00DB67D2" w:rsidRPr="001A4DE1" w:rsidRDefault="00DB67D2" w:rsidP="002F2F6F">
                      <w:pPr>
                        <w:rPr>
                          <w:rFonts w:asciiTheme="minorHAnsi" w:hAnsiTheme="minorHAnsi" w:cstheme="minorHAnsi"/>
                          <w:b/>
                        </w:rPr>
                      </w:pPr>
                      <w:r w:rsidRPr="00F9567F">
                        <w:rPr>
                          <w:rFonts w:asciiTheme="minorHAnsi" w:hAnsiTheme="minorHAnsi" w:cstheme="minorHAnsi"/>
                          <w:b/>
                          <w:color w:val="FF0000"/>
                        </w:rPr>
                        <w:t>REVIEWERS</w:t>
                      </w:r>
                      <w:r w:rsidRPr="001A4DE1">
                        <w:rPr>
                          <w:rFonts w:asciiTheme="minorHAnsi" w:hAnsiTheme="minorHAnsi" w:cstheme="minorHAnsi"/>
                          <w:b/>
                        </w:rPr>
                        <w:t xml:space="preserve"> do not edit or modify this section </w:t>
                      </w:r>
                    </w:p>
                    <w:p w14:paraId="1522E54D" w14:textId="77777777" w:rsidR="00DB67D2" w:rsidRDefault="00DB67D2" w:rsidP="002F2F6F">
                      <w:pPr>
                        <w:outlineLvl w:val="9"/>
                      </w:pPr>
                      <w:r w:rsidRPr="001A4DE1">
                        <w:rPr>
                          <w:rFonts w:asciiTheme="minorHAnsi" w:hAnsiTheme="minorHAnsi" w:cstheme="minorHAnsi"/>
                        </w:rPr>
                        <w:t xml:space="preserve"> </w:t>
                      </w:r>
                      <w:r>
                        <w:rPr>
                          <w:rFonts w:asciiTheme="minorHAnsi" w:hAnsiTheme="minorHAnsi" w:cstheme="minorHAnsi"/>
                        </w:rPr>
                        <w:t xml:space="preserve">Management reviewed and edited this section. It was then published with the Public Notice. </w:t>
                      </w:r>
                      <w:r w:rsidRPr="001A4DE1">
                        <w:rPr>
                          <w:rFonts w:asciiTheme="minorHAnsi" w:hAnsiTheme="minorHAnsi" w:cstheme="minorHAnsi"/>
                        </w:rPr>
                        <w:t xml:space="preserve">Do not modify it except to correct typographical errors. </w:t>
                      </w:r>
                    </w:p>
                  </w:txbxContent>
                </v:textbox>
                <w10:anchorlock/>
              </v:shape>
            </w:pict>
          </mc:Fallback>
        </mc:AlternateContent>
      </w:r>
    </w:p>
    <w:p w14:paraId="76C376D6" w14:textId="77777777" w:rsidR="002F2F6F" w:rsidRDefault="002F2F6F" w:rsidP="002F2F6F"/>
    <w:p w14:paraId="774BFEF2" w14:textId="77777777" w:rsidR="00164DC2" w:rsidRPr="00762E9F" w:rsidRDefault="00164DC2" w:rsidP="00164DC2">
      <w:pPr>
        <w:pStyle w:val="Heading2"/>
      </w:pPr>
      <w:r w:rsidRPr="00762E9F">
        <w:t>Land-use considerations</w:t>
      </w:r>
    </w:p>
    <w:p w14:paraId="3980840C" w14:textId="77777777" w:rsidR="00164DC2" w:rsidRPr="00762E9F" w:rsidRDefault="00164DC2" w:rsidP="00164DC2"/>
    <w:p w14:paraId="12569D33" w14:textId="77777777" w:rsidR="00164DC2" w:rsidRPr="00762E9F" w:rsidRDefault="00164DC2" w:rsidP="00164DC2">
      <w:r w:rsidRPr="00762E9F">
        <w:t>In adopting new or amended rules, ORS 197.180 and OAR 340-018-0070 require DEQ to determine whether the proposed rules significantly affect land use. If so, DEQ must explain how the proposed rules comply with statewide land-use planning goals and local acknowledged comprehensive plans.</w:t>
      </w:r>
    </w:p>
    <w:p w14:paraId="1FD96307" w14:textId="77777777" w:rsidR="00164DC2" w:rsidRPr="00762E9F" w:rsidRDefault="00164DC2" w:rsidP="00164DC2"/>
    <w:p w14:paraId="71B8D18A" w14:textId="77777777" w:rsidR="00164DC2" w:rsidRDefault="00164DC2" w:rsidP="00164DC2">
      <w:r w:rsidRPr="00762E9F">
        <w:t>Under OAR 660-030-0005 and OAR 340 Division 18, DEQ considers that rules affect land use if:</w:t>
      </w:r>
    </w:p>
    <w:p w14:paraId="5A4B9EB5" w14:textId="77777777" w:rsidR="00164DC2" w:rsidRPr="00762E9F" w:rsidRDefault="00164DC2" w:rsidP="00164DC2"/>
    <w:p w14:paraId="22145E19" w14:textId="77777777" w:rsidR="00164DC2" w:rsidRPr="00762E9F" w:rsidRDefault="00164DC2" w:rsidP="00164DC2">
      <w:pPr>
        <w:pStyle w:val="ListParagraph"/>
        <w:numPr>
          <w:ilvl w:val="0"/>
          <w:numId w:val="6"/>
        </w:numPr>
      </w:pPr>
      <w:r w:rsidRPr="00762E9F">
        <w:t>The statewide land use planning goals specifically refer to the rule or program, or</w:t>
      </w:r>
    </w:p>
    <w:p w14:paraId="026A9E7B" w14:textId="77777777" w:rsidR="00164DC2" w:rsidRPr="00762E9F" w:rsidRDefault="00164DC2" w:rsidP="00164DC2">
      <w:pPr>
        <w:pStyle w:val="ListParagraph"/>
        <w:numPr>
          <w:ilvl w:val="0"/>
          <w:numId w:val="6"/>
        </w:numPr>
      </w:pPr>
      <w:r w:rsidRPr="00762E9F">
        <w:t>The rule or program is reasonably expected to have significant effects on:</w:t>
      </w:r>
    </w:p>
    <w:p w14:paraId="4F4E8D67" w14:textId="77777777" w:rsidR="00164DC2" w:rsidRDefault="00164DC2" w:rsidP="00164DC2">
      <w:pPr>
        <w:pStyle w:val="ListParagraph"/>
        <w:numPr>
          <w:ilvl w:val="1"/>
          <w:numId w:val="6"/>
        </w:numPr>
      </w:pPr>
      <w:r w:rsidRPr="00762E9F">
        <w:t>Resources, object</w:t>
      </w:r>
      <w:r>
        <w:t>ives</w:t>
      </w:r>
      <w:r w:rsidRPr="00762E9F">
        <w:t xml:space="preserve"> or areas identified </w:t>
      </w:r>
      <w:r>
        <w:t>in the statewide planning goals</w:t>
      </w:r>
    </w:p>
    <w:p w14:paraId="13939585" w14:textId="77777777" w:rsidR="00164DC2" w:rsidRPr="00762E9F" w:rsidRDefault="00164DC2" w:rsidP="00164DC2">
      <w:pPr>
        <w:pStyle w:val="ListParagraph"/>
        <w:numPr>
          <w:ilvl w:val="1"/>
          <w:numId w:val="6"/>
        </w:numPr>
      </w:pPr>
      <w:r w:rsidRPr="00762E9F">
        <w:t>Present or future land uses identified in acknowledge comprehensive plans</w:t>
      </w:r>
    </w:p>
    <w:p w14:paraId="1FDBC56B" w14:textId="77777777" w:rsidR="00164DC2" w:rsidRPr="00762E9F" w:rsidRDefault="00164DC2" w:rsidP="00164DC2"/>
    <w:p w14:paraId="4D3152E4" w14:textId="77777777" w:rsidR="00164DC2" w:rsidRPr="00762E9F" w:rsidRDefault="00164DC2" w:rsidP="00164DC2">
      <w:r w:rsidRPr="00762E9F">
        <w:t>DEQ determined whether the proposed rules involve programs or actions that affect land use by reviewing its Statewide Agency Coordination plan. The plan describes the programs that DEQ determined significantly affect land use. DEQ considers that its programs specifically relate to the following statewide goals:</w:t>
      </w:r>
    </w:p>
    <w:p w14:paraId="7845D76E" w14:textId="77777777" w:rsidR="00164DC2" w:rsidRPr="00762E9F" w:rsidRDefault="00164DC2" w:rsidP="00164DC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7663"/>
      </w:tblGrid>
      <w:tr w:rsidR="00164DC2" w:rsidRPr="00762E9F" w14:paraId="15D4648A" w14:textId="77777777" w:rsidTr="00164DC2">
        <w:tc>
          <w:tcPr>
            <w:tcW w:w="1255" w:type="dxa"/>
          </w:tcPr>
          <w:p w14:paraId="2A6698AA" w14:textId="77777777" w:rsidR="00164DC2" w:rsidRPr="005B375B" w:rsidRDefault="00164DC2" w:rsidP="00164DC2">
            <w:pPr>
              <w:rPr>
                <w:rFonts w:ascii="Arial" w:hAnsi="Arial" w:cs="Arial"/>
                <w:b/>
              </w:rPr>
            </w:pPr>
            <w:r w:rsidRPr="005B375B">
              <w:rPr>
                <w:rFonts w:ascii="Arial" w:hAnsi="Arial" w:cs="Arial"/>
                <w:b/>
              </w:rPr>
              <w:t>Goal</w:t>
            </w:r>
          </w:p>
        </w:tc>
        <w:tc>
          <w:tcPr>
            <w:tcW w:w="7663" w:type="dxa"/>
          </w:tcPr>
          <w:p w14:paraId="3CFB756B" w14:textId="77777777" w:rsidR="00164DC2" w:rsidRPr="005B375B" w:rsidRDefault="00164DC2" w:rsidP="00164DC2">
            <w:pPr>
              <w:rPr>
                <w:rFonts w:ascii="Arial" w:hAnsi="Arial" w:cs="Arial"/>
                <w:b/>
              </w:rPr>
            </w:pPr>
            <w:r w:rsidRPr="005B375B">
              <w:rPr>
                <w:rFonts w:ascii="Arial" w:hAnsi="Arial" w:cs="Arial"/>
                <w:b/>
              </w:rPr>
              <w:t>Title</w:t>
            </w:r>
          </w:p>
        </w:tc>
      </w:tr>
      <w:tr w:rsidR="00164DC2" w:rsidRPr="00762E9F" w14:paraId="0C82D064" w14:textId="77777777" w:rsidTr="00164DC2">
        <w:tc>
          <w:tcPr>
            <w:tcW w:w="1255" w:type="dxa"/>
          </w:tcPr>
          <w:p w14:paraId="1021AD5F" w14:textId="77777777" w:rsidR="00164DC2" w:rsidRPr="00762E9F" w:rsidRDefault="00164DC2" w:rsidP="00164DC2">
            <w:r w:rsidRPr="00762E9F">
              <w:t>5</w:t>
            </w:r>
          </w:p>
        </w:tc>
        <w:tc>
          <w:tcPr>
            <w:tcW w:w="7663" w:type="dxa"/>
          </w:tcPr>
          <w:p w14:paraId="7704C191" w14:textId="77777777" w:rsidR="00164DC2" w:rsidRPr="00762E9F" w:rsidRDefault="00164DC2" w:rsidP="00164DC2">
            <w:r w:rsidRPr="00762E9F">
              <w:t>Natural Resources, Scenic and Historic Areas and Open Spaces</w:t>
            </w:r>
          </w:p>
        </w:tc>
      </w:tr>
      <w:tr w:rsidR="00164DC2" w:rsidRPr="00762E9F" w14:paraId="6C4D509B" w14:textId="77777777" w:rsidTr="00164DC2">
        <w:tc>
          <w:tcPr>
            <w:tcW w:w="1255" w:type="dxa"/>
          </w:tcPr>
          <w:p w14:paraId="1181316C" w14:textId="77777777" w:rsidR="00164DC2" w:rsidRPr="00762E9F" w:rsidRDefault="00164DC2" w:rsidP="00164DC2">
            <w:r w:rsidRPr="00762E9F">
              <w:t>6</w:t>
            </w:r>
          </w:p>
        </w:tc>
        <w:tc>
          <w:tcPr>
            <w:tcW w:w="7663" w:type="dxa"/>
          </w:tcPr>
          <w:p w14:paraId="2451AC57" w14:textId="77777777" w:rsidR="00164DC2" w:rsidRPr="00762E9F" w:rsidRDefault="00164DC2" w:rsidP="00164DC2">
            <w:r w:rsidRPr="00762E9F">
              <w:t>Air, Water and Land Resources Quality</w:t>
            </w:r>
          </w:p>
        </w:tc>
      </w:tr>
      <w:tr w:rsidR="00164DC2" w:rsidRPr="00762E9F" w14:paraId="5C3120C1" w14:textId="77777777" w:rsidTr="00164DC2">
        <w:tc>
          <w:tcPr>
            <w:tcW w:w="1255" w:type="dxa"/>
          </w:tcPr>
          <w:p w14:paraId="6D1A43B1" w14:textId="77777777" w:rsidR="00164DC2" w:rsidRPr="00762E9F" w:rsidRDefault="00164DC2" w:rsidP="00164DC2">
            <w:r w:rsidRPr="00762E9F">
              <w:t>11</w:t>
            </w:r>
          </w:p>
        </w:tc>
        <w:tc>
          <w:tcPr>
            <w:tcW w:w="7663" w:type="dxa"/>
          </w:tcPr>
          <w:p w14:paraId="23A3C108" w14:textId="77777777" w:rsidR="00164DC2" w:rsidRPr="00762E9F" w:rsidRDefault="00164DC2" w:rsidP="00164DC2">
            <w:r w:rsidRPr="00762E9F">
              <w:t>Public Facilities and Services</w:t>
            </w:r>
          </w:p>
        </w:tc>
      </w:tr>
      <w:tr w:rsidR="00164DC2" w:rsidRPr="00762E9F" w14:paraId="5C67ABFF" w14:textId="77777777" w:rsidTr="00164DC2">
        <w:tc>
          <w:tcPr>
            <w:tcW w:w="1255" w:type="dxa"/>
          </w:tcPr>
          <w:p w14:paraId="63C26593" w14:textId="77777777" w:rsidR="00164DC2" w:rsidRPr="00762E9F" w:rsidRDefault="00164DC2" w:rsidP="00164DC2">
            <w:r w:rsidRPr="00762E9F">
              <w:t>16</w:t>
            </w:r>
          </w:p>
        </w:tc>
        <w:tc>
          <w:tcPr>
            <w:tcW w:w="7663" w:type="dxa"/>
          </w:tcPr>
          <w:p w14:paraId="33BFB3F6" w14:textId="77777777" w:rsidR="00164DC2" w:rsidRPr="00762E9F" w:rsidRDefault="00164DC2" w:rsidP="00164DC2">
            <w:r w:rsidRPr="00762E9F">
              <w:t>Estuarine Resources</w:t>
            </w:r>
          </w:p>
        </w:tc>
      </w:tr>
      <w:tr w:rsidR="00164DC2" w:rsidRPr="00762E9F" w14:paraId="510C395D" w14:textId="77777777" w:rsidTr="00164DC2">
        <w:tc>
          <w:tcPr>
            <w:tcW w:w="1255" w:type="dxa"/>
          </w:tcPr>
          <w:p w14:paraId="103E485B" w14:textId="77777777" w:rsidR="00164DC2" w:rsidRPr="00762E9F" w:rsidRDefault="00164DC2" w:rsidP="00164DC2">
            <w:r w:rsidRPr="00762E9F">
              <w:t>19</w:t>
            </w:r>
          </w:p>
        </w:tc>
        <w:tc>
          <w:tcPr>
            <w:tcW w:w="7663" w:type="dxa"/>
          </w:tcPr>
          <w:p w14:paraId="406A820E" w14:textId="77777777" w:rsidR="00164DC2" w:rsidRPr="00762E9F" w:rsidRDefault="00164DC2" w:rsidP="00164DC2">
            <w:r w:rsidRPr="00762E9F">
              <w:t>Ocean Resources</w:t>
            </w:r>
          </w:p>
        </w:tc>
      </w:tr>
    </w:tbl>
    <w:p w14:paraId="5D017C4D" w14:textId="77777777" w:rsidR="00164DC2" w:rsidRPr="00762E9F" w:rsidRDefault="00164DC2" w:rsidP="00164DC2"/>
    <w:p w14:paraId="1D0A75CF" w14:textId="77777777" w:rsidR="00164DC2" w:rsidRPr="00762E9F" w:rsidRDefault="00164DC2" w:rsidP="00164DC2">
      <w:r w:rsidRPr="00762E9F">
        <w:t>Statewide goals also specifically reference the following DEQ programs:</w:t>
      </w:r>
    </w:p>
    <w:p w14:paraId="355645E4" w14:textId="77777777" w:rsidR="00164DC2" w:rsidRPr="00762E9F" w:rsidRDefault="00164DC2" w:rsidP="00164DC2"/>
    <w:p w14:paraId="49C3FE70" w14:textId="77777777" w:rsidR="00164DC2" w:rsidRPr="00762E9F" w:rsidRDefault="00164DC2" w:rsidP="00164DC2">
      <w:pPr>
        <w:pStyle w:val="ListParagraph"/>
        <w:numPr>
          <w:ilvl w:val="0"/>
          <w:numId w:val="7"/>
        </w:numPr>
      </w:pPr>
      <w:r w:rsidRPr="00762E9F">
        <w:t>Nonpoint source discharge water quality program – Goal 16</w:t>
      </w:r>
    </w:p>
    <w:p w14:paraId="7F04FAE1" w14:textId="77777777" w:rsidR="00164DC2" w:rsidRPr="00762E9F" w:rsidRDefault="00164DC2" w:rsidP="00164DC2">
      <w:pPr>
        <w:pStyle w:val="ListParagraph"/>
        <w:numPr>
          <w:ilvl w:val="0"/>
          <w:numId w:val="7"/>
        </w:numPr>
      </w:pPr>
      <w:r w:rsidRPr="00762E9F">
        <w:t>Water quality and sewage disposal systems – Goal 16</w:t>
      </w:r>
    </w:p>
    <w:p w14:paraId="7D199507" w14:textId="77777777" w:rsidR="00164DC2" w:rsidRPr="00762E9F" w:rsidRDefault="00164DC2" w:rsidP="00164DC2">
      <w:pPr>
        <w:pStyle w:val="ListParagraph"/>
        <w:numPr>
          <w:ilvl w:val="0"/>
          <w:numId w:val="7"/>
        </w:numPr>
      </w:pPr>
      <w:r w:rsidRPr="00762E9F">
        <w:t>Water quality permits and oil spill regulations – Goal 19</w:t>
      </w:r>
    </w:p>
    <w:p w14:paraId="59772128" w14:textId="77777777" w:rsidR="00164DC2" w:rsidRPr="00762E9F" w:rsidRDefault="00164DC2" w:rsidP="00164DC2"/>
    <w:p w14:paraId="4A3FDFDC" w14:textId="77777777" w:rsidR="00164DC2" w:rsidRPr="00762E9F" w:rsidRDefault="00164DC2" w:rsidP="00164DC2">
      <w:pPr>
        <w:pStyle w:val="Heading2"/>
      </w:pPr>
      <w:r w:rsidRPr="00762E9F">
        <w:t>Determination</w:t>
      </w:r>
    </w:p>
    <w:p w14:paraId="0F7BDD15" w14:textId="77777777" w:rsidR="00164DC2" w:rsidRDefault="00164DC2" w:rsidP="00164DC2"/>
    <w:p w14:paraId="1DDD2029" w14:textId="77777777" w:rsidR="00164DC2" w:rsidRPr="00762E9F" w:rsidRDefault="00164DC2" w:rsidP="00164DC2">
      <w:r w:rsidRPr="000860BA">
        <w:lastRenderedPageBreak/>
        <w:t xml:space="preserve">DEQ determined that these proposed </w:t>
      </w:r>
      <w:r>
        <w:t>rule amendments</w:t>
      </w:r>
      <w:r w:rsidRPr="000860BA">
        <w:t xml:space="preserve"> do not affect land use under OAR 340-018-0030 or DEQ’s State Agency Coordination Program.</w:t>
      </w:r>
    </w:p>
    <w:p w14:paraId="43B2F4F7" w14:textId="5E5D2EF1" w:rsidR="002F2F6F" w:rsidRDefault="002F2F6F" w:rsidP="002F2F6F">
      <w:r>
        <w:br w:type="page"/>
      </w:r>
    </w:p>
    <w:p w14:paraId="436C8012" w14:textId="54C93D4C" w:rsidR="002F2F6F" w:rsidRPr="003C26EE" w:rsidRDefault="002F2F6F" w:rsidP="002F2F6F">
      <w:pPr>
        <w:pStyle w:val="Heading1"/>
      </w:pPr>
      <w:bookmarkStart w:id="22" w:name="_Toc3988353"/>
      <w:bookmarkStart w:id="23" w:name="_Toc4051285"/>
      <w:r w:rsidRPr="003C26EE">
        <w:lastRenderedPageBreak/>
        <w:t>EQC Prior Involvement</w:t>
      </w:r>
      <w:bookmarkEnd w:id="22"/>
      <w:bookmarkEnd w:id="23"/>
    </w:p>
    <w:p w14:paraId="347A124C" w14:textId="77777777" w:rsidR="002F2F6F" w:rsidRDefault="002F2F6F" w:rsidP="00A83AA3">
      <w:pPr>
        <w:pStyle w:val="instructions"/>
      </w:pPr>
      <w:r>
        <w:t>Copy and paste from Notice of Rulemaking.</w:t>
      </w:r>
    </w:p>
    <w:p w14:paraId="4A1CCCB1" w14:textId="77777777" w:rsidR="002F2F6F" w:rsidRDefault="002F2F6F" w:rsidP="00A83AA3">
      <w:pPr>
        <w:pStyle w:val="instructions"/>
      </w:pPr>
    </w:p>
    <w:p w14:paraId="4DE58F65" w14:textId="77777777" w:rsidR="002F2F6F" w:rsidRPr="003C26EE" w:rsidRDefault="002F2F6F" w:rsidP="00A83AA3">
      <w:pPr>
        <w:pStyle w:val="instructions"/>
      </w:pPr>
      <w:r w:rsidRPr="001404B0">
        <w:rPr>
          <w:noProof/>
        </w:rPr>
        <mc:AlternateContent>
          <mc:Choice Requires="wps">
            <w:drawing>
              <wp:inline distT="0" distB="0" distL="0" distR="0" wp14:anchorId="009EFEF1" wp14:editId="6EA70DE2">
                <wp:extent cx="4478866" cy="1009650"/>
                <wp:effectExtent l="0" t="0" r="17145" b="19050"/>
                <wp:docPr id="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8866" cy="1009650"/>
                        </a:xfrm>
                        <a:prstGeom prst="rect">
                          <a:avLst/>
                        </a:prstGeom>
                        <a:solidFill>
                          <a:schemeClr val="bg1">
                            <a:lumMod val="85000"/>
                            <a:lumOff val="0"/>
                          </a:schemeClr>
                        </a:solidFill>
                        <a:ln w="9525">
                          <a:solidFill>
                            <a:srgbClr val="000000"/>
                          </a:solidFill>
                          <a:miter lim="800000"/>
                          <a:headEnd/>
                          <a:tailEnd/>
                        </a:ln>
                      </wps:spPr>
                      <wps:txbx>
                        <w:txbxContent>
                          <w:p w14:paraId="75ED4C90" w14:textId="77777777" w:rsidR="00DB67D2" w:rsidRPr="001A4DE1" w:rsidRDefault="00DB67D2" w:rsidP="002F2F6F">
                            <w:pPr>
                              <w:rPr>
                                <w:rFonts w:asciiTheme="minorHAnsi" w:hAnsiTheme="minorHAnsi" w:cstheme="minorHAnsi"/>
                                <w:b/>
                              </w:rPr>
                            </w:pPr>
                            <w:r w:rsidRPr="00F9567F">
                              <w:rPr>
                                <w:rFonts w:asciiTheme="minorHAnsi" w:hAnsiTheme="minorHAnsi" w:cstheme="minorHAnsi"/>
                                <w:b/>
                                <w:color w:val="FF0000"/>
                              </w:rPr>
                              <w:t>REVIEWERS</w:t>
                            </w:r>
                            <w:r w:rsidRPr="001A4DE1">
                              <w:rPr>
                                <w:rFonts w:asciiTheme="minorHAnsi" w:hAnsiTheme="minorHAnsi" w:cstheme="minorHAnsi"/>
                                <w:b/>
                              </w:rPr>
                              <w:t xml:space="preserve"> do not edit or modify this section </w:t>
                            </w:r>
                          </w:p>
                          <w:p w14:paraId="2B9F19BD" w14:textId="77777777" w:rsidR="00DB67D2" w:rsidRDefault="00DB67D2" w:rsidP="002F2F6F">
                            <w:pPr>
                              <w:outlineLvl w:val="9"/>
                            </w:pPr>
                            <w:r w:rsidRPr="001A4DE1">
                              <w:rPr>
                                <w:rFonts w:asciiTheme="minorHAnsi" w:hAnsiTheme="minorHAnsi" w:cstheme="minorHAnsi"/>
                              </w:rPr>
                              <w:t xml:space="preserve"> </w:t>
                            </w:r>
                            <w:r>
                              <w:rPr>
                                <w:rFonts w:asciiTheme="minorHAnsi" w:hAnsiTheme="minorHAnsi" w:cstheme="minorHAnsi"/>
                              </w:rPr>
                              <w:t xml:space="preserve">Management reviewed and edited this section. It was then published with the Public Notice. </w:t>
                            </w:r>
                            <w:r w:rsidRPr="001A4DE1">
                              <w:rPr>
                                <w:rFonts w:asciiTheme="minorHAnsi" w:hAnsiTheme="minorHAnsi" w:cstheme="minorHAnsi"/>
                              </w:rPr>
                              <w:t xml:space="preserve">Do not modify it except to correct typographical errors. </w:t>
                            </w:r>
                          </w:p>
                        </w:txbxContent>
                      </wps:txbx>
                      <wps:bodyPr rot="0" vert="horz" wrap="square" lIns="91440" tIns="91440" rIns="91440" bIns="91440" anchor="ctr" anchorCtr="0" upright="1">
                        <a:noAutofit/>
                      </wps:bodyPr>
                    </wps:wsp>
                  </a:graphicData>
                </a:graphic>
              </wp:inline>
            </w:drawing>
          </mc:Choice>
          <mc:Fallback>
            <w:pict>
              <v:shape w14:anchorId="009EFEF1" id="_x0000_s1033" type="#_x0000_t202" style="width:352.65pt;height:7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KYTSAIAAJEEAAAOAAAAZHJzL2Uyb0RvYy54bWysVNtu2zAMfR+wfxD0vtrJkiw16hRduw4D&#10;ugvQ7gNkWbaF6TZKid19fSkpyZLtbdiLIVLU4eEh6avrSSuyE+ClNTWdXZSUCMNtK01f0+9P92/W&#10;lPjATMuUNaKmz8LT683rV1ejq8TcDla1AgiCGF+NrqZDCK4qCs8HoZm/sE4YvOwsaBbQhL5ogY2I&#10;rlUxL8tVMVpoHVguvEfvXb6km4TfdYKHr13nRSCqpsgtpC+kbxO/xeaKVT0wN0i+p8H+gYVm0mDS&#10;I9QdC4xsQf4FpSUH620XLrjVhe06yUWqAauZlX9U8zgwJ1ItKI53R5n8/4PlX3bfgMgWe/eWEsM0&#10;9uhJTIG8txOZRXlG5yuMenQYFyZ0Y2gq1bsHy394YuztwEwvbgDsOAjWIr30sjh5mnF8BGnGz7bF&#10;NGwbbAKaOtBRO1SDIDq26fnYmkiFo3OxeLder1aUcLybleXlapmaV7Dq8NyBDx+F1SQeagrY+wTP&#10;dg8+YCEYegiJ2bxVsr2XSiUjzpu4VUB2DCel6XOJaquRa/atl2W5nxd041Rl94FFmtiIkBKdgStD&#10;xppeLufLrNtZYuibY1pMsM+BXM8gtAy4Jkrqmq6PQayKan8wbRriwKTKZ3ysDNKI8kfFs/ZhaqbU&#10;6PWhq41tn7EfYPNW4BbjYbDwi5IRN6Km/ueWgaBEfTLY08vZYhFX6NSAU6M5NZjhCFVTHoCSbNyG&#10;vHhbB7IfMFcW2dgbnIROph5FzpnXvgCc+6TofkfjYp3aKer3n2TzAgAA//8DAFBLAwQUAAYACAAA&#10;ACEA7LHO9doAAAAFAQAADwAAAGRycy9kb3ducmV2LnhtbEyPQUvDQBCF74L/YRnBm92oVGuaTSmC&#10;OQo2gtdtdpINzc6G3W2T+usdvdjLg+E93vum2MxuECcMsfek4H6RgUBqvOmpU/BZv92tQMSkyejB&#10;Eyo4Y4RNeX1V6Nz4iT7wtEud4BKKuVZgUxpzKWNj0em48CMSe60PTic+QydN0BOXu0E+ZNmTdLon&#10;XrB6xFeLzWF3dArSOXxN8/d7O7aVs261rauqrpW6vZm3axAJ5/Qfhl98RoeSmfb+SCaKQQE/kv6U&#10;veds+Qhiz6HlSwayLOQlffkDAAD//wMAUEsBAi0AFAAGAAgAAAAhALaDOJL+AAAA4QEAABMAAAAA&#10;AAAAAAAAAAAAAAAAAFtDb250ZW50X1R5cGVzXS54bWxQSwECLQAUAAYACAAAACEAOP0h/9YAAACU&#10;AQAACwAAAAAAAAAAAAAAAAAvAQAAX3JlbHMvLnJlbHNQSwECLQAUAAYACAAAACEAmGCmE0gCAACR&#10;BAAADgAAAAAAAAAAAAAAAAAuAgAAZHJzL2Uyb0RvYy54bWxQSwECLQAUAAYACAAAACEA7LHO9doA&#10;AAAFAQAADwAAAAAAAAAAAAAAAACiBAAAZHJzL2Rvd25yZXYueG1sUEsFBgAAAAAEAAQA8wAAAKkF&#10;AAAAAA==&#10;" fillcolor="#d8d8d8 [2732]">
                <v:textbox inset=",7.2pt,,7.2pt">
                  <w:txbxContent>
                    <w:p w14:paraId="75ED4C90" w14:textId="77777777" w:rsidR="00DB67D2" w:rsidRPr="001A4DE1" w:rsidRDefault="00DB67D2" w:rsidP="002F2F6F">
                      <w:pPr>
                        <w:rPr>
                          <w:rFonts w:asciiTheme="minorHAnsi" w:hAnsiTheme="minorHAnsi" w:cstheme="minorHAnsi"/>
                          <w:b/>
                        </w:rPr>
                      </w:pPr>
                      <w:r w:rsidRPr="00F9567F">
                        <w:rPr>
                          <w:rFonts w:asciiTheme="minorHAnsi" w:hAnsiTheme="minorHAnsi" w:cstheme="minorHAnsi"/>
                          <w:b/>
                          <w:color w:val="FF0000"/>
                        </w:rPr>
                        <w:t>REVIEWERS</w:t>
                      </w:r>
                      <w:r w:rsidRPr="001A4DE1">
                        <w:rPr>
                          <w:rFonts w:asciiTheme="minorHAnsi" w:hAnsiTheme="minorHAnsi" w:cstheme="minorHAnsi"/>
                          <w:b/>
                        </w:rPr>
                        <w:t xml:space="preserve"> do not edit or modify this section </w:t>
                      </w:r>
                    </w:p>
                    <w:p w14:paraId="2B9F19BD" w14:textId="77777777" w:rsidR="00DB67D2" w:rsidRDefault="00DB67D2" w:rsidP="002F2F6F">
                      <w:pPr>
                        <w:outlineLvl w:val="9"/>
                      </w:pPr>
                      <w:r w:rsidRPr="001A4DE1">
                        <w:rPr>
                          <w:rFonts w:asciiTheme="minorHAnsi" w:hAnsiTheme="minorHAnsi" w:cstheme="minorHAnsi"/>
                        </w:rPr>
                        <w:t xml:space="preserve"> </w:t>
                      </w:r>
                      <w:r>
                        <w:rPr>
                          <w:rFonts w:asciiTheme="minorHAnsi" w:hAnsiTheme="minorHAnsi" w:cstheme="minorHAnsi"/>
                        </w:rPr>
                        <w:t xml:space="preserve">Management reviewed and edited this section. It was then published with the Public Notice. </w:t>
                      </w:r>
                      <w:r w:rsidRPr="001A4DE1">
                        <w:rPr>
                          <w:rFonts w:asciiTheme="minorHAnsi" w:hAnsiTheme="minorHAnsi" w:cstheme="minorHAnsi"/>
                        </w:rPr>
                        <w:t xml:space="preserve">Do not modify it except to correct typographical errors. </w:t>
                      </w:r>
                    </w:p>
                  </w:txbxContent>
                </v:textbox>
                <w10:anchorlock/>
              </v:shape>
            </w:pict>
          </mc:Fallback>
        </mc:AlternateContent>
      </w:r>
    </w:p>
    <w:p w14:paraId="6F84399F" w14:textId="12167C26" w:rsidR="002F2F6F" w:rsidRDefault="002F2F6F" w:rsidP="002F2F6F"/>
    <w:p w14:paraId="4775952A" w14:textId="77777777" w:rsidR="007B7C59" w:rsidRPr="007B7C59" w:rsidRDefault="007B7C59" w:rsidP="007B7C59">
      <w:pPr>
        <w:rPr>
          <w:bCs/>
          <w:color w:val="auto"/>
          <w:szCs w:val="32"/>
        </w:rPr>
      </w:pPr>
      <w:r w:rsidRPr="007B7C59">
        <w:rPr>
          <w:bCs/>
          <w:color w:val="auto"/>
          <w:szCs w:val="32"/>
        </w:rPr>
        <w:t xml:space="preserve">DEQ did not present additional information to the EQC specific to this proposed rule revision. </w:t>
      </w:r>
    </w:p>
    <w:p w14:paraId="3EA37A6E" w14:textId="77777777" w:rsidR="002F2F6F" w:rsidRDefault="002F2F6F" w:rsidP="002F2F6F">
      <w:r>
        <w:br w:type="page"/>
      </w:r>
    </w:p>
    <w:p w14:paraId="209C9692" w14:textId="77777777" w:rsidR="002F2F6F" w:rsidRPr="003C26EE" w:rsidRDefault="002F2F6F" w:rsidP="002F2F6F">
      <w:pPr>
        <w:pStyle w:val="Heading1"/>
      </w:pPr>
      <w:bookmarkStart w:id="24" w:name="_Toc3988354"/>
      <w:bookmarkStart w:id="25" w:name="_Toc4051286"/>
      <w:r w:rsidRPr="003C26EE">
        <w:lastRenderedPageBreak/>
        <w:t>Advisory Committee</w:t>
      </w:r>
      <w:bookmarkEnd w:id="24"/>
      <w:bookmarkEnd w:id="25"/>
    </w:p>
    <w:p w14:paraId="324912E4" w14:textId="77777777" w:rsidR="002F2F6F" w:rsidRDefault="002F2F6F" w:rsidP="00A83AA3">
      <w:pPr>
        <w:pStyle w:val="instructions"/>
      </w:pPr>
      <w:r>
        <w:t>Copy and paste from Notice of Rulemaking.</w:t>
      </w:r>
    </w:p>
    <w:p w14:paraId="386682FB" w14:textId="77777777" w:rsidR="002F2F6F" w:rsidRDefault="002F2F6F" w:rsidP="00A83AA3">
      <w:pPr>
        <w:pStyle w:val="instructions"/>
      </w:pPr>
    </w:p>
    <w:p w14:paraId="4FBB9BF8" w14:textId="77777777" w:rsidR="002F2F6F" w:rsidRDefault="002F2F6F" w:rsidP="002F2F6F">
      <w:r w:rsidRPr="001404B0">
        <w:rPr>
          <w:noProof/>
        </w:rPr>
        <mc:AlternateContent>
          <mc:Choice Requires="wps">
            <w:drawing>
              <wp:inline distT="0" distB="0" distL="0" distR="0" wp14:anchorId="19CC88FF" wp14:editId="56B0613F">
                <wp:extent cx="4478866" cy="1009650"/>
                <wp:effectExtent l="0" t="0" r="17145" b="19050"/>
                <wp:docPr id="1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8866" cy="1009650"/>
                        </a:xfrm>
                        <a:prstGeom prst="rect">
                          <a:avLst/>
                        </a:prstGeom>
                        <a:solidFill>
                          <a:schemeClr val="bg1">
                            <a:lumMod val="85000"/>
                            <a:lumOff val="0"/>
                          </a:schemeClr>
                        </a:solidFill>
                        <a:ln w="9525">
                          <a:solidFill>
                            <a:srgbClr val="000000"/>
                          </a:solidFill>
                          <a:miter lim="800000"/>
                          <a:headEnd/>
                          <a:tailEnd/>
                        </a:ln>
                      </wps:spPr>
                      <wps:txbx>
                        <w:txbxContent>
                          <w:p w14:paraId="185257BE" w14:textId="77777777" w:rsidR="00DB67D2" w:rsidRPr="001A4DE1" w:rsidRDefault="00DB67D2" w:rsidP="002F2F6F">
                            <w:pPr>
                              <w:rPr>
                                <w:rFonts w:asciiTheme="minorHAnsi" w:hAnsiTheme="minorHAnsi" w:cstheme="minorHAnsi"/>
                                <w:b/>
                              </w:rPr>
                            </w:pPr>
                            <w:r w:rsidRPr="00F9567F">
                              <w:rPr>
                                <w:rFonts w:asciiTheme="minorHAnsi" w:hAnsiTheme="minorHAnsi" w:cstheme="minorHAnsi"/>
                                <w:b/>
                                <w:color w:val="FF0000"/>
                              </w:rPr>
                              <w:t>REVIEWERS</w:t>
                            </w:r>
                            <w:r w:rsidRPr="001A4DE1">
                              <w:rPr>
                                <w:rFonts w:asciiTheme="minorHAnsi" w:hAnsiTheme="minorHAnsi" w:cstheme="minorHAnsi"/>
                                <w:b/>
                              </w:rPr>
                              <w:t xml:space="preserve"> do not edit or modify this section </w:t>
                            </w:r>
                          </w:p>
                          <w:p w14:paraId="29FCD7E9" w14:textId="77777777" w:rsidR="00DB67D2" w:rsidRDefault="00DB67D2" w:rsidP="002F2F6F">
                            <w:pPr>
                              <w:outlineLvl w:val="9"/>
                            </w:pPr>
                            <w:r w:rsidRPr="001A4DE1">
                              <w:rPr>
                                <w:rFonts w:asciiTheme="minorHAnsi" w:hAnsiTheme="minorHAnsi" w:cstheme="minorHAnsi"/>
                              </w:rPr>
                              <w:t xml:space="preserve"> </w:t>
                            </w:r>
                            <w:r>
                              <w:rPr>
                                <w:rFonts w:asciiTheme="minorHAnsi" w:hAnsiTheme="minorHAnsi" w:cstheme="minorHAnsi"/>
                              </w:rPr>
                              <w:t xml:space="preserve">Management reviewed and edited this section. It was then published with the Public Notice. </w:t>
                            </w:r>
                            <w:r w:rsidRPr="001A4DE1">
                              <w:rPr>
                                <w:rFonts w:asciiTheme="minorHAnsi" w:hAnsiTheme="minorHAnsi" w:cstheme="minorHAnsi"/>
                              </w:rPr>
                              <w:t xml:space="preserve">Do not modify it except to correct typographical errors. </w:t>
                            </w:r>
                          </w:p>
                        </w:txbxContent>
                      </wps:txbx>
                      <wps:bodyPr rot="0" vert="horz" wrap="square" lIns="91440" tIns="91440" rIns="91440" bIns="91440" anchor="ctr" anchorCtr="0" upright="1">
                        <a:noAutofit/>
                      </wps:bodyPr>
                    </wps:wsp>
                  </a:graphicData>
                </a:graphic>
              </wp:inline>
            </w:drawing>
          </mc:Choice>
          <mc:Fallback>
            <w:pict>
              <v:shape w14:anchorId="19CC88FF" id="_x0000_s1034" type="#_x0000_t202" style="width:352.65pt;height:7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TOSAIAAJEEAAAOAAAAZHJzL2Uyb0RvYy54bWysVNtu2zAMfR+wfxD0vtopkiwx4hRduw4D&#10;ugvQ7gNkWbaFSaImKbGzrx8lJVm6vQ17MUSKOjw8JL25mbQie+G8BFPT2VVJiTAcWmn6mn57fniz&#10;osQHZlqmwIiaHoSnN9vXrzajrcQ1DKBa4QiCGF+NtqZDCLYqCs8HoZm/AisMXnbgNAtour5oHRsR&#10;XaviuiyXxQiutQ648B699/mSbhN+1wkevnSdF4GomiK3kL4ufZv4LbYbVvWO2UHyIw32Dyw0kwaT&#10;nqHuWWBk5+RfUFpyBx66cMVBF9B1kotUA1YzK/+o5mlgVqRaUBxvzzL5/wfLP++/OiJb7N2cEsM0&#10;9uhZTIG8g4nMojyj9RVGPVmMCxO6MTSV6u0j8O+eGLgbmOnFrXMwDoK1SC+9LC6eZhwfQZrxE7SY&#10;hu0CJKCpczpqh2oQRMc2Hc6tiVQ4Oufzt6vVckkJx7tZWa6Xi9S8glWn59b58EGAJvFQU4e9T/Bs&#10;/+gDFoKhp5CYzYOS7YNUKhlx3sSdcmTPcFKaPpeodhq5Zt9qUZbHeUE3TlV2n1ikiY0IKdELcGXI&#10;WNP14nqRdXuR2PXNOS0mOOZAri8gtAy4Jkrqmq7OQayKar83bRriwKTKZ3ysDNKI8kfFs/ZhaqbU&#10;6PWpqw20B+yHg7wVuMV4GMD9pGTEjaip/7FjTlCiPhrs6Xo2n8cVujTcpdFcGsxwhKopD46SbNyF&#10;vHg762Q/YK4ssoFbnIROph5FzpnXsQCc+6TocUfjYl3aKer3n2T7CwAA//8DAFBLAwQUAAYACAAA&#10;ACEA7LHO9doAAAAFAQAADwAAAGRycy9kb3ducmV2LnhtbEyPQUvDQBCF74L/YRnBm92oVGuaTSmC&#10;OQo2gtdtdpINzc6G3W2T+usdvdjLg+E93vum2MxuECcMsfek4H6RgUBqvOmpU/BZv92tQMSkyejB&#10;Eyo4Y4RNeX1V6Nz4iT7wtEud4BKKuVZgUxpzKWNj0em48CMSe60PTic+QydN0BOXu0E+ZNmTdLon&#10;XrB6xFeLzWF3dArSOXxN8/d7O7aVs261rauqrpW6vZm3axAJ5/Qfhl98RoeSmfb+SCaKQQE/kv6U&#10;veds+Qhiz6HlSwayLOQlffkDAAD//wMAUEsBAi0AFAAGAAgAAAAhALaDOJL+AAAA4QEAABMAAAAA&#10;AAAAAAAAAAAAAAAAAFtDb250ZW50X1R5cGVzXS54bWxQSwECLQAUAAYACAAAACEAOP0h/9YAAACU&#10;AQAACwAAAAAAAAAAAAAAAAAvAQAAX3JlbHMvLnJlbHNQSwECLQAUAAYACAAAACEA3nf0zkgCAACR&#10;BAAADgAAAAAAAAAAAAAAAAAuAgAAZHJzL2Uyb0RvYy54bWxQSwECLQAUAAYACAAAACEA7LHO9doA&#10;AAAFAQAADwAAAAAAAAAAAAAAAACiBAAAZHJzL2Rvd25yZXYueG1sUEsFBgAAAAAEAAQA8wAAAKkF&#10;AAAAAA==&#10;" fillcolor="#d8d8d8 [2732]">
                <v:textbox inset=",7.2pt,,7.2pt">
                  <w:txbxContent>
                    <w:p w14:paraId="185257BE" w14:textId="77777777" w:rsidR="00DB67D2" w:rsidRPr="001A4DE1" w:rsidRDefault="00DB67D2" w:rsidP="002F2F6F">
                      <w:pPr>
                        <w:rPr>
                          <w:rFonts w:asciiTheme="minorHAnsi" w:hAnsiTheme="minorHAnsi" w:cstheme="minorHAnsi"/>
                          <w:b/>
                        </w:rPr>
                      </w:pPr>
                      <w:r w:rsidRPr="00F9567F">
                        <w:rPr>
                          <w:rFonts w:asciiTheme="minorHAnsi" w:hAnsiTheme="minorHAnsi" w:cstheme="minorHAnsi"/>
                          <w:b/>
                          <w:color w:val="FF0000"/>
                        </w:rPr>
                        <w:t>REVIEWERS</w:t>
                      </w:r>
                      <w:r w:rsidRPr="001A4DE1">
                        <w:rPr>
                          <w:rFonts w:asciiTheme="minorHAnsi" w:hAnsiTheme="minorHAnsi" w:cstheme="minorHAnsi"/>
                          <w:b/>
                        </w:rPr>
                        <w:t xml:space="preserve"> do not edit or modify this section </w:t>
                      </w:r>
                    </w:p>
                    <w:p w14:paraId="29FCD7E9" w14:textId="77777777" w:rsidR="00DB67D2" w:rsidRDefault="00DB67D2" w:rsidP="002F2F6F">
                      <w:pPr>
                        <w:outlineLvl w:val="9"/>
                      </w:pPr>
                      <w:r w:rsidRPr="001A4DE1">
                        <w:rPr>
                          <w:rFonts w:asciiTheme="minorHAnsi" w:hAnsiTheme="minorHAnsi" w:cstheme="minorHAnsi"/>
                        </w:rPr>
                        <w:t xml:space="preserve"> </w:t>
                      </w:r>
                      <w:r>
                        <w:rPr>
                          <w:rFonts w:asciiTheme="minorHAnsi" w:hAnsiTheme="minorHAnsi" w:cstheme="minorHAnsi"/>
                        </w:rPr>
                        <w:t xml:space="preserve">Management reviewed and edited this section. It was then published with the Public Notice. </w:t>
                      </w:r>
                      <w:r w:rsidRPr="001A4DE1">
                        <w:rPr>
                          <w:rFonts w:asciiTheme="minorHAnsi" w:hAnsiTheme="minorHAnsi" w:cstheme="minorHAnsi"/>
                        </w:rPr>
                        <w:t xml:space="preserve">Do not modify it except to correct typographical errors. </w:t>
                      </w:r>
                    </w:p>
                  </w:txbxContent>
                </v:textbox>
                <w10:anchorlock/>
              </v:shape>
            </w:pict>
          </mc:Fallback>
        </mc:AlternateContent>
      </w:r>
    </w:p>
    <w:p w14:paraId="63F3CED9" w14:textId="77777777" w:rsidR="002F2F6F" w:rsidRDefault="002F2F6F" w:rsidP="002F2F6F"/>
    <w:p w14:paraId="5ED0F24D" w14:textId="77777777" w:rsidR="007B7C59" w:rsidRPr="007B7C59" w:rsidRDefault="007B7C59" w:rsidP="007B7C59">
      <w:pPr>
        <w:keepNext/>
        <w:keepLines/>
        <w:outlineLvl w:val="1"/>
        <w:rPr>
          <w:rFonts w:ascii="Arial" w:hAnsi="Arial" w:cstheme="majorBidi"/>
          <w:b/>
          <w:bCs/>
          <w:sz w:val="32"/>
          <w:szCs w:val="26"/>
        </w:rPr>
      </w:pPr>
      <w:r w:rsidRPr="007B7C59">
        <w:rPr>
          <w:rFonts w:ascii="Arial" w:hAnsi="Arial" w:cstheme="majorBidi"/>
          <w:b/>
          <w:bCs/>
          <w:sz w:val="32"/>
          <w:szCs w:val="26"/>
        </w:rPr>
        <w:t>Background</w:t>
      </w:r>
    </w:p>
    <w:p w14:paraId="10EC5DC6" w14:textId="77777777" w:rsidR="007B7C59" w:rsidRPr="007B7C59" w:rsidRDefault="007B7C59" w:rsidP="007B7C59"/>
    <w:p w14:paraId="56D63AB0" w14:textId="77777777" w:rsidR="007B7C59" w:rsidRPr="007B7C59" w:rsidRDefault="007B7C59" w:rsidP="007B7C59">
      <w:pPr>
        <w:rPr>
          <w:bCs/>
          <w:color w:val="auto"/>
          <w:szCs w:val="32"/>
        </w:rPr>
      </w:pPr>
      <w:r w:rsidRPr="007B7C59">
        <w:rPr>
          <w:bCs/>
          <w:color w:val="auto"/>
          <w:szCs w:val="32"/>
        </w:rPr>
        <w:t xml:space="preserve">DEQ convened the </w:t>
      </w:r>
      <w:r w:rsidRPr="007B7C59">
        <w:rPr>
          <w:color w:val="auto"/>
          <w:szCs w:val="32"/>
        </w:rPr>
        <w:t>Heating Oil Tank Program Fee Increases, 2019 Rulemaking</w:t>
      </w:r>
      <w:r w:rsidRPr="007B7C59">
        <w:rPr>
          <w:bCs/>
          <w:color w:val="auto"/>
          <w:szCs w:val="32"/>
        </w:rPr>
        <w:t xml:space="preserve"> Advisory Committee. The committee included heating oil tank service providers, realtors and former tank owners, and met once on Aug. 2, 2019. The committee’s web page is located at: </w:t>
      </w:r>
      <w:hyperlink r:id="rId28" w:history="1">
        <w:r w:rsidRPr="007B7C59">
          <w:rPr>
            <w:bCs/>
            <w:color w:val="0563C1" w:themeColor="hyperlink"/>
            <w:szCs w:val="32"/>
            <w:u w:val="single"/>
          </w:rPr>
          <w:t>https://www.oregon.gov/deq/Regulations/rulemaking/Pages/rhot2019.aspx</w:t>
        </w:r>
      </w:hyperlink>
      <w:r w:rsidRPr="007B7C59">
        <w:rPr>
          <w:bCs/>
          <w:color w:val="auto"/>
          <w:szCs w:val="32"/>
        </w:rPr>
        <w:t xml:space="preserve">. </w:t>
      </w:r>
    </w:p>
    <w:p w14:paraId="73964FE5" w14:textId="77777777" w:rsidR="007B7C59" w:rsidRPr="007B7C59" w:rsidRDefault="007B7C59" w:rsidP="007B7C59">
      <w:pPr>
        <w:rPr>
          <w:bCs/>
          <w:color w:val="auto"/>
          <w:szCs w:val="32"/>
        </w:rPr>
      </w:pPr>
    </w:p>
    <w:p w14:paraId="6883FBDA" w14:textId="77777777" w:rsidR="007B7C59" w:rsidRPr="007B7C59" w:rsidRDefault="007B7C59" w:rsidP="007B7C59">
      <w:r w:rsidRPr="007B7C59">
        <w:t>The Committee members were:</w:t>
      </w:r>
    </w:p>
    <w:p w14:paraId="2A61B72F" w14:textId="77777777" w:rsidR="007B7C59" w:rsidRPr="007B7C59" w:rsidRDefault="007B7C59" w:rsidP="007B7C59"/>
    <w:tbl>
      <w:tblPr>
        <w:tblStyle w:val="TableGrid"/>
        <w:tblW w:w="9697" w:type="dxa"/>
        <w:jc w:val="center"/>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2" w:space="0" w:color="000000" w:themeColor="text1"/>
          <w:insideV w:val="single" w:sz="4" w:space="0" w:color="000000" w:themeColor="text1"/>
        </w:tblBorders>
        <w:tblCellMar>
          <w:top w:w="14" w:type="dxa"/>
          <w:left w:w="14" w:type="dxa"/>
          <w:bottom w:w="14" w:type="dxa"/>
          <w:right w:w="14" w:type="dxa"/>
        </w:tblCellMar>
        <w:tblLook w:val="04A0" w:firstRow="1" w:lastRow="0" w:firstColumn="1" w:lastColumn="0" w:noHBand="0" w:noVBand="1"/>
      </w:tblPr>
      <w:tblGrid>
        <w:gridCol w:w="5035"/>
        <w:gridCol w:w="4662"/>
      </w:tblGrid>
      <w:tr w:rsidR="007B7C59" w:rsidRPr="007B7C59" w14:paraId="55B9EC59" w14:textId="77777777" w:rsidTr="00DA761D">
        <w:trPr>
          <w:trHeight w:val="990"/>
          <w:jc w:val="center"/>
        </w:trPr>
        <w:tc>
          <w:tcPr>
            <w:tcW w:w="9697" w:type="dxa"/>
            <w:gridSpan w:val="2"/>
            <w:tcBorders>
              <w:bottom w:val="single" w:sz="12" w:space="0" w:color="000000" w:themeColor="text1"/>
            </w:tcBorders>
            <w:shd w:val="clear" w:color="auto" w:fill="E2EFD9" w:themeFill="accent6" w:themeFillTint="33"/>
            <w:vAlign w:val="center"/>
          </w:tcPr>
          <w:p w14:paraId="01BD4984" w14:textId="77777777" w:rsidR="007B7C59" w:rsidRPr="007B7C59" w:rsidRDefault="007B7C59" w:rsidP="007B7C59">
            <w:pPr>
              <w:jc w:val="center"/>
              <w:rPr>
                <w:rFonts w:ascii="Arial" w:hAnsi="Arial" w:cs="Arial"/>
                <w:b/>
                <w:sz w:val="28"/>
                <w:szCs w:val="28"/>
              </w:rPr>
            </w:pPr>
            <w:r w:rsidRPr="007B7C59">
              <w:rPr>
                <w:rFonts w:ascii="Arial" w:hAnsi="Arial" w:cs="Arial"/>
                <w:b/>
                <w:sz w:val="28"/>
                <w:szCs w:val="28"/>
              </w:rPr>
              <w:t>HOT Program Fee Increases, 2019 Rulemaking Advisory Committee</w:t>
            </w:r>
          </w:p>
        </w:tc>
      </w:tr>
      <w:tr w:rsidR="007B7C59" w:rsidRPr="007B7C59" w14:paraId="655DAFB4" w14:textId="77777777" w:rsidTr="00DA761D">
        <w:trPr>
          <w:trHeight w:val="575"/>
          <w:jc w:val="center"/>
        </w:trPr>
        <w:tc>
          <w:tcPr>
            <w:tcW w:w="5035" w:type="dxa"/>
            <w:tcBorders>
              <w:top w:val="single" w:sz="12" w:space="0" w:color="000000" w:themeColor="text1"/>
              <w:bottom w:val="single" w:sz="12" w:space="0" w:color="000000" w:themeColor="text1"/>
              <w:right w:val="single" w:sz="12" w:space="0" w:color="000000" w:themeColor="text1"/>
            </w:tcBorders>
            <w:shd w:val="clear" w:color="auto" w:fill="C5E0B3" w:themeFill="accent6" w:themeFillTint="66"/>
            <w:vAlign w:val="center"/>
          </w:tcPr>
          <w:p w14:paraId="58ACF04B" w14:textId="77777777" w:rsidR="007B7C59" w:rsidRPr="007B7C59" w:rsidRDefault="007B7C59" w:rsidP="007B7C59">
            <w:pPr>
              <w:jc w:val="center"/>
              <w:rPr>
                <w:rFonts w:ascii="Arial" w:hAnsi="Arial" w:cs="Arial"/>
                <w:b/>
              </w:rPr>
            </w:pPr>
            <w:r w:rsidRPr="007B7C59">
              <w:rPr>
                <w:rFonts w:ascii="Arial" w:hAnsi="Arial" w:cs="Arial"/>
                <w:b/>
              </w:rPr>
              <w:t>Name</w:t>
            </w:r>
          </w:p>
        </w:tc>
        <w:tc>
          <w:tcPr>
            <w:tcW w:w="4662" w:type="dxa"/>
            <w:tcBorders>
              <w:top w:val="single" w:sz="12" w:space="0" w:color="000000" w:themeColor="text1"/>
              <w:left w:val="single" w:sz="12" w:space="0" w:color="000000" w:themeColor="text1"/>
              <w:bottom w:val="single" w:sz="12" w:space="0" w:color="000000" w:themeColor="text1"/>
            </w:tcBorders>
            <w:shd w:val="clear" w:color="auto" w:fill="C5E0B3" w:themeFill="accent6" w:themeFillTint="66"/>
            <w:vAlign w:val="center"/>
          </w:tcPr>
          <w:p w14:paraId="7D8B558B" w14:textId="77777777" w:rsidR="007B7C59" w:rsidRPr="007B7C59" w:rsidRDefault="007B7C59" w:rsidP="007B7C59">
            <w:pPr>
              <w:jc w:val="center"/>
              <w:rPr>
                <w:rFonts w:ascii="Arial" w:hAnsi="Arial" w:cs="Arial"/>
                <w:b/>
              </w:rPr>
            </w:pPr>
            <w:r w:rsidRPr="007B7C59">
              <w:rPr>
                <w:rFonts w:ascii="Arial" w:hAnsi="Arial" w:cs="Arial"/>
                <w:b/>
              </w:rPr>
              <w:t>Representing</w:t>
            </w:r>
          </w:p>
        </w:tc>
      </w:tr>
      <w:tr w:rsidR="007B7C59" w:rsidRPr="007B7C59" w14:paraId="13EBF9C5" w14:textId="77777777" w:rsidTr="00DA761D">
        <w:trPr>
          <w:jc w:val="center"/>
        </w:trPr>
        <w:tc>
          <w:tcPr>
            <w:tcW w:w="5035" w:type="dxa"/>
            <w:tcBorders>
              <w:top w:val="single" w:sz="12" w:space="0" w:color="000000" w:themeColor="text1"/>
              <w:bottom w:val="single" w:sz="12" w:space="0" w:color="000000" w:themeColor="text1"/>
              <w:right w:val="single" w:sz="12" w:space="0" w:color="000000" w:themeColor="text1"/>
            </w:tcBorders>
            <w:vAlign w:val="center"/>
          </w:tcPr>
          <w:p w14:paraId="562A701F" w14:textId="77777777" w:rsidR="007B7C59" w:rsidRPr="007B7C59" w:rsidRDefault="007B7C59" w:rsidP="007B7C59">
            <w:r w:rsidRPr="007B7C59">
              <w:t>Darren Blaine</w:t>
            </w:r>
          </w:p>
        </w:tc>
        <w:tc>
          <w:tcPr>
            <w:tcW w:w="4662" w:type="dxa"/>
            <w:tcBorders>
              <w:top w:val="single" w:sz="12" w:space="0" w:color="000000" w:themeColor="text1"/>
              <w:left w:val="single" w:sz="12" w:space="0" w:color="000000" w:themeColor="text1"/>
              <w:bottom w:val="single" w:sz="12" w:space="0" w:color="000000" w:themeColor="text1"/>
            </w:tcBorders>
            <w:vAlign w:val="center"/>
          </w:tcPr>
          <w:p w14:paraId="351C2609" w14:textId="77777777" w:rsidR="007B7C59" w:rsidRPr="007B7C59" w:rsidRDefault="007B7C59" w:rsidP="007B7C59">
            <w:r w:rsidRPr="007B7C59">
              <w:t>Soil Solutions (HOT Service Providers)</w:t>
            </w:r>
          </w:p>
        </w:tc>
      </w:tr>
      <w:tr w:rsidR="007B7C59" w:rsidRPr="007B7C59" w14:paraId="11846D47" w14:textId="77777777" w:rsidTr="00DA761D">
        <w:trPr>
          <w:jc w:val="center"/>
        </w:trPr>
        <w:tc>
          <w:tcPr>
            <w:tcW w:w="5035" w:type="dxa"/>
            <w:tcBorders>
              <w:top w:val="single" w:sz="12" w:space="0" w:color="000000" w:themeColor="text1"/>
              <w:bottom w:val="single" w:sz="12" w:space="0" w:color="000000" w:themeColor="text1"/>
              <w:right w:val="single" w:sz="12" w:space="0" w:color="000000" w:themeColor="text1"/>
            </w:tcBorders>
            <w:vAlign w:val="center"/>
          </w:tcPr>
          <w:p w14:paraId="5ED9AD84" w14:textId="77777777" w:rsidR="007B7C59" w:rsidRPr="007B7C59" w:rsidRDefault="007B7C59" w:rsidP="007B7C59">
            <w:r w:rsidRPr="007B7C59">
              <w:t>John Harding</w:t>
            </w:r>
          </w:p>
        </w:tc>
        <w:tc>
          <w:tcPr>
            <w:tcW w:w="4662" w:type="dxa"/>
            <w:tcBorders>
              <w:top w:val="single" w:sz="12" w:space="0" w:color="000000" w:themeColor="text1"/>
              <w:left w:val="single" w:sz="12" w:space="0" w:color="000000" w:themeColor="text1"/>
              <w:bottom w:val="single" w:sz="12" w:space="0" w:color="000000" w:themeColor="text1"/>
            </w:tcBorders>
            <w:vAlign w:val="center"/>
          </w:tcPr>
          <w:p w14:paraId="5FE28E92" w14:textId="77777777" w:rsidR="007B7C59" w:rsidRPr="007B7C59" w:rsidRDefault="007B7C59" w:rsidP="007B7C59">
            <w:r w:rsidRPr="007B7C59">
              <w:t>Xavier Environmental (HOT Service Providers)</w:t>
            </w:r>
          </w:p>
        </w:tc>
      </w:tr>
      <w:tr w:rsidR="007B7C59" w:rsidRPr="007B7C59" w14:paraId="246054D8" w14:textId="77777777" w:rsidTr="00DA761D">
        <w:trPr>
          <w:jc w:val="center"/>
        </w:trPr>
        <w:tc>
          <w:tcPr>
            <w:tcW w:w="5035" w:type="dxa"/>
            <w:tcBorders>
              <w:top w:val="single" w:sz="12" w:space="0" w:color="000000" w:themeColor="text1"/>
              <w:bottom w:val="single" w:sz="12" w:space="0" w:color="000000" w:themeColor="text1"/>
              <w:right w:val="single" w:sz="12" w:space="0" w:color="000000" w:themeColor="text1"/>
            </w:tcBorders>
            <w:vAlign w:val="center"/>
          </w:tcPr>
          <w:p w14:paraId="20610866" w14:textId="77777777" w:rsidR="007B7C59" w:rsidRPr="007B7C59" w:rsidRDefault="007B7C59" w:rsidP="007B7C59">
            <w:r w:rsidRPr="007B7C59">
              <w:t>Bill Knutson</w:t>
            </w:r>
          </w:p>
        </w:tc>
        <w:tc>
          <w:tcPr>
            <w:tcW w:w="4662" w:type="dxa"/>
            <w:tcBorders>
              <w:top w:val="single" w:sz="12" w:space="0" w:color="000000" w:themeColor="text1"/>
              <w:left w:val="single" w:sz="12" w:space="0" w:color="000000" w:themeColor="text1"/>
              <w:bottom w:val="single" w:sz="12" w:space="0" w:color="000000" w:themeColor="text1"/>
            </w:tcBorders>
            <w:vAlign w:val="center"/>
          </w:tcPr>
          <w:p w14:paraId="458BEF18" w14:textId="77777777" w:rsidR="007B7C59" w:rsidRPr="007B7C59" w:rsidRDefault="007B7C59" w:rsidP="007B7C59">
            <w:r w:rsidRPr="007B7C59">
              <w:t>K&amp;S Environmental (HOT Service Providers)</w:t>
            </w:r>
          </w:p>
        </w:tc>
      </w:tr>
      <w:tr w:rsidR="007B7C59" w:rsidRPr="007B7C59" w14:paraId="6C1338C1" w14:textId="77777777" w:rsidTr="00DA761D">
        <w:trPr>
          <w:jc w:val="center"/>
        </w:trPr>
        <w:tc>
          <w:tcPr>
            <w:tcW w:w="5035" w:type="dxa"/>
            <w:tcBorders>
              <w:top w:val="single" w:sz="12" w:space="0" w:color="000000" w:themeColor="text1"/>
              <w:bottom w:val="single" w:sz="12" w:space="0" w:color="000000" w:themeColor="text1"/>
              <w:right w:val="single" w:sz="12" w:space="0" w:color="000000" w:themeColor="text1"/>
            </w:tcBorders>
            <w:vAlign w:val="center"/>
          </w:tcPr>
          <w:p w14:paraId="1EA3B63E" w14:textId="77777777" w:rsidR="007B7C59" w:rsidRPr="007B7C59" w:rsidRDefault="007B7C59" w:rsidP="007B7C59">
            <w:r w:rsidRPr="007B7C59">
              <w:t>Val Thorpe</w:t>
            </w:r>
          </w:p>
        </w:tc>
        <w:tc>
          <w:tcPr>
            <w:tcW w:w="4662" w:type="dxa"/>
            <w:tcBorders>
              <w:top w:val="single" w:sz="12" w:space="0" w:color="000000" w:themeColor="text1"/>
              <w:left w:val="single" w:sz="12" w:space="0" w:color="000000" w:themeColor="text1"/>
              <w:bottom w:val="single" w:sz="12" w:space="0" w:color="000000" w:themeColor="text1"/>
            </w:tcBorders>
            <w:vAlign w:val="center"/>
          </w:tcPr>
          <w:p w14:paraId="09931EDA" w14:textId="77777777" w:rsidR="007B7C59" w:rsidRPr="007B7C59" w:rsidRDefault="007B7C59" w:rsidP="007B7C59">
            <w:r w:rsidRPr="007B7C59">
              <w:t>Hasson Company (Realtors)</w:t>
            </w:r>
          </w:p>
        </w:tc>
      </w:tr>
      <w:tr w:rsidR="007B7C59" w:rsidRPr="007B7C59" w14:paraId="1D950298" w14:textId="77777777" w:rsidTr="00DA761D">
        <w:trPr>
          <w:jc w:val="center"/>
        </w:trPr>
        <w:tc>
          <w:tcPr>
            <w:tcW w:w="5035" w:type="dxa"/>
            <w:tcBorders>
              <w:top w:val="single" w:sz="12" w:space="0" w:color="000000" w:themeColor="text1"/>
              <w:bottom w:val="single" w:sz="12" w:space="0" w:color="000000" w:themeColor="text1"/>
              <w:right w:val="single" w:sz="12" w:space="0" w:color="000000" w:themeColor="text1"/>
            </w:tcBorders>
            <w:vAlign w:val="center"/>
          </w:tcPr>
          <w:p w14:paraId="387540B8" w14:textId="77777777" w:rsidR="007B7C59" w:rsidRPr="007B7C59" w:rsidRDefault="007B7C59" w:rsidP="007B7C59">
            <w:r w:rsidRPr="007B7C59">
              <w:t xml:space="preserve">Jenny </w:t>
            </w:r>
            <w:proofErr w:type="spellStart"/>
            <w:r w:rsidRPr="007B7C59">
              <w:t>Pakula</w:t>
            </w:r>
            <w:proofErr w:type="spellEnd"/>
          </w:p>
        </w:tc>
        <w:tc>
          <w:tcPr>
            <w:tcW w:w="4662" w:type="dxa"/>
            <w:tcBorders>
              <w:top w:val="single" w:sz="12" w:space="0" w:color="000000" w:themeColor="text1"/>
              <w:left w:val="single" w:sz="12" w:space="0" w:color="000000" w:themeColor="text1"/>
              <w:bottom w:val="single" w:sz="12" w:space="0" w:color="000000" w:themeColor="text1"/>
            </w:tcBorders>
            <w:vAlign w:val="center"/>
          </w:tcPr>
          <w:p w14:paraId="0540AF62" w14:textId="77777777" w:rsidR="007B7C59" w:rsidRPr="007B7C59" w:rsidRDefault="007B7C59" w:rsidP="007B7C59">
            <w:r w:rsidRPr="007B7C59">
              <w:t>Oregon Association of Realtors</w:t>
            </w:r>
          </w:p>
        </w:tc>
      </w:tr>
      <w:tr w:rsidR="007B7C59" w:rsidRPr="007B7C59" w14:paraId="3399FBDB" w14:textId="77777777" w:rsidTr="00DA761D">
        <w:trPr>
          <w:jc w:val="center"/>
        </w:trPr>
        <w:tc>
          <w:tcPr>
            <w:tcW w:w="5035" w:type="dxa"/>
            <w:tcBorders>
              <w:top w:val="single" w:sz="12" w:space="0" w:color="000000" w:themeColor="text1"/>
              <w:bottom w:val="single" w:sz="12" w:space="0" w:color="000000" w:themeColor="text1"/>
              <w:right w:val="single" w:sz="12" w:space="0" w:color="000000" w:themeColor="text1"/>
            </w:tcBorders>
            <w:vAlign w:val="center"/>
          </w:tcPr>
          <w:p w14:paraId="78913956" w14:textId="77777777" w:rsidR="007B7C59" w:rsidRPr="007B7C59" w:rsidRDefault="007B7C59" w:rsidP="007B7C59">
            <w:r w:rsidRPr="007B7C59">
              <w:t>Liz Morales</w:t>
            </w:r>
          </w:p>
        </w:tc>
        <w:tc>
          <w:tcPr>
            <w:tcW w:w="4662" w:type="dxa"/>
            <w:tcBorders>
              <w:top w:val="single" w:sz="12" w:space="0" w:color="000000" w:themeColor="text1"/>
              <w:left w:val="single" w:sz="12" w:space="0" w:color="000000" w:themeColor="text1"/>
              <w:bottom w:val="single" w:sz="12" w:space="0" w:color="000000" w:themeColor="text1"/>
            </w:tcBorders>
            <w:vAlign w:val="center"/>
          </w:tcPr>
          <w:p w14:paraId="76519A51" w14:textId="77777777" w:rsidR="007B7C59" w:rsidRPr="007B7C59" w:rsidRDefault="007B7C59" w:rsidP="007B7C59">
            <w:r w:rsidRPr="007B7C59">
              <w:t>Homeowner/Former HOT owners</w:t>
            </w:r>
          </w:p>
        </w:tc>
      </w:tr>
      <w:tr w:rsidR="007B7C59" w:rsidRPr="007B7C59" w14:paraId="188313E3" w14:textId="77777777" w:rsidTr="00DA761D">
        <w:trPr>
          <w:jc w:val="center"/>
        </w:trPr>
        <w:tc>
          <w:tcPr>
            <w:tcW w:w="5035" w:type="dxa"/>
            <w:tcBorders>
              <w:top w:val="single" w:sz="12" w:space="0" w:color="000000" w:themeColor="text1"/>
              <w:bottom w:val="single" w:sz="12" w:space="0" w:color="000000" w:themeColor="text1"/>
              <w:right w:val="single" w:sz="12" w:space="0" w:color="000000" w:themeColor="text1"/>
            </w:tcBorders>
            <w:vAlign w:val="center"/>
          </w:tcPr>
          <w:p w14:paraId="355FBFB9" w14:textId="77777777" w:rsidR="007B7C59" w:rsidRPr="007B7C59" w:rsidRDefault="007B7C59" w:rsidP="007B7C59">
            <w:r w:rsidRPr="007B7C59">
              <w:t>Margaret Lamb</w:t>
            </w:r>
          </w:p>
        </w:tc>
        <w:tc>
          <w:tcPr>
            <w:tcW w:w="4662" w:type="dxa"/>
            <w:tcBorders>
              <w:top w:val="single" w:sz="12" w:space="0" w:color="000000" w:themeColor="text1"/>
              <w:left w:val="single" w:sz="12" w:space="0" w:color="000000" w:themeColor="text1"/>
              <w:bottom w:val="single" w:sz="12" w:space="0" w:color="000000" w:themeColor="text1"/>
            </w:tcBorders>
            <w:vAlign w:val="center"/>
          </w:tcPr>
          <w:p w14:paraId="354AFAC4" w14:textId="77777777" w:rsidR="007B7C59" w:rsidRPr="007B7C59" w:rsidRDefault="007B7C59" w:rsidP="007B7C59">
            <w:r w:rsidRPr="007B7C59">
              <w:t>Homeowner/Former HOT owners</w:t>
            </w:r>
          </w:p>
        </w:tc>
      </w:tr>
      <w:tr w:rsidR="007B7C59" w:rsidRPr="007B7C59" w14:paraId="549B02D1" w14:textId="77777777" w:rsidTr="00DA761D">
        <w:trPr>
          <w:jc w:val="center"/>
        </w:trPr>
        <w:tc>
          <w:tcPr>
            <w:tcW w:w="5035" w:type="dxa"/>
            <w:tcBorders>
              <w:top w:val="single" w:sz="12" w:space="0" w:color="000000" w:themeColor="text1"/>
              <w:bottom w:val="single" w:sz="18" w:space="0" w:color="000000" w:themeColor="text1"/>
              <w:right w:val="single" w:sz="12" w:space="0" w:color="000000" w:themeColor="text1"/>
            </w:tcBorders>
            <w:vAlign w:val="center"/>
          </w:tcPr>
          <w:p w14:paraId="779EA768" w14:textId="77777777" w:rsidR="007B7C59" w:rsidRPr="007B7C59" w:rsidRDefault="007B7C59" w:rsidP="007B7C59">
            <w:r w:rsidRPr="007B7C59">
              <w:t xml:space="preserve">Phil </w:t>
            </w:r>
            <w:proofErr w:type="spellStart"/>
            <w:r w:rsidRPr="007B7C59">
              <w:t>Backman</w:t>
            </w:r>
            <w:proofErr w:type="spellEnd"/>
          </w:p>
        </w:tc>
        <w:tc>
          <w:tcPr>
            <w:tcW w:w="4662" w:type="dxa"/>
            <w:tcBorders>
              <w:top w:val="single" w:sz="12" w:space="0" w:color="000000" w:themeColor="text1"/>
              <w:left w:val="single" w:sz="12" w:space="0" w:color="000000" w:themeColor="text1"/>
              <w:bottom w:val="single" w:sz="18" w:space="0" w:color="000000" w:themeColor="text1"/>
            </w:tcBorders>
            <w:vAlign w:val="center"/>
          </w:tcPr>
          <w:p w14:paraId="1C89269C" w14:textId="77777777" w:rsidR="007B7C59" w:rsidRPr="007B7C59" w:rsidRDefault="007B7C59" w:rsidP="007B7C59">
            <w:r w:rsidRPr="007B7C59">
              <w:t>Homeowner/Former HOT owners</w:t>
            </w:r>
          </w:p>
        </w:tc>
      </w:tr>
    </w:tbl>
    <w:p w14:paraId="59C7E517" w14:textId="77777777" w:rsidR="007B7C59" w:rsidRPr="007B7C59" w:rsidRDefault="007B7C59" w:rsidP="007B7C59"/>
    <w:p w14:paraId="64AC8309" w14:textId="77777777" w:rsidR="007B7C59" w:rsidRPr="007B7C59" w:rsidRDefault="007B7C59" w:rsidP="007B7C59">
      <w:pPr>
        <w:keepNext/>
        <w:keepLines/>
        <w:outlineLvl w:val="1"/>
        <w:rPr>
          <w:rFonts w:ascii="Arial" w:hAnsi="Arial" w:cstheme="majorBidi"/>
          <w:b/>
          <w:bCs/>
          <w:sz w:val="32"/>
          <w:szCs w:val="26"/>
        </w:rPr>
      </w:pPr>
      <w:r w:rsidRPr="007B7C59">
        <w:rPr>
          <w:rFonts w:ascii="Arial" w:hAnsi="Arial" w:cstheme="majorBidi"/>
          <w:b/>
          <w:bCs/>
          <w:sz w:val="32"/>
          <w:szCs w:val="26"/>
        </w:rPr>
        <w:t>Meeting notifications</w:t>
      </w:r>
    </w:p>
    <w:p w14:paraId="492BEEC0" w14:textId="77777777" w:rsidR="007B7C59" w:rsidRPr="007B7C59" w:rsidRDefault="007B7C59" w:rsidP="007B7C59"/>
    <w:p w14:paraId="3573069B" w14:textId="77777777" w:rsidR="007B7C59" w:rsidRPr="007B7C59" w:rsidRDefault="007B7C59" w:rsidP="007B7C59">
      <w:r w:rsidRPr="007B7C59">
        <w:t>To notify people about the advisory committee’s activities, DEQ:</w:t>
      </w:r>
    </w:p>
    <w:p w14:paraId="18D12D65" w14:textId="77777777" w:rsidR="007B7C59" w:rsidRPr="007B7C59" w:rsidRDefault="007B7C59" w:rsidP="007B7C59">
      <w:pPr>
        <w:numPr>
          <w:ilvl w:val="0"/>
          <w:numId w:val="9"/>
        </w:numPr>
        <w:contextualSpacing/>
        <w:rPr>
          <w:bCs/>
        </w:rPr>
      </w:pPr>
      <w:r w:rsidRPr="007B7C59">
        <w:rPr>
          <w:bCs/>
        </w:rPr>
        <w:t>Sent GovDelivery bulletins, a free e-mail subscription service, to the following lists:</w:t>
      </w:r>
    </w:p>
    <w:p w14:paraId="2BC7414D" w14:textId="77777777" w:rsidR="007B7C59" w:rsidRPr="007B7C59" w:rsidRDefault="007B7C59" w:rsidP="007B7C59">
      <w:pPr>
        <w:numPr>
          <w:ilvl w:val="1"/>
          <w:numId w:val="14"/>
        </w:numPr>
        <w:contextualSpacing/>
        <w:rPr>
          <w:bCs/>
        </w:rPr>
      </w:pPr>
      <w:r w:rsidRPr="007B7C59">
        <w:rPr>
          <w:bCs/>
        </w:rPr>
        <w:t>Rulemaking</w:t>
      </w:r>
    </w:p>
    <w:p w14:paraId="1620F700" w14:textId="77777777" w:rsidR="007B7C59" w:rsidRPr="007B7C59" w:rsidRDefault="007B7C59" w:rsidP="007B7C59">
      <w:pPr>
        <w:numPr>
          <w:ilvl w:val="1"/>
          <w:numId w:val="15"/>
        </w:numPr>
        <w:contextualSpacing/>
        <w:rPr>
          <w:bCs/>
        </w:rPr>
      </w:pPr>
      <w:r w:rsidRPr="007B7C59">
        <w:rPr>
          <w:bCs/>
        </w:rPr>
        <w:t>Heating Oil Tanks</w:t>
      </w:r>
    </w:p>
    <w:p w14:paraId="09B06E2E" w14:textId="77777777" w:rsidR="007B7C59" w:rsidRPr="007B7C59" w:rsidRDefault="007B7C59" w:rsidP="007B7C59">
      <w:pPr>
        <w:numPr>
          <w:ilvl w:val="1"/>
          <w:numId w:val="15"/>
        </w:numPr>
        <w:contextualSpacing/>
        <w:rPr>
          <w:bCs/>
        </w:rPr>
      </w:pPr>
      <w:r w:rsidRPr="007B7C59">
        <w:rPr>
          <w:bCs/>
        </w:rPr>
        <w:t xml:space="preserve">Environmental Cleanup Program </w:t>
      </w:r>
    </w:p>
    <w:p w14:paraId="507F9082" w14:textId="77777777" w:rsidR="007B7C59" w:rsidRPr="007B7C59" w:rsidRDefault="007B7C59" w:rsidP="007B7C59">
      <w:pPr>
        <w:numPr>
          <w:ilvl w:val="0"/>
          <w:numId w:val="11"/>
        </w:numPr>
        <w:contextualSpacing/>
        <w:rPr>
          <w:bCs/>
        </w:rPr>
      </w:pPr>
      <w:r w:rsidRPr="007B7C59">
        <w:rPr>
          <w:bCs/>
        </w:rPr>
        <w:t xml:space="preserve">Added advisory committee announcements to DEQ’s calendar of public meetings at </w:t>
      </w:r>
      <w:hyperlink r:id="rId29" w:history="1">
        <w:r w:rsidRPr="007B7C59">
          <w:rPr>
            <w:bCs/>
            <w:color w:val="0563C1" w:themeColor="hyperlink"/>
            <w:u w:val="single"/>
          </w:rPr>
          <w:t>DEQ Calendar</w:t>
        </w:r>
      </w:hyperlink>
    </w:p>
    <w:p w14:paraId="48D7B51A" w14:textId="77777777" w:rsidR="007B7C59" w:rsidRPr="007B7C59" w:rsidRDefault="007B7C59" w:rsidP="007B7C59">
      <w:pPr>
        <w:numPr>
          <w:ilvl w:val="0"/>
          <w:numId w:val="11"/>
        </w:numPr>
        <w:contextualSpacing/>
        <w:rPr>
          <w:bCs/>
        </w:rPr>
      </w:pPr>
      <w:r w:rsidRPr="007B7C59">
        <w:rPr>
          <w:bCs/>
        </w:rPr>
        <w:lastRenderedPageBreak/>
        <w:t>Provided notice of meetings and links to committee information through postings on Facebook and Twitter</w:t>
      </w:r>
    </w:p>
    <w:p w14:paraId="164B732D" w14:textId="77777777" w:rsidR="007B7C59" w:rsidRPr="007B7C59" w:rsidRDefault="007B7C59" w:rsidP="007B7C59"/>
    <w:p w14:paraId="678E38D2" w14:textId="77777777" w:rsidR="007B7C59" w:rsidRPr="007B7C59" w:rsidRDefault="007B7C59" w:rsidP="007B7C59">
      <w:pPr>
        <w:keepNext/>
        <w:keepLines/>
        <w:outlineLvl w:val="1"/>
        <w:rPr>
          <w:rFonts w:ascii="Arial" w:hAnsi="Arial" w:cstheme="majorBidi"/>
          <w:b/>
          <w:bCs/>
          <w:sz w:val="32"/>
          <w:szCs w:val="26"/>
        </w:rPr>
      </w:pPr>
      <w:r w:rsidRPr="007B7C59">
        <w:rPr>
          <w:rFonts w:ascii="Arial" w:hAnsi="Arial" w:cstheme="majorBidi"/>
          <w:b/>
          <w:bCs/>
          <w:sz w:val="32"/>
          <w:szCs w:val="26"/>
        </w:rPr>
        <w:t>Committee discussions</w:t>
      </w:r>
    </w:p>
    <w:p w14:paraId="5626C853" w14:textId="77777777" w:rsidR="007B7C59" w:rsidRPr="007B7C59" w:rsidRDefault="007B7C59" w:rsidP="007B7C59"/>
    <w:p w14:paraId="28DFF18B" w14:textId="77777777" w:rsidR="007B7C59" w:rsidRPr="007B7C59" w:rsidRDefault="007B7C59" w:rsidP="007B7C59">
      <w:pPr>
        <w:rPr>
          <w:bCs/>
          <w:color w:val="auto"/>
          <w:szCs w:val="32"/>
        </w:rPr>
      </w:pPr>
      <w:r w:rsidRPr="007B7C59">
        <w:t>In addition to the recommendations described under the Statement of Fiscal and Economic Impact section above, the committee</w:t>
      </w:r>
      <w:r w:rsidRPr="007B7C59">
        <w:rPr>
          <w:bCs/>
          <w:color w:val="auto"/>
          <w:szCs w:val="32"/>
        </w:rPr>
        <w:t xml:space="preserve"> provided input on the proposed rule amendments and future HOT program improvements. The meeting agenda, summary and handouts are available on the committee’s webpage at: </w:t>
      </w:r>
      <w:hyperlink r:id="rId30" w:history="1">
        <w:r w:rsidRPr="007B7C59">
          <w:rPr>
            <w:color w:val="0563C1" w:themeColor="hyperlink"/>
            <w:szCs w:val="32"/>
            <w:u w:val="single"/>
          </w:rPr>
          <w:t>https://www.oregon.gov/deq/Regulations/rulemaking/Pages/rhot2019.aspx</w:t>
        </w:r>
      </w:hyperlink>
      <w:r w:rsidRPr="007B7C59">
        <w:rPr>
          <w:bCs/>
          <w:color w:val="auto"/>
          <w:szCs w:val="32"/>
        </w:rPr>
        <w:t xml:space="preserve">. </w:t>
      </w:r>
    </w:p>
    <w:p w14:paraId="1B53466E" w14:textId="77777777" w:rsidR="002F2F6F" w:rsidRDefault="002F2F6F" w:rsidP="002F2F6F"/>
    <w:p w14:paraId="64C1BD81" w14:textId="77777777" w:rsidR="002F2F6F" w:rsidRDefault="002F2F6F" w:rsidP="002F2F6F">
      <w:r>
        <w:br w:type="page"/>
      </w:r>
    </w:p>
    <w:p w14:paraId="778FEC01" w14:textId="77777777" w:rsidR="002F2F6F" w:rsidRPr="003C26EE" w:rsidRDefault="002F2F6F" w:rsidP="002F2F6F">
      <w:pPr>
        <w:pStyle w:val="Heading1"/>
      </w:pPr>
      <w:bookmarkStart w:id="26" w:name="_Toc3988355"/>
      <w:bookmarkStart w:id="27" w:name="_Toc4051287"/>
      <w:r w:rsidRPr="003C26EE">
        <w:lastRenderedPageBreak/>
        <w:t>Public Engagement</w:t>
      </w:r>
      <w:bookmarkEnd w:id="26"/>
      <w:bookmarkEnd w:id="27"/>
    </w:p>
    <w:p w14:paraId="675DE303" w14:textId="77777777" w:rsidR="002F2F6F" w:rsidRDefault="002F2F6F" w:rsidP="002F2F6F">
      <w:pPr>
        <w:rPr>
          <w:rStyle w:val="instructionsChar"/>
        </w:rPr>
      </w:pPr>
      <w:r>
        <w:rPr>
          <w:rStyle w:val="instructionsChar"/>
        </w:rPr>
        <w:t>Copy and paste from Notice of Rulemaking.</w:t>
      </w:r>
    </w:p>
    <w:p w14:paraId="17DAE5A6" w14:textId="77777777" w:rsidR="002F2F6F" w:rsidRDefault="002F2F6F" w:rsidP="002F2F6F">
      <w:pPr>
        <w:rPr>
          <w:rStyle w:val="instructionsChar"/>
        </w:rPr>
      </w:pPr>
    </w:p>
    <w:p w14:paraId="43A8D8F0" w14:textId="77777777" w:rsidR="002F2F6F" w:rsidRDefault="002F2F6F" w:rsidP="002F2F6F">
      <w:pPr>
        <w:rPr>
          <w:rFonts w:ascii="Arial" w:hAnsi="Arial"/>
          <w:color w:val="C45911" w:themeColor="accent2" w:themeShade="BF"/>
        </w:rPr>
      </w:pPr>
      <w:r w:rsidRPr="001404B0">
        <w:rPr>
          <w:noProof/>
        </w:rPr>
        <mc:AlternateContent>
          <mc:Choice Requires="wps">
            <w:drawing>
              <wp:inline distT="0" distB="0" distL="0" distR="0" wp14:anchorId="478F9A15" wp14:editId="6B16FC8E">
                <wp:extent cx="4478866" cy="1009650"/>
                <wp:effectExtent l="0" t="0" r="17145" b="19050"/>
                <wp:docPr id="1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8866" cy="1009650"/>
                        </a:xfrm>
                        <a:prstGeom prst="rect">
                          <a:avLst/>
                        </a:prstGeom>
                        <a:solidFill>
                          <a:schemeClr val="bg1">
                            <a:lumMod val="85000"/>
                            <a:lumOff val="0"/>
                          </a:schemeClr>
                        </a:solidFill>
                        <a:ln w="9525">
                          <a:solidFill>
                            <a:srgbClr val="000000"/>
                          </a:solidFill>
                          <a:miter lim="800000"/>
                          <a:headEnd/>
                          <a:tailEnd/>
                        </a:ln>
                      </wps:spPr>
                      <wps:txbx>
                        <w:txbxContent>
                          <w:p w14:paraId="0A3D9A0E" w14:textId="77777777" w:rsidR="00DB67D2" w:rsidRPr="001A4DE1" w:rsidRDefault="00DB67D2" w:rsidP="002F2F6F">
                            <w:pPr>
                              <w:rPr>
                                <w:rFonts w:asciiTheme="minorHAnsi" w:hAnsiTheme="minorHAnsi" w:cstheme="minorHAnsi"/>
                                <w:b/>
                              </w:rPr>
                            </w:pPr>
                            <w:r w:rsidRPr="00F9567F">
                              <w:rPr>
                                <w:rFonts w:asciiTheme="minorHAnsi" w:hAnsiTheme="minorHAnsi" w:cstheme="minorHAnsi"/>
                                <w:b/>
                                <w:color w:val="FF0000"/>
                              </w:rPr>
                              <w:t>REVIEWERS</w:t>
                            </w:r>
                            <w:r w:rsidRPr="001A4DE1">
                              <w:rPr>
                                <w:rFonts w:asciiTheme="minorHAnsi" w:hAnsiTheme="minorHAnsi" w:cstheme="minorHAnsi"/>
                                <w:b/>
                              </w:rPr>
                              <w:t xml:space="preserve"> do not edit or modify this section </w:t>
                            </w:r>
                          </w:p>
                          <w:p w14:paraId="784BBC3C" w14:textId="77777777" w:rsidR="00DB67D2" w:rsidRDefault="00DB67D2" w:rsidP="002F2F6F">
                            <w:pPr>
                              <w:outlineLvl w:val="9"/>
                            </w:pPr>
                            <w:r w:rsidRPr="001A4DE1">
                              <w:rPr>
                                <w:rFonts w:asciiTheme="minorHAnsi" w:hAnsiTheme="minorHAnsi" w:cstheme="minorHAnsi"/>
                              </w:rPr>
                              <w:t xml:space="preserve"> </w:t>
                            </w:r>
                            <w:r>
                              <w:rPr>
                                <w:rFonts w:asciiTheme="minorHAnsi" w:hAnsiTheme="minorHAnsi" w:cstheme="minorHAnsi"/>
                              </w:rPr>
                              <w:t xml:space="preserve">Management reviewed and edited this section. It was then published with the Public Notice. </w:t>
                            </w:r>
                            <w:r w:rsidRPr="001A4DE1">
                              <w:rPr>
                                <w:rFonts w:asciiTheme="minorHAnsi" w:hAnsiTheme="minorHAnsi" w:cstheme="minorHAnsi"/>
                              </w:rPr>
                              <w:t xml:space="preserve">Do not modify it except to correct typographical errors. </w:t>
                            </w:r>
                          </w:p>
                        </w:txbxContent>
                      </wps:txbx>
                      <wps:bodyPr rot="0" vert="horz" wrap="square" lIns="91440" tIns="91440" rIns="91440" bIns="91440" anchor="ctr" anchorCtr="0" upright="1">
                        <a:noAutofit/>
                      </wps:bodyPr>
                    </wps:wsp>
                  </a:graphicData>
                </a:graphic>
              </wp:inline>
            </w:drawing>
          </mc:Choice>
          <mc:Fallback>
            <w:pict>
              <v:shape w14:anchorId="478F9A15" id="_x0000_s1035" type="#_x0000_t202" style="width:352.65pt;height:7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LI4RwIAAJIEAAAOAAAAZHJzL2Uyb0RvYy54bWysVNtu2zAMfR+wfxD0vtgpkiwx6hRdug4D&#10;um5Auw+QZdkWptsoJXb39aOkNE23t2EvhkhRh4eHpC+vJq3IQYCX1tR0PispEYbbVpq+pt8fb9+t&#10;KfGBmZYpa0RNn4SnV9u3by5HV4kLO1jVCiAIYnw1upoOIbiqKDwfhGZ+Zp0weNlZ0CygCX3RAhsR&#10;XavioixXxWihdWC58B69N/mSbhN+1wkevnadF4GomiK3kL6Qvk38FttLVvXA3CD5kQb7BxaaSYNJ&#10;T1A3LDCyB/kXlJYcrLddmHGrC9t1kotUA1YzL/+o5mFgTqRaUBzvTjL5/wfL7w/fgMgWe7ekxDCN&#10;PXoUUyAf7ETmUZ7R+QqjHhzGhQndGJpK9e7O8h+eGLsbmOnFNYAdB8FapJdeFmdPM46PIM34xbaY&#10;hu2DTUBTBzpqh2oQRMc2PZ1aE6lwdC4W79fr1YoSjnfzstyslql5Bauenzvw4ZOwmsRDTQF7n+DZ&#10;4c4HLARDn0NiNm+VbG+lUsmI8yZ2CsiB4aQ0fS5R7TVyzb71siyP84JunKrsfmaRJjYipESvwJUh&#10;Y003y4tl1u1VYuibU1pMcMyBXF9BaBlwTZTUNV2fglgV1f5o2jTEgUmVz/hYGaQR5Y+KZ+3D1Ey5&#10;0YlyvGxs+4QNAZvXAtcYD4OFX5SMuBI19T/3DAQl6rPBpm7mi0XcoXMDzo3m3GCGI1RNeQBKsrEL&#10;efP2DmQ/YK6ssrHXOAqdTE164XWsAAc/SXpc0rhZ53aKevmVbH8DAAD//wMAUEsDBBQABgAIAAAA&#10;IQDssc712gAAAAUBAAAPAAAAZHJzL2Rvd25yZXYueG1sTI9BS8NAEIXvgv9hGcGb3ahUa5pNKYI5&#10;CjaC1212kg3NzobdbZP66x292MuD4T3e+6bYzG4QJwyx96TgfpGBQGq86alT8Fm/3a1AxKTJ6MET&#10;KjhjhE15fVXo3PiJPvC0S53gEoq5VmBTGnMpY2PR6bjwIxJ7rQ9OJz5DJ03QE5e7QT5k2ZN0uide&#10;sHrEV4vNYXd0CtI5fE3z93s7tpWzbrWtq6qulbq9mbdrEAnn9B+GX3xGh5KZ9v5IJopBAT+S/pS9&#10;52z5CGLPoeVLBrIs5CV9+QMAAP//AwBQSwECLQAUAAYACAAAACEAtoM4kv4AAADhAQAAEwAAAAAA&#10;AAAAAAAAAAAAAAAAW0NvbnRlbnRfVHlwZXNdLnhtbFBLAQItABQABgAIAAAAIQA4/SH/1gAAAJQB&#10;AAALAAAAAAAAAAAAAAAAAC8BAABfcmVscy8ucmVsc1BLAQItABQABgAIAAAAIQARTLI4RwIAAJIE&#10;AAAOAAAAAAAAAAAAAAAAAC4CAABkcnMvZTJvRG9jLnhtbFBLAQItABQABgAIAAAAIQDssc712gAA&#10;AAUBAAAPAAAAAAAAAAAAAAAAAKEEAABkcnMvZG93bnJldi54bWxQSwUGAAAAAAQABADzAAAAqAUA&#10;AAAA&#10;" fillcolor="#d8d8d8 [2732]">
                <v:textbox inset=",7.2pt,,7.2pt">
                  <w:txbxContent>
                    <w:p w14:paraId="0A3D9A0E" w14:textId="77777777" w:rsidR="00DB67D2" w:rsidRPr="001A4DE1" w:rsidRDefault="00DB67D2" w:rsidP="002F2F6F">
                      <w:pPr>
                        <w:rPr>
                          <w:rFonts w:asciiTheme="minorHAnsi" w:hAnsiTheme="minorHAnsi" w:cstheme="minorHAnsi"/>
                          <w:b/>
                        </w:rPr>
                      </w:pPr>
                      <w:r w:rsidRPr="00F9567F">
                        <w:rPr>
                          <w:rFonts w:asciiTheme="minorHAnsi" w:hAnsiTheme="minorHAnsi" w:cstheme="minorHAnsi"/>
                          <w:b/>
                          <w:color w:val="FF0000"/>
                        </w:rPr>
                        <w:t>REVIEWERS</w:t>
                      </w:r>
                      <w:r w:rsidRPr="001A4DE1">
                        <w:rPr>
                          <w:rFonts w:asciiTheme="minorHAnsi" w:hAnsiTheme="minorHAnsi" w:cstheme="minorHAnsi"/>
                          <w:b/>
                        </w:rPr>
                        <w:t xml:space="preserve"> do not edit or modify this section </w:t>
                      </w:r>
                    </w:p>
                    <w:p w14:paraId="784BBC3C" w14:textId="77777777" w:rsidR="00DB67D2" w:rsidRDefault="00DB67D2" w:rsidP="002F2F6F">
                      <w:pPr>
                        <w:outlineLvl w:val="9"/>
                      </w:pPr>
                      <w:r w:rsidRPr="001A4DE1">
                        <w:rPr>
                          <w:rFonts w:asciiTheme="minorHAnsi" w:hAnsiTheme="minorHAnsi" w:cstheme="minorHAnsi"/>
                        </w:rPr>
                        <w:t xml:space="preserve"> </w:t>
                      </w:r>
                      <w:r>
                        <w:rPr>
                          <w:rFonts w:asciiTheme="minorHAnsi" w:hAnsiTheme="minorHAnsi" w:cstheme="minorHAnsi"/>
                        </w:rPr>
                        <w:t xml:space="preserve">Management reviewed and edited this section. It was then published with the Public Notice. </w:t>
                      </w:r>
                      <w:r w:rsidRPr="001A4DE1">
                        <w:rPr>
                          <w:rFonts w:asciiTheme="minorHAnsi" w:hAnsiTheme="minorHAnsi" w:cstheme="minorHAnsi"/>
                        </w:rPr>
                        <w:t xml:space="preserve">Do not modify it except to correct typographical errors. </w:t>
                      </w:r>
                    </w:p>
                  </w:txbxContent>
                </v:textbox>
                <w10:anchorlock/>
              </v:shape>
            </w:pict>
          </mc:Fallback>
        </mc:AlternateContent>
      </w:r>
    </w:p>
    <w:p w14:paraId="0C814FFF" w14:textId="77777777" w:rsidR="002F2F6F" w:rsidRDefault="002F2F6F" w:rsidP="002F2F6F"/>
    <w:p w14:paraId="74DE5EFE" w14:textId="77777777" w:rsidR="007B7C59" w:rsidRPr="007B7C59" w:rsidRDefault="007B7C59" w:rsidP="007B7C59">
      <w:pPr>
        <w:keepNext/>
        <w:keepLines/>
        <w:outlineLvl w:val="1"/>
        <w:rPr>
          <w:rFonts w:ascii="Arial" w:hAnsi="Arial" w:cstheme="majorBidi"/>
          <w:b/>
          <w:bCs/>
          <w:sz w:val="32"/>
          <w:szCs w:val="26"/>
        </w:rPr>
      </w:pPr>
      <w:r w:rsidRPr="007B7C59">
        <w:rPr>
          <w:rFonts w:ascii="Arial" w:hAnsi="Arial" w:cstheme="majorBidi"/>
          <w:b/>
          <w:bCs/>
          <w:sz w:val="32"/>
          <w:szCs w:val="26"/>
        </w:rPr>
        <w:t>Public notice</w:t>
      </w:r>
    </w:p>
    <w:p w14:paraId="11EF21F3" w14:textId="77777777" w:rsidR="007B7C59" w:rsidRPr="007B7C59" w:rsidRDefault="007B7C59" w:rsidP="007B7C59"/>
    <w:p w14:paraId="1DF61B81" w14:textId="77777777" w:rsidR="007B7C59" w:rsidRPr="007B7C59" w:rsidRDefault="007B7C59" w:rsidP="007B7C59">
      <w:r w:rsidRPr="007B7C59">
        <w:t xml:space="preserve">DEQ provided notice of the proposed rulemaking and rulemaking hearing for Sept. 18, 2019, by: </w:t>
      </w:r>
    </w:p>
    <w:p w14:paraId="0589EE7F" w14:textId="77777777" w:rsidR="007B7C59" w:rsidRPr="007B7C59" w:rsidRDefault="007B7C59" w:rsidP="007B7C59"/>
    <w:p w14:paraId="178F2E52" w14:textId="77777777" w:rsidR="007B7C59" w:rsidRPr="007B7C59" w:rsidRDefault="007B7C59" w:rsidP="007B7C59">
      <w:pPr>
        <w:numPr>
          <w:ilvl w:val="0"/>
          <w:numId w:val="12"/>
        </w:numPr>
        <w:contextualSpacing/>
        <w:rPr>
          <w:bCs/>
        </w:rPr>
      </w:pPr>
      <w:r w:rsidRPr="007B7C59">
        <w:rPr>
          <w:bCs/>
        </w:rPr>
        <w:t xml:space="preserve">On </w:t>
      </w:r>
      <w:r w:rsidRPr="007B7C59">
        <w:rPr>
          <w:color w:val="auto"/>
          <w:szCs w:val="32"/>
        </w:rPr>
        <w:t xml:space="preserve">Aug. 15, 2019, </w:t>
      </w:r>
      <w:r w:rsidRPr="007B7C59">
        <w:rPr>
          <w:bCs/>
        </w:rPr>
        <w:t xml:space="preserve">filing notice with the Oregon Secretary of State for publication in the </w:t>
      </w:r>
      <w:r w:rsidRPr="007B7C59">
        <w:rPr>
          <w:color w:val="auto"/>
          <w:szCs w:val="32"/>
        </w:rPr>
        <w:t>September 2019</w:t>
      </w:r>
      <w:r w:rsidRPr="007B7C59">
        <w:rPr>
          <w:bCs/>
        </w:rPr>
        <w:t xml:space="preserve"> Oregon Bulletin</w:t>
      </w:r>
    </w:p>
    <w:p w14:paraId="6AF0AB65" w14:textId="77777777" w:rsidR="007B7C59" w:rsidRPr="007B7C59" w:rsidRDefault="007B7C59" w:rsidP="007B7C59">
      <w:pPr>
        <w:numPr>
          <w:ilvl w:val="0"/>
          <w:numId w:val="12"/>
        </w:numPr>
        <w:contextualSpacing/>
        <w:rPr>
          <w:bCs/>
        </w:rPr>
      </w:pPr>
      <w:r w:rsidRPr="007B7C59">
        <w:rPr>
          <w:bCs/>
        </w:rPr>
        <w:t>Notifying the EPA by mail</w:t>
      </w:r>
    </w:p>
    <w:p w14:paraId="2DEC36F5" w14:textId="77777777" w:rsidR="007B7C59" w:rsidRPr="007B7C59" w:rsidRDefault="007B7C59" w:rsidP="007B7C59">
      <w:pPr>
        <w:numPr>
          <w:ilvl w:val="0"/>
          <w:numId w:val="12"/>
        </w:numPr>
        <w:contextualSpacing/>
        <w:rPr>
          <w:bCs/>
        </w:rPr>
      </w:pPr>
      <w:r w:rsidRPr="007B7C59">
        <w:rPr>
          <w:bCs/>
        </w:rPr>
        <w:t xml:space="preserve">Posting the Notice, Invitation to Comment and Draft Rules on the web page for this rulemaking, located at: </w:t>
      </w:r>
      <w:hyperlink r:id="rId31" w:history="1">
        <w:r w:rsidRPr="007B7C59">
          <w:rPr>
            <w:bCs/>
            <w:color w:val="0563C1" w:themeColor="hyperlink"/>
            <w:u w:val="single"/>
          </w:rPr>
          <w:t>https://www.oregon.gov/deq/Regulations/rulemaking/Pages/rhot2019.aspx</w:t>
        </w:r>
      </w:hyperlink>
      <w:r w:rsidRPr="007B7C59">
        <w:rPr>
          <w:bCs/>
        </w:rPr>
        <w:t xml:space="preserve"> </w:t>
      </w:r>
    </w:p>
    <w:p w14:paraId="5A0512D2" w14:textId="77777777" w:rsidR="007B7C59" w:rsidRPr="007B7C59" w:rsidRDefault="007B7C59" w:rsidP="007B7C59">
      <w:pPr>
        <w:numPr>
          <w:ilvl w:val="0"/>
          <w:numId w:val="12"/>
        </w:numPr>
        <w:contextualSpacing/>
        <w:rPr>
          <w:bCs/>
        </w:rPr>
      </w:pPr>
      <w:r w:rsidRPr="007B7C59">
        <w:rPr>
          <w:bCs/>
        </w:rPr>
        <w:t>Emailing interested parties on the following DEQ lists through GovDelivery:</w:t>
      </w:r>
    </w:p>
    <w:p w14:paraId="0FAFD683" w14:textId="77777777" w:rsidR="007B7C59" w:rsidRPr="007B7C59" w:rsidRDefault="007B7C59" w:rsidP="007B7C59">
      <w:pPr>
        <w:numPr>
          <w:ilvl w:val="1"/>
          <w:numId w:val="16"/>
        </w:numPr>
        <w:contextualSpacing/>
        <w:rPr>
          <w:bCs/>
        </w:rPr>
      </w:pPr>
      <w:r w:rsidRPr="007B7C59">
        <w:rPr>
          <w:bCs/>
        </w:rPr>
        <w:t>Rulemaking</w:t>
      </w:r>
    </w:p>
    <w:p w14:paraId="67C5195C" w14:textId="77777777" w:rsidR="007B7C59" w:rsidRPr="007B7C59" w:rsidRDefault="007B7C59" w:rsidP="007B7C59">
      <w:pPr>
        <w:numPr>
          <w:ilvl w:val="1"/>
          <w:numId w:val="17"/>
        </w:numPr>
        <w:contextualSpacing/>
        <w:rPr>
          <w:bCs/>
        </w:rPr>
      </w:pPr>
      <w:r w:rsidRPr="007B7C59">
        <w:rPr>
          <w:bCs/>
        </w:rPr>
        <w:t>Heating oil tanks</w:t>
      </w:r>
    </w:p>
    <w:p w14:paraId="0F6AB9FD" w14:textId="77777777" w:rsidR="007B7C59" w:rsidRPr="007B7C59" w:rsidRDefault="007B7C59" w:rsidP="007B7C59">
      <w:pPr>
        <w:numPr>
          <w:ilvl w:val="1"/>
          <w:numId w:val="18"/>
        </w:numPr>
        <w:contextualSpacing/>
        <w:rPr>
          <w:bCs/>
        </w:rPr>
      </w:pPr>
      <w:r w:rsidRPr="007B7C59">
        <w:rPr>
          <w:bCs/>
        </w:rPr>
        <w:t>Environmental cleanup</w:t>
      </w:r>
    </w:p>
    <w:p w14:paraId="0C6DD10A" w14:textId="77777777" w:rsidR="007B7C59" w:rsidRPr="007B7C59" w:rsidRDefault="007B7C59" w:rsidP="007B7C59">
      <w:pPr>
        <w:numPr>
          <w:ilvl w:val="0"/>
          <w:numId w:val="12"/>
        </w:numPr>
        <w:contextualSpacing/>
        <w:rPr>
          <w:bCs/>
        </w:rPr>
      </w:pPr>
      <w:r w:rsidRPr="007B7C59">
        <w:rPr>
          <w:bCs/>
        </w:rPr>
        <w:t xml:space="preserve">Emailing the following key legislators required under </w:t>
      </w:r>
      <w:hyperlink r:id="rId32" w:history="1">
        <w:r w:rsidRPr="007B7C59">
          <w:rPr>
            <w:bCs/>
            <w:color w:val="0563C1" w:themeColor="hyperlink"/>
            <w:u w:val="single"/>
          </w:rPr>
          <w:t>ORS 183.335</w:t>
        </w:r>
      </w:hyperlink>
      <w:r w:rsidRPr="007B7C59">
        <w:rPr>
          <w:bCs/>
        </w:rPr>
        <w:t>:</w:t>
      </w:r>
    </w:p>
    <w:p w14:paraId="6BF933F6" w14:textId="77777777" w:rsidR="007B7C59" w:rsidRPr="007B7C59" w:rsidRDefault="007B7C59" w:rsidP="007B7C59">
      <w:pPr>
        <w:numPr>
          <w:ilvl w:val="1"/>
          <w:numId w:val="12"/>
        </w:numPr>
        <w:autoSpaceDE w:val="0"/>
        <w:autoSpaceDN w:val="0"/>
        <w:adjustRightInd w:val="0"/>
        <w:contextualSpacing/>
        <w:outlineLvl w:val="9"/>
        <w:rPr>
          <w:rFonts w:ascii="TimesNewRomanPSMT" w:hAnsi="TimesNewRomanPSMT" w:cs="TimesNewRomanPSMT"/>
          <w:bCs/>
        </w:rPr>
      </w:pPr>
      <w:r w:rsidRPr="007B7C59">
        <w:rPr>
          <w:rFonts w:ascii="TimesNewRomanPSMT" w:hAnsi="TimesNewRomanPSMT" w:cs="TimesNewRomanPSMT"/>
          <w:bCs/>
        </w:rPr>
        <w:t xml:space="preserve">Senator Michael </w:t>
      </w:r>
      <w:proofErr w:type="spellStart"/>
      <w:r w:rsidRPr="007B7C59">
        <w:rPr>
          <w:rFonts w:ascii="TimesNewRomanPSMT" w:hAnsi="TimesNewRomanPSMT" w:cs="TimesNewRomanPSMT"/>
          <w:bCs/>
        </w:rPr>
        <w:t>Dembrow</w:t>
      </w:r>
      <w:proofErr w:type="spellEnd"/>
      <w:r w:rsidRPr="007B7C59">
        <w:rPr>
          <w:rFonts w:ascii="TimesNewRomanPSMT" w:hAnsi="TimesNewRomanPSMT" w:cs="TimesNewRomanPSMT"/>
          <w:bCs/>
        </w:rPr>
        <w:t>, Chair, Senate Committee on Environment and National Resources</w:t>
      </w:r>
    </w:p>
    <w:p w14:paraId="524B6192" w14:textId="77777777" w:rsidR="007B7C59" w:rsidRPr="007B7C59" w:rsidRDefault="007B7C59" w:rsidP="007B7C59">
      <w:pPr>
        <w:numPr>
          <w:ilvl w:val="1"/>
          <w:numId w:val="12"/>
        </w:numPr>
        <w:autoSpaceDE w:val="0"/>
        <w:autoSpaceDN w:val="0"/>
        <w:adjustRightInd w:val="0"/>
        <w:contextualSpacing/>
        <w:outlineLvl w:val="9"/>
        <w:rPr>
          <w:rFonts w:ascii="TimesNewRomanPSMT" w:hAnsi="TimesNewRomanPSMT" w:cs="TimesNewRomanPSMT"/>
          <w:bCs/>
        </w:rPr>
      </w:pPr>
      <w:r w:rsidRPr="007B7C59">
        <w:rPr>
          <w:rFonts w:ascii="TimesNewRomanPSMT" w:hAnsi="TimesNewRomanPSMT" w:cs="TimesNewRomanPSMT"/>
          <w:bCs/>
        </w:rPr>
        <w:t>Senator Alan Olsen, Vice-Chair, Senate Committee on Environment and National Resources</w:t>
      </w:r>
    </w:p>
    <w:p w14:paraId="30EB0BF6" w14:textId="77777777" w:rsidR="007B7C59" w:rsidRPr="007B7C59" w:rsidRDefault="007B7C59" w:rsidP="007B7C59">
      <w:pPr>
        <w:numPr>
          <w:ilvl w:val="1"/>
          <w:numId w:val="12"/>
        </w:numPr>
        <w:autoSpaceDE w:val="0"/>
        <w:autoSpaceDN w:val="0"/>
        <w:adjustRightInd w:val="0"/>
        <w:contextualSpacing/>
        <w:outlineLvl w:val="9"/>
        <w:rPr>
          <w:rFonts w:ascii="TimesNewRomanPSMT" w:hAnsi="TimesNewRomanPSMT" w:cs="TimesNewRomanPSMT"/>
          <w:bCs/>
        </w:rPr>
      </w:pPr>
      <w:r w:rsidRPr="007B7C59">
        <w:rPr>
          <w:rFonts w:ascii="TimesNewRomanPSMT" w:hAnsi="TimesNewRomanPSMT" w:cs="TimesNewRomanPSMT"/>
          <w:bCs/>
        </w:rPr>
        <w:t>Representative Ken Helm, Chair, House Committee on Energy and Environment</w:t>
      </w:r>
    </w:p>
    <w:p w14:paraId="4436A1C0" w14:textId="77777777" w:rsidR="007B7C59" w:rsidRPr="007B7C59" w:rsidRDefault="007B7C59" w:rsidP="007B7C59">
      <w:pPr>
        <w:numPr>
          <w:ilvl w:val="1"/>
          <w:numId w:val="12"/>
        </w:numPr>
        <w:autoSpaceDE w:val="0"/>
        <w:autoSpaceDN w:val="0"/>
        <w:adjustRightInd w:val="0"/>
        <w:contextualSpacing/>
        <w:outlineLvl w:val="9"/>
        <w:rPr>
          <w:rFonts w:ascii="TimesNewRomanPSMT" w:hAnsi="TimesNewRomanPSMT" w:cs="TimesNewRomanPSMT"/>
          <w:bCs/>
        </w:rPr>
      </w:pPr>
      <w:r w:rsidRPr="007B7C59">
        <w:rPr>
          <w:rFonts w:ascii="TimesNewRomanPSMT" w:hAnsi="TimesNewRomanPSMT" w:cs="TimesNewRomanPSMT"/>
          <w:bCs/>
        </w:rPr>
        <w:t xml:space="preserve">Representative E. Werner </w:t>
      </w:r>
      <w:proofErr w:type="spellStart"/>
      <w:r w:rsidRPr="007B7C59">
        <w:rPr>
          <w:rFonts w:ascii="TimesNewRomanPSMT" w:hAnsi="TimesNewRomanPSMT" w:cs="TimesNewRomanPSMT"/>
          <w:bCs/>
        </w:rPr>
        <w:t>Reschke</w:t>
      </w:r>
      <w:proofErr w:type="spellEnd"/>
      <w:r w:rsidRPr="007B7C59">
        <w:rPr>
          <w:rFonts w:ascii="TimesNewRomanPSMT" w:hAnsi="TimesNewRomanPSMT" w:cs="TimesNewRomanPSMT"/>
          <w:bCs/>
        </w:rPr>
        <w:t>, Vice-Chair, House Committee on Energy and Environment</w:t>
      </w:r>
    </w:p>
    <w:p w14:paraId="7EE8243A" w14:textId="77777777" w:rsidR="007B7C59" w:rsidRPr="007B7C59" w:rsidRDefault="007B7C59" w:rsidP="007B7C59">
      <w:pPr>
        <w:numPr>
          <w:ilvl w:val="1"/>
          <w:numId w:val="12"/>
        </w:numPr>
        <w:contextualSpacing/>
        <w:rPr>
          <w:bCs/>
        </w:rPr>
      </w:pPr>
      <w:r w:rsidRPr="007B7C59">
        <w:rPr>
          <w:rFonts w:ascii="TimesNewRomanPSMT" w:hAnsi="TimesNewRomanPSMT" w:cs="TimesNewRomanPSMT"/>
          <w:bCs/>
        </w:rPr>
        <w:t>Representative Sheri Schouten, Vice-Chair, House Committee on Energy and Environment</w:t>
      </w:r>
    </w:p>
    <w:p w14:paraId="2AC2D156" w14:textId="77777777" w:rsidR="007B7C59" w:rsidRPr="007B7C59" w:rsidRDefault="007B7C59" w:rsidP="007B7C59">
      <w:pPr>
        <w:numPr>
          <w:ilvl w:val="0"/>
          <w:numId w:val="12"/>
        </w:numPr>
        <w:contextualSpacing/>
        <w:rPr>
          <w:bCs/>
        </w:rPr>
      </w:pPr>
      <w:r w:rsidRPr="007B7C59">
        <w:rPr>
          <w:bCs/>
        </w:rPr>
        <w:t>Emailing Advisory Committee Members</w:t>
      </w:r>
    </w:p>
    <w:p w14:paraId="0EE5AB49" w14:textId="77777777" w:rsidR="007B7C59" w:rsidRPr="007B7C59" w:rsidRDefault="007B7C59" w:rsidP="007B7C59">
      <w:pPr>
        <w:numPr>
          <w:ilvl w:val="0"/>
          <w:numId w:val="12"/>
        </w:numPr>
        <w:contextualSpacing/>
        <w:rPr>
          <w:bCs/>
        </w:rPr>
      </w:pPr>
      <w:r w:rsidRPr="007B7C59">
        <w:rPr>
          <w:bCs/>
        </w:rPr>
        <w:t>Postings on Twitter and Facebook</w:t>
      </w:r>
    </w:p>
    <w:p w14:paraId="6D9DF941" w14:textId="649ECD1C" w:rsidR="007B7C59" w:rsidRPr="007B7C59" w:rsidRDefault="007B7C59" w:rsidP="007B7C59">
      <w:pPr>
        <w:numPr>
          <w:ilvl w:val="0"/>
          <w:numId w:val="12"/>
        </w:numPr>
        <w:contextualSpacing/>
        <w:rPr>
          <w:bCs/>
        </w:rPr>
      </w:pPr>
      <w:r w:rsidRPr="007B7C59">
        <w:rPr>
          <w:bCs/>
        </w:rPr>
        <w:t xml:space="preserve">Posting on the DEQ event calendar: </w:t>
      </w:r>
      <w:hyperlink r:id="rId33" w:history="1">
        <w:r w:rsidRPr="007B7C59">
          <w:rPr>
            <w:bCs/>
            <w:color w:val="0563C1" w:themeColor="hyperlink"/>
            <w:u w:val="single"/>
          </w:rPr>
          <w:t>DEQ Calendar</w:t>
        </w:r>
      </w:hyperlink>
    </w:p>
    <w:p w14:paraId="3AD34D1B" w14:textId="437D911E" w:rsidR="007B7C59" w:rsidRPr="007B7C59" w:rsidRDefault="007B7C59" w:rsidP="007B7C59">
      <w:pPr>
        <w:rPr>
          <w:bCs/>
          <w:color w:val="auto"/>
          <w:szCs w:val="32"/>
        </w:rPr>
      </w:pPr>
    </w:p>
    <w:p w14:paraId="57E6A966" w14:textId="77777777" w:rsidR="002F2F6F" w:rsidRPr="003C26EE" w:rsidRDefault="002F2F6F" w:rsidP="002F2F6F"/>
    <w:p w14:paraId="46FD9DFF" w14:textId="77777777" w:rsidR="002F2F6F" w:rsidRDefault="002F2F6F" w:rsidP="002F2F6F">
      <w:r>
        <w:br w:type="page"/>
      </w:r>
    </w:p>
    <w:p w14:paraId="0AA327B7" w14:textId="77777777" w:rsidR="002F2F6F" w:rsidRDefault="002F2F6F" w:rsidP="001F7800">
      <w:pPr>
        <w:pStyle w:val="Heading2"/>
      </w:pPr>
      <w:bookmarkStart w:id="28" w:name="_Toc3988356"/>
      <w:bookmarkStart w:id="29" w:name="_Toc4051288"/>
      <w:r>
        <w:lastRenderedPageBreak/>
        <w:t>Public Hearing</w:t>
      </w:r>
      <w:bookmarkEnd w:id="28"/>
      <w:bookmarkEnd w:id="29"/>
    </w:p>
    <w:p w14:paraId="55FB36E3" w14:textId="77777777" w:rsidR="002F2F6F" w:rsidRDefault="002F2F6F" w:rsidP="002F2F6F"/>
    <w:p w14:paraId="21759183" w14:textId="75CD5F59" w:rsidR="002F2F6F" w:rsidRPr="001404B0" w:rsidRDefault="002F2F6F" w:rsidP="002F2F6F">
      <w:r w:rsidRPr="001404B0">
        <w:t>DEQ held</w:t>
      </w:r>
      <w:r>
        <w:t xml:space="preserve"> </w:t>
      </w:r>
      <w:r w:rsidR="007B7C59">
        <w:rPr>
          <w:rStyle w:val="instructionsChar"/>
          <w:rFonts w:ascii="Times New Roman" w:hAnsi="Times New Roman"/>
          <w:color w:val="auto"/>
        </w:rPr>
        <w:t>one public hearing on S</w:t>
      </w:r>
      <w:r w:rsidR="006355E1">
        <w:rPr>
          <w:rStyle w:val="instructionsChar"/>
          <w:rFonts w:ascii="Times New Roman" w:hAnsi="Times New Roman"/>
          <w:color w:val="auto"/>
        </w:rPr>
        <w:t>ept. 18, 2019.</w:t>
      </w:r>
      <w:r w:rsidRPr="007B7C59">
        <w:rPr>
          <w:color w:val="auto"/>
        </w:rPr>
        <w:t xml:space="preserve"> </w:t>
      </w:r>
      <w:r w:rsidRPr="001404B0">
        <w:t xml:space="preserve">DEQ received </w:t>
      </w:r>
      <w:r w:rsidRPr="00A135B0">
        <w:rPr>
          <w:rStyle w:val="instructionsChar"/>
        </w:rPr>
        <w:t>XX</w:t>
      </w:r>
      <w:r w:rsidRPr="001404B0">
        <w:t xml:space="preserve"> comments at the hearing. Later sections of this document include a summary of the</w:t>
      </w:r>
      <w:r w:rsidRPr="00A135B0">
        <w:rPr>
          <w:rStyle w:val="instructionsChar"/>
        </w:rPr>
        <w:t xml:space="preserve"> XX</w:t>
      </w:r>
      <w:r w:rsidRPr="001404B0">
        <w:t xml:space="preserve"> comments received during the open public comment period, DEQ’s responses, and a list of the commenters. Original comments are on file with DEQ.</w:t>
      </w:r>
    </w:p>
    <w:p w14:paraId="365C0969" w14:textId="77777777" w:rsidR="002F2F6F" w:rsidRPr="00A135B0" w:rsidRDefault="002F2F6F" w:rsidP="002F2F6F"/>
    <w:p w14:paraId="03E1CB2D" w14:textId="77777777" w:rsidR="002F2F6F" w:rsidRPr="00794AF3" w:rsidRDefault="002F2F6F" w:rsidP="001F7800">
      <w:pPr>
        <w:pStyle w:val="Heading3"/>
      </w:pPr>
      <w:r w:rsidRPr="001404B0">
        <w:t>Presiding Officers’ Record</w:t>
      </w:r>
    </w:p>
    <w:p w14:paraId="083C4283" w14:textId="77777777" w:rsidR="002F2F6F" w:rsidRPr="001404B0" w:rsidRDefault="002F2F6F" w:rsidP="002F2F6F"/>
    <w:p w14:paraId="0AD041CF" w14:textId="78C5E7F9" w:rsidR="002F2F6F" w:rsidRPr="001404B0" w:rsidRDefault="007C7225" w:rsidP="001F7800">
      <w:pPr>
        <w:pStyle w:val="Heading4"/>
      </w:pPr>
      <w:r>
        <w:t xml:space="preserve">Hearing </w:t>
      </w:r>
    </w:p>
    <w:p w14:paraId="727947BC" w14:textId="77777777" w:rsidR="002F2F6F" w:rsidRPr="001404B0" w:rsidRDefault="002F2F6F" w:rsidP="002F2F6F"/>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137"/>
        <w:gridCol w:w="6817"/>
      </w:tblGrid>
      <w:tr w:rsidR="007C7225" w14:paraId="0AA99A53" w14:textId="77777777" w:rsidTr="007C7225">
        <w:tc>
          <w:tcPr>
            <w:tcW w:w="2137" w:type="dxa"/>
          </w:tcPr>
          <w:p w14:paraId="09649182" w14:textId="5A270978" w:rsidR="007C7225" w:rsidRPr="007C7225" w:rsidRDefault="007C7225" w:rsidP="002F2F6F">
            <w:pPr>
              <w:rPr>
                <w:rFonts w:ascii="Arial" w:hAnsi="Arial" w:cs="Arial"/>
              </w:rPr>
            </w:pPr>
            <w:r w:rsidRPr="007C7225">
              <w:rPr>
                <w:rFonts w:ascii="Arial" w:hAnsi="Arial" w:cs="Arial"/>
              </w:rPr>
              <w:t>Date</w:t>
            </w:r>
          </w:p>
        </w:tc>
        <w:tc>
          <w:tcPr>
            <w:tcW w:w="6817" w:type="dxa"/>
          </w:tcPr>
          <w:p w14:paraId="722EDB8D" w14:textId="07FFABEA" w:rsidR="007C7225" w:rsidRDefault="007C7225" w:rsidP="002F2F6F">
            <w:r>
              <w:t>Sept. 18, 2019</w:t>
            </w:r>
          </w:p>
        </w:tc>
      </w:tr>
      <w:tr w:rsidR="007C7225" w14:paraId="563969E9" w14:textId="77777777" w:rsidTr="007C7225">
        <w:tc>
          <w:tcPr>
            <w:tcW w:w="2137" w:type="dxa"/>
          </w:tcPr>
          <w:p w14:paraId="27921D6C" w14:textId="7FD2F7C9" w:rsidR="007C7225" w:rsidRPr="007C7225" w:rsidRDefault="007C7225" w:rsidP="002F2F6F">
            <w:pPr>
              <w:rPr>
                <w:rFonts w:ascii="Arial" w:hAnsi="Arial" w:cs="Arial"/>
              </w:rPr>
            </w:pPr>
            <w:r w:rsidRPr="007C7225">
              <w:rPr>
                <w:rFonts w:ascii="Arial" w:hAnsi="Arial" w:cs="Arial"/>
              </w:rPr>
              <w:t>Place</w:t>
            </w:r>
          </w:p>
        </w:tc>
        <w:tc>
          <w:tcPr>
            <w:tcW w:w="6817" w:type="dxa"/>
          </w:tcPr>
          <w:p w14:paraId="5891C4D2" w14:textId="77777777" w:rsidR="007C7225" w:rsidRDefault="007C7225" w:rsidP="002F2F6F">
            <w:r>
              <w:t>Oregon DEQ</w:t>
            </w:r>
          </w:p>
          <w:p w14:paraId="2931BCB4" w14:textId="77777777" w:rsidR="007C7225" w:rsidRDefault="007C7225" w:rsidP="002F2F6F">
            <w:r>
              <w:t>700 NE Multnomah St., Suite 600</w:t>
            </w:r>
          </w:p>
          <w:p w14:paraId="2B7F85B6" w14:textId="1674CEC5" w:rsidR="007C7225" w:rsidRDefault="007C7225" w:rsidP="002F2F6F">
            <w:r>
              <w:t>Portland, OR 97232-1400</w:t>
            </w:r>
          </w:p>
        </w:tc>
      </w:tr>
      <w:tr w:rsidR="007C7225" w14:paraId="45756566" w14:textId="77777777" w:rsidTr="007C7225">
        <w:tc>
          <w:tcPr>
            <w:tcW w:w="2137" w:type="dxa"/>
          </w:tcPr>
          <w:p w14:paraId="73A104D4" w14:textId="6A7630EA" w:rsidR="007C7225" w:rsidRPr="007C7225" w:rsidRDefault="007C7225" w:rsidP="002F2F6F">
            <w:pPr>
              <w:rPr>
                <w:rFonts w:ascii="Arial" w:hAnsi="Arial" w:cs="Arial"/>
              </w:rPr>
            </w:pPr>
            <w:r w:rsidRPr="007C7225">
              <w:rPr>
                <w:rFonts w:ascii="Arial" w:hAnsi="Arial" w:cs="Arial"/>
              </w:rPr>
              <w:t>Start Time</w:t>
            </w:r>
          </w:p>
        </w:tc>
        <w:tc>
          <w:tcPr>
            <w:tcW w:w="6817" w:type="dxa"/>
          </w:tcPr>
          <w:p w14:paraId="03433C85" w14:textId="29F51FB9" w:rsidR="007C7225" w:rsidRDefault="007C7225" w:rsidP="002F2F6F">
            <w:r>
              <w:t>6 p.m.</w:t>
            </w:r>
          </w:p>
        </w:tc>
      </w:tr>
      <w:tr w:rsidR="007C7225" w14:paraId="039F5A28" w14:textId="77777777" w:rsidTr="007C7225">
        <w:tc>
          <w:tcPr>
            <w:tcW w:w="2137" w:type="dxa"/>
          </w:tcPr>
          <w:p w14:paraId="43BFE4E8" w14:textId="588E48CA" w:rsidR="007C7225" w:rsidRPr="007C7225" w:rsidRDefault="007C7225" w:rsidP="002F2F6F">
            <w:pPr>
              <w:rPr>
                <w:rFonts w:ascii="Arial" w:hAnsi="Arial" w:cs="Arial"/>
              </w:rPr>
            </w:pPr>
            <w:r w:rsidRPr="007C7225">
              <w:rPr>
                <w:rFonts w:ascii="Arial" w:hAnsi="Arial" w:cs="Arial"/>
                <w:highlight w:val="yellow"/>
              </w:rPr>
              <w:t>Ending Time</w:t>
            </w:r>
          </w:p>
        </w:tc>
        <w:tc>
          <w:tcPr>
            <w:tcW w:w="6817" w:type="dxa"/>
          </w:tcPr>
          <w:p w14:paraId="33BD6383" w14:textId="77777777" w:rsidR="007C7225" w:rsidRDefault="007C7225" w:rsidP="002F2F6F"/>
        </w:tc>
      </w:tr>
      <w:tr w:rsidR="007C7225" w14:paraId="45C4E60D" w14:textId="77777777" w:rsidTr="007C7225">
        <w:tc>
          <w:tcPr>
            <w:tcW w:w="2137" w:type="dxa"/>
          </w:tcPr>
          <w:p w14:paraId="1352618A" w14:textId="25572036" w:rsidR="007C7225" w:rsidRPr="007C7225" w:rsidRDefault="007C7225" w:rsidP="002F2F6F">
            <w:pPr>
              <w:rPr>
                <w:rFonts w:ascii="Arial" w:hAnsi="Arial" w:cs="Arial"/>
              </w:rPr>
            </w:pPr>
            <w:r w:rsidRPr="007C7225">
              <w:rPr>
                <w:rFonts w:ascii="Arial" w:hAnsi="Arial" w:cs="Arial"/>
              </w:rPr>
              <w:t>Presiding Officer</w:t>
            </w:r>
          </w:p>
        </w:tc>
        <w:tc>
          <w:tcPr>
            <w:tcW w:w="6817" w:type="dxa"/>
          </w:tcPr>
          <w:p w14:paraId="5A7496AA" w14:textId="4EDFE33D" w:rsidR="007C7225" w:rsidRDefault="007C7225" w:rsidP="002F2F6F">
            <w:r>
              <w:t>Jessika Cohen</w:t>
            </w:r>
          </w:p>
        </w:tc>
      </w:tr>
    </w:tbl>
    <w:p w14:paraId="4A6BC726" w14:textId="77777777" w:rsidR="002F2F6F" w:rsidRDefault="002F2F6F" w:rsidP="002F2F6F"/>
    <w:p w14:paraId="23C3E2A2" w14:textId="77777777" w:rsidR="002F2F6F" w:rsidRPr="001404B0" w:rsidRDefault="002F2F6F" w:rsidP="002F2F6F">
      <w:pPr>
        <w:ind w:right="634"/>
        <w:rPr>
          <w:vanish/>
        </w:rPr>
      </w:pPr>
    </w:p>
    <w:p w14:paraId="2CDA34EC" w14:textId="77777777" w:rsidR="002F2F6F" w:rsidRPr="001404B0" w:rsidRDefault="002F2F6F" w:rsidP="001F7800">
      <w:pPr>
        <w:pStyle w:val="Heading4"/>
      </w:pPr>
      <w:r w:rsidRPr="001404B0">
        <w:t xml:space="preserve">Presiding Officer: </w:t>
      </w:r>
    </w:p>
    <w:p w14:paraId="4A2D13EE" w14:textId="77777777" w:rsidR="002F2F6F" w:rsidRPr="001404B0" w:rsidRDefault="002F2F6F" w:rsidP="002F2F6F">
      <w:pPr>
        <w:tabs>
          <w:tab w:val="left" w:pos="-1440"/>
          <w:tab w:val="left" w:pos="-720"/>
        </w:tabs>
        <w:suppressAutoHyphens/>
      </w:pPr>
    </w:p>
    <w:p w14:paraId="3E627544" w14:textId="77777777" w:rsidR="002F2F6F" w:rsidRPr="001404B0" w:rsidRDefault="002F2F6F" w:rsidP="002F2F6F">
      <w:pPr>
        <w:tabs>
          <w:tab w:val="left" w:pos="-1440"/>
          <w:tab w:val="left" w:pos="-720"/>
        </w:tabs>
        <w:suppressAutoHyphens/>
      </w:pPr>
      <w:r w:rsidRPr="001404B0">
        <w:t xml:space="preserve">The presiding officer convened the hearing, summarized procedures for the hearing, and explained that DEQ was recording the hearing. The presiding officer </w:t>
      </w:r>
      <w:r w:rsidRPr="00A135B0">
        <w:t>a</w:t>
      </w:r>
      <w:r w:rsidRPr="001404B0">
        <w:t>sked people who wanted to present verbal comments to sign the registration list, or if attending by phone, to indicate their intent to present comments. The presiding officer advised all attending parties interested in receiving future information about the rulemaking to sign up for GovDelivery email notices.</w:t>
      </w:r>
    </w:p>
    <w:p w14:paraId="62398971" w14:textId="77777777" w:rsidR="002F2F6F" w:rsidRPr="001404B0" w:rsidRDefault="002F2F6F" w:rsidP="002F2F6F">
      <w:pPr>
        <w:tabs>
          <w:tab w:val="left" w:pos="-1440"/>
          <w:tab w:val="left" w:pos="-720"/>
        </w:tabs>
        <w:suppressAutoHyphens/>
      </w:pPr>
    </w:p>
    <w:p w14:paraId="545AA8CA" w14:textId="77777777" w:rsidR="002F2F6F" w:rsidRPr="001404B0" w:rsidRDefault="002F2F6F" w:rsidP="002F2F6F">
      <w:pPr>
        <w:tabs>
          <w:tab w:val="left" w:pos="-1440"/>
          <w:tab w:val="left" w:pos="-720"/>
        </w:tabs>
        <w:suppressAutoHyphens/>
      </w:pPr>
      <w:r w:rsidRPr="001404B0">
        <w:t>As Oregon Administrative Rule 137-001-0030 requires, the presiding officer summarized the content of the rulemaking notice.</w:t>
      </w:r>
    </w:p>
    <w:p w14:paraId="350A2713" w14:textId="77777777" w:rsidR="002F2F6F" w:rsidRPr="001404B0" w:rsidRDefault="002F2F6F" w:rsidP="002F2F6F">
      <w:pPr>
        <w:tabs>
          <w:tab w:val="left" w:pos="-1440"/>
          <w:tab w:val="left" w:pos="-720"/>
        </w:tabs>
        <w:suppressAutoHyphens/>
      </w:pPr>
    </w:p>
    <w:p w14:paraId="6189C7A3" w14:textId="77777777" w:rsidR="002F2F6F" w:rsidRPr="001404B0" w:rsidRDefault="002F2F6F" w:rsidP="00A83AA3">
      <w:pPr>
        <w:pStyle w:val="instructions"/>
      </w:pPr>
      <w:r w:rsidRPr="001404B0">
        <w:t>EITHER:</w:t>
      </w:r>
    </w:p>
    <w:p w14:paraId="7DBC99D8" w14:textId="77777777" w:rsidR="002F2F6F" w:rsidRPr="001404B0" w:rsidRDefault="002F2F6F" w:rsidP="002F2F6F">
      <w:pPr>
        <w:tabs>
          <w:tab w:val="left" w:pos="-1440"/>
          <w:tab w:val="left" w:pos="-720"/>
        </w:tabs>
        <w:suppressAutoHyphens/>
      </w:pPr>
    </w:p>
    <w:p w14:paraId="4766E74F" w14:textId="77777777" w:rsidR="002F2F6F" w:rsidRPr="001404B0" w:rsidRDefault="002F2F6F" w:rsidP="002F2F6F">
      <w:pPr>
        <w:tabs>
          <w:tab w:val="left" w:pos="-1440"/>
          <w:tab w:val="left" w:pos="-720"/>
        </w:tabs>
        <w:suppressAutoHyphens/>
      </w:pPr>
      <w:r w:rsidRPr="00942DF3">
        <w:rPr>
          <w:rStyle w:val="instructionsChar"/>
        </w:rPr>
        <w:t>XX</w:t>
      </w:r>
      <w:r w:rsidRPr="001404B0">
        <w:rPr>
          <w:color w:val="FF0000"/>
        </w:rPr>
        <w:t xml:space="preserve"> </w:t>
      </w:r>
      <w:r w:rsidRPr="001404B0">
        <w:t xml:space="preserve">number of people attended the hearing in person and </w:t>
      </w:r>
      <w:r w:rsidRPr="00942DF3">
        <w:rPr>
          <w:rStyle w:val="instructionsChar"/>
        </w:rPr>
        <w:t>XX</w:t>
      </w:r>
      <w:r w:rsidRPr="001404B0">
        <w:rPr>
          <w:color w:val="FF0000"/>
        </w:rPr>
        <w:t xml:space="preserve"> </w:t>
      </w:r>
      <w:r w:rsidRPr="001404B0">
        <w:t>number of people attended by teleconference or webinar.</w:t>
      </w:r>
      <w:r w:rsidRPr="00942DF3">
        <w:rPr>
          <w:rStyle w:val="instructionsChar"/>
        </w:rPr>
        <w:t xml:space="preserve"> XX</w:t>
      </w:r>
      <w:r w:rsidRPr="001404B0">
        <w:t xml:space="preserve"> number of people commented orally and</w:t>
      </w:r>
      <w:r w:rsidRPr="00942DF3">
        <w:rPr>
          <w:rStyle w:val="instructionsChar"/>
        </w:rPr>
        <w:t xml:space="preserve"> XX</w:t>
      </w:r>
      <w:r w:rsidRPr="001404B0">
        <w:t xml:space="preserve"> number of people submitted written comments at the hearing.</w:t>
      </w:r>
    </w:p>
    <w:p w14:paraId="51C494A5" w14:textId="77777777" w:rsidR="002F2F6F" w:rsidRPr="001404B0" w:rsidRDefault="002F2F6F" w:rsidP="002F2F6F"/>
    <w:p w14:paraId="7D875AB3" w14:textId="77777777" w:rsidR="002F2F6F" w:rsidRPr="00DE281B" w:rsidRDefault="002F2F6F" w:rsidP="00A83AA3">
      <w:pPr>
        <w:pStyle w:val="instructions"/>
      </w:pPr>
      <w:r w:rsidRPr="001404B0">
        <w:t>OR:</w:t>
      </w:r>
    </w:p>
    <w:p w14:paraId="4CAF8049" w14:textId="77777777" w:rsidR="002F2F6F" w:rsidRPr="001404B0" w:rsidRDefault="002F2F6F" w:rsidP="002F2F6F"/>
    <w:p w14:paraId="03D942B8" w14:textId="77777777" w:rsidR="002F2F6F" w:rsidRDefault="002F2F6F" w:rsidP="002F2F6F">
      <w:r w:rsidRPr="001404B0">
        <w:t xml:space="preserve">No person presented any oral testimony or written comments. </w:t>
      </w:r>
      <w:r>
        <w:br w:type="page"/>
      </w:r>
    </w:p>
    <w:p w14:paraId="40E14A49" w14:textId="77777777" w:rsidR="002F2F6F" w:rsidRPr="001404B0" w:rsidRDefault="002F2F6F" w:rsidP="001F7800">
      <w:pPr>
        <w:pStyle w:val="Heading2"/>
      </w:pPr>
      <w:bookmarkStart w:id="30" w:name="_Toc2850647"/>
      <w:bookmarkStart w:id="31" w:name="_Toc3988357"/>
      <w:bookmarkStart w:id="32" w:name="_Toc4051289"/>
      <w:r w:rsidRPr="001404B0">
        <w:lastRenderedPageBreak/>
        <w:t>Summary of Public Comments and DEQ Responses</w:t>
      </w:r>
      <w:bookmarkEnd w:id="30"/>
      <w:bookmarkEnd w:id="31"/>
      <w:bookmarkEnd w:id="32"/>
    </w:p>
    <w:p w14:paraId="1DEBAA43" w14:textId="77777777" w:rsidR="002F2F6F" w:rsidRDefault="002F2F6F" w:rsidP="002F2F6F">
      <w:pPr>
        <w:pStyle w:val="Heading2"/>
        <w:rPr>
          <w:rFonts w:cs="Arial"/>
          <w:szCs w:val="24"/>
        </w:rPr>
      </w:pPr>
    </w:p>
    <w:p w14:paraId="74EF9AB6" w14:textId="77777777" w:rsidR="002F2F6F" w:rsidRPr="00794AF3" w:rsidRDefault="002F2F6F" w:rsidP="001F7800">
      <w:pPr>
        <w:pStyle w:val="Heading3"/>
      </w:pPr>
      <w:r w:rsidRPr="001404B0">
        <w:t>Public comment period</w:t>
      </w:r>
    </w:p>
    <w:p w14:paraId="270F382C" w14:textId="77777777" w:rsidR="002F2F6F" w:rsidRPr="001404B0" w:rsidRDefault="002F2F6F" w:rsidP="002F2F6F">
      <w:pPr>
        <w:rPr>
          <w:szCs w:val="22"/>
        </w:rPr>
      </w:pPr>
    </w:p>
    <w:p w14:paraId="0DEAB3CC" w14:textId="476DDB83" w:rsidR="002F2F6F" w:rsidRPr="00794AF3" w:rsidRDefault="002F2F6F" w:rsidP="007C7225">
      <w:r w:rsidRPr="00794AF3">
        <w:t xml:space="preserve">DEQ accepted public comment on the proposed rulemaking </w:t>
      </w:r>
      <w:r w:rsidRPr="008E7003">
        <w:t>from</w:t>
      </w:r>
      <w:r w:rsidR="007C7225" w:rsidRPr="008E7003">
        <w:t xml:space="preserve"> </w:t>
      </w:r>
      <w:r w:rsidR="008E7003">
        <w:t>Aug. 15, 2019</w:t>
      </w:r>
      <w:r w:rsidRPr="008E7003">
        <w:t xml:space="preserve"> until</w:t>
      </w:r>
      <w:r w:rsidRPr="00794AF3">
        <w:t xml:space="preserve"> 4 p.m. on </w:t>
      </w:r>
      <w:r w:rsidR="008E7003">
        <w:t>Friday, Sept. 20, 2019</w:t>
      </w:r>
      <w:r w:rsidRPr="008E7003">
        <w:t>.</w:t>
      </w:r>
    </w:p>
    <w:p w14:paraId="00005B5A" w14:textId="77777777" w:rsidR="002F2F6F" w:rsidRPr="00635335" w:rsidRDefault="002F2F6F" w:rsidP="002F2F6F"/>
    <w:p w14:paraId="28BD2EB0" w14:textId="77777777" w:rsidR="002F2F6F" w:rsidRPr="001404B0" w:rsidRDefault="002F2F6F" w:rsidP="002F2F6F">
      <w:r w:rsidRPr="001404B0">
        <w:t xml:space="preserve">For public comments received by the close of the public comment period, the following table organizes comments into </w:t>
      </w:r>
      <w:r w:rsidRPr="00942DF3">
        <w:rPr>
          <w:rStyle w:val="instructionsChar"/>
        </w:rPr>
        <w:t>NUMBER OF CATEGORIES</w:t>
      </w:r>
      <w:r w:rsidRPr="001404B0">
        <w:rPr>
          <w:color w:val="806000" w:themeColor="accent4" w:themeShade="80"/>
        </w:rPr>
        <w:t xml:space="preserve"> </w:t>
      </w:r>
      <w:proofErr w:type="spellStart"/>
      <w:r w:rsidRPr="001404B0">
        <w:t>categories</w:t>
      </w:r>
      <w:proofErr w:type="spellEnd"/>
      <w:r w:rsidRPr="001404B0">
        <w:t xml:space="preserve"> with cross references to the commenter number. DEQ’s response follows the summary. Original comments are on file with DEQ.</w:t>
      </w:r>
    </w:p>
    <w:p w14:paraId="7CB4E91B" w14:textId="77777777" w:rsidR="002F2F6F" w:rsidRPr="001404B0" w:rsidRDefault="002F2F6F" w:rsidP="002F2F6F"/>
    <w:p w14:paraId="435FB043" w14:textId="77777777" w:rsidR="002F2F6F" w:rsidRPr="001404B0" w:rsidRDefault="002F2F6F" w:rsidP="00A83AA3">
      <w:pPr>
        <w:pStyle w:val="instructions"/>
      </w:pPr>
      <w:r w:rsidRPr="001404B0">
        <w:t>Select one of the following two statements:</w:t>
      </w:r>
    </w:p>
    <w:p w14:paraId="48F9D321" w14:textId="77777777" w:rsidR="002F2F6F" w:rsidRPr="001404B0" w:rsidRDefault="002F2F6F" w:rsidP="002F2F6F"/>
    <w:p w14:paraId="33257C32" w14:textId="77777777" w:rsidR="002F2F6F" w:rsidRPr="001404B0" w:rsidRDefault="002F2F6F" w:rsidP="002F2F6F">
      <w:r w:rsidRPr="001404B0">
        <w:t>DEQ did not change the proposed rules in response to comments.</w:t>
      </w:r>
    </w:p>
    <w:p w14:paraId="401A5086" w14:textId="77777777" w:rsidR="002F2F6F" w:rsidRPr="001404B0" w:rsidRDefault="002F2F6F" w:rsidP="002F2F6F"/>
    <w:p w14:paraId="4C8FEDA9" w14:textId="77777777" w:rsidR="002F2F6F" w:rsidRPr="001404B0" w:rsidRDefault="002F2F6F" w:rsidP="002F2F6F">
      <w:r w:rsidRPr="001404B0">
        <w:t>DEQ changed the proposed rules in response to comments described in the response sections below.</w:t>
      </w:r>
    </w:p>
    <w:p w14:paraId="489D4316" w14:textId="77777777" w:rsidR="002F2F6F" w:rsidRDefault="002F2F6F" w:rsidP="002F2F6F"/>
    <w:p w14:paraId="542382E6" w14:textId="77777777" w:rsidR="002F2F6F" w:rsidRDefault="002F2F6F" w:rsidP="00A83AA3">
      <w:pPr>
        <w:pStyle w:val="instructions"/>
      </w:pPr>
      <w:r w:rsidRPr="00A135B0">
        <w:fldChar w:fldCharType="begin"/>
      </w:r>
      <w:r w:rsidRPr="00A135B0">
        <w:instrText xml:space="preserve"> COMMENTS  \* FirstCap  \* MERGEFORMAT </w:instrText>
      </w:r>
      <w:r w:rsidRPr="00A135B0">
        <w:fldChar w:fldCharType="end"/>
      </w:r>
      <w:r w:rsidRPr="00A135B0">
        <w:t>Select one option below</w:t>
      </w:r>
    </w:p>
    <w:p w14:paraId="71619E93" w14:textId="77777777" w:rsidR="002F2F6F" w:rsidRDefault="002F2F6F" w:rsidP="00A83AA3">
      <w:pPr>
        <w:pStyle w:val="instructions"/>
      </w:pPr>
    </w:p>
    <w:p w14:paraId="490D5241" w14:textId="77777777" w:rsidR="002F2F6F" w:rsidRPr="00A135B0" w:rsidRDefault="002F2F6F" w:rsidP="00A83AA3">
      <w:pPr>
        <w:pStyle w:val="instructions"/>
      </w:pPr>
      <w:r>
        <w:t>OPTION ONE</w:t>
      </w:r>
    </w:p>
    <w:p w14:paraId="1F197456" w14:textId="77777777" w:rsidR="002F2F6F" w:rsidRPr="00A135B0" w:rsidRDefault="002F2F6F" w:rsidP="002F2F6F"/>
    <w:p w14:paraId="2E90D039" w14:textId="77777777" w:rsidR="002F2F6F" w:rsidRPr="008839CF" w:rsidRDefault="002F2F6F" w:rsidP="001F7800">
      <w:pPr>
        <w:pStyle w:val="Heading4"/>
      </w:pPr>
      <w:r w:rsidRPr="008839CF">
        <w:t xml:space="preserve">Comment 1 </w:t>
      </w:r>
    </w:p>
    <w:p w14:paraId="0490F167" w14:textId="77777777" w:rsidR="00380032" w:rsidRDefault="00380032" w:rsidP="00A83AA3"/>
    <w:p w14:paraId="4789B5F6" w14:textId="77777777" w:rsidR="002F2F6F" w:rsidRPr="001404B0" w:rsidRDefault="002F2F6F" w:rsidP="00A83AA3">
      <w:pPr>
        <w:rPr>
          <w:vanish/>
        </w:rPr>
      </w:pPr>
      <w:r w:rsidRPr="00DE281B">
        <w:t xml:space="preserve">DEQ received </w:t>
      </w:r>
      <w:r w:rsidRPr="00A83AA3">
        <w:rPr>
          <w:rStyle w:val="instructionsChar"/>
        </w:rPr>
        <w:t>XX NUMBER</w:t>
      </w:r>
      <w:r w:rsidRPr="00DE281B">
        <w:t xml:space="preserve"> comments in this category from commenters </w:t>
      </w:r>
      <w:r w:rsidRPr="00A83AA3">
        <w:rPr>
          <w:rStyle w:val="instructionsChar"/>
        </w:rPr>
        <w:t>Cross reference to commenter number or numbers submitted in this category using format ##, ##, ## and ##.</w:t>
      </w:r>
    </w:p>
    <w:p w14:paraId="09168B64" w14:textId="77777777" w:rsidR="002F2F6F" w:rsidRPr="001404B0" w:rsidRDefault="002F2F6F" w:rsidP="00A83AA3">
      <w:pPr>
        <w:pStyle w:val="instructions"/>
      </w:pPr>
    </w:p>
    <w:p w14:paraId="40EE39D2" w14:textId="77777777" w:rsidR="002F2F6F" w:rsidRPr="001404B0" w:rsidRDefault="002F2F6F" w:rsidP="00A83AA3">
      <w:pPr>
        <w:pStyle w:val="instructions"/>
      </w:pPr>
    </w:p>
    <w:p w14:paraId="0E2CF380" w14:textId="77777777" w:rsidR="002F2F6F" w:rsidRPr="001404B0" w:rsidRDefault="002F2F6F" w:rsidP="001F7800">
      <w:pPr>
        <w:pStyle w:val="Heading4"/>
      </w:pPr>
      <w:r w:rsidRPr="001404B0">
        <w:t>Response</w:t>
      </w:r>
    </w:p>
    <w:p w14:paraId="6D86308B" w14:textId="77777777" w:rsidR="002F2F6F" w:rsidRPr="001404B0" w:rsidRDefault="002F2F6F" w:rsidP="002F2F6F">
      <w:r w:rsidRPr="001404B0">
        <w:tab/>
      </w:r>
    </w:p>
    <w:p w14:paraId="5001236E" w14:textId="77777777" w:rsidR="002F2F6F" w:rsidRPr="001404B0" w:rsidRDefault="002F2F6F" w:rsidP="002F2F6F"/>
    <w:p w14:paraId="56B91232" w14:textId="77777777" w:rsidR="002F2F6F" w:rsidRPr="001404B0" w:rsidRDefault="002F2F6F" w:rsidP="002F2F6F"/>
    <w:p w14:paraId="14FBDCD6" w14:textId="77777777" w:rsidR="002F2F6F" w:rsidRPr="001404B0" w:rsidRDefault="002F2F6F" w:rsidP="001F7800">
      <w:pPr>
        <w:pStyle w:val="Heading4"/>
      </w:pPr>
      <w:r w:rsidRPr="001404B0">
        <w:t>Comment 2</w:t>
      </w:r>
    </w:p>
    <w:p w14:paraId="1D53BAF6" w14:textId="77777777" w:rsidR="00380032" w:rsidRDefault="00380032" w:rsidP="002E490A"/>
    <w:p w14:paraId="30383234" w14:textId="77777777" w:rsidR="002F2F6F" w:rsidRPr="001404B0" w:rsidRDefault="002F2F6F" w:rsidP="002E490A">
      <w:pPr>
        <w:rPr>
          <w:vanish/>
        </w:rPr>
      </w:pPr>
      <w:r w:rsidRPr="002E490A">
        <w:t>DEQ received</w:t>
      </w:r>
      <w:r w:rsidRPr="00A83AA3">
        <w:t xml:space="preserve"> </w:t>
      </w:r>
      <w:r w:rsidRPr="002E490A">
        <w:rPr>
          <w:rStyle w:val="instructionsChar"/>
        </w:rPr>
        <w:t>XX NUMBER</w:t>
      </w:r>
      <w:r w:rsidRPr="00A83AA3">
        <w:t xml:space="preserve"> comments in this category from commenters</w:t>
      </w:r>
      <w:r w:rsidR="00A83AA3" w:rsidRPr="00A83AA3">
        <w:t>.</w:t>
      </w:r>
      <w:r w:rsidRPr="00DE281B">
        <w:t xml:space="preserve"> </w:t>
      </w:r>
      <w:r w:rsidRPr="002E490A">
        <w:rPr>
          <w:rStyle w:val="instructionsChar"/>
        </w:rPr>
        <w:t>Cross</w:t>
      </w:r>
      <w:r w:rsidRPr="001404B0">
        <w:t xml:space="preserve"> </w:t>
      </w:r>
      <w:r w:rsidRPr="002E490A">
        <w:rPr>
          <w:rStyle w:val="instructionsChar"/>
        </w:rPr>
        <w:t>reference to commenter number or numbers submitted in this category using format ##, ##, ## and ##.</w:t>
      </w:r>
    </w:p>
    <w:p w14:paraId="76EACFA0" w14:textId="77777777" w:rsidR="002F2F6F" w:rsidRPr="001404B0" w:rsidRDefault="002F2F6F" w:rsidP="00A83AA3">
      <w:pPr>
        <w:pStyle w:val="instructions"/>
      </w:pPr>
    </w:p>
    <w:p w14:paraId="292C2C0E" w14:textId="77777777" w:rsidR="002F2F6F" w:rsidRPr="001404B0" w:rsidRDefault="002F2F6F" w:rsidP="00A83AA3">
      <w:pPr>
        <w:pStyle w:val="instructions"/>
      </w:pPr>
    </w:p>
    <w:p w14:paraId="1EA2E38A" w14:textId="77777777" w:rsidR="002F2F6F" w:rsidRPr="001404B0" w:rsidRDefault="002F2F6F" w:rsidP="001F7800">
      <w:pPr>
        <w:pStyle w:val="Heading4"/>
      </w:pPr>
      <w:r w:rsidRPr="001404B0">
        <w:t>Response</w:t>
      </w:r>
    </w:p>
    <w:p w14:paraId="69FFDF6D" w14:textId="77777777" w:rsidR="002F2F6F" w:rsidRPr="001404B0" w:rsidRDefault="002F2F6F" w:rsidP="002F2F6F">
      <w:r w:rsidRPr="001404B0">
        <w:tab/>
      </w:r>
    </w:p>
    <w:p w14:paraId="182B3E94" w14:textId="77777777" w:rsidR="002F2F6F" w:rsidRPr="001404B0" w:rsidRDefault="002F2F6F" w:rsidP="002F2F6F"/>
    <w:p w14:paraId="4E0C6F68" w14:textId="77777777" w:rsidR="002F2F6F" w:rsidRPr="001404B0" w:rsidRDefault="002F2F6F" w:rsidP="002F2F6F"/>
    <w:p w14:paraId="4E1AD919" w14:textId="77777777" w:rsidR="002F2F6F" w:rsidRPr="001404B0" w:rsidRDefault="002F2F6F" w:rsidP="001F7800">
      <w:pPr>
        <w:pStyle w:val="Heading4"/>
      </w:pPr>
      <w:r w:rsidRPr="001404B0">
        <w:t>Comment 3</w:t>
      </w:r>
    </w:p>
    <w:p w14:paraId="770778A2" w14:textId="77777777" w:rsidR="00380032" w:rsidRDefault="00380032" w:rsidP="002E490A"/>
    <w:p w14:paraId="74ABD5E9" w14:textId="77777777" w:rsidR="002F2F6F" w:rsidRPr="002E490A" w:rsidRDefault="002F2F6F" w:rsidP="002E490A">
      <w:pPr>
        <w:rPr>
          <w:rStyle w:val="instructionsChar"/>
        </w:rPr>
      </w:pPr>
      <w:r w:rsidRPr="00DE281B">
        <w:lastRenderedPageBreak/>
        <w:t xml:space="preserve">DEQ received </w:t>
      </w:r>
      <w:r w:rsidRPr="002E490A">
        <w:rPr>
          <w:rStyle w:val="instructionsChar"/>
        </w:rPr>
        <w:t>XX NUMBER</w:t>
      </w:r>
      <w:r w:rsidRPr="00DE281B">
        <w:t xml:space="preserve"> comments in this category from commenters</w:t>
      </w:r>
      <w:r w:rsidR="002E490A">
        <w:t>.</w:t>
      </w:r>
      <w:r w:rsidRPr="00DE281B">
        <w:t xml:space="preserve"> </w:t>
      </w:r>
      <w:r w:rsidRPr="002E490A">
        <w:rPr>
          <w:rStyle w:val="instructionsChar"/>
        </w:rPr>
        <w:t>Cross reference to commenter number or numbers submitted in this category using format ##, ##, ## and ##.</w:t>
      </w:r>
    </w:p>
    <w:p w14:paraId="7F3A3D9B" w14:textId="77777777" w:rsidR="002E490A" w:rsidRDefault="002E490A" w:rsidP="002F2F6F">
      <w:pPr>
        <w:pStyle w:val="Heading3"/>
      </w:pPr>
    </w:p>
    <w:p w14:paraId="785A6E26" w14:textId="77777777" w:rsidR="002F2F6F" w:rsidRPr="001404B0" w:rsidRDefault="002F2F6F" w:rsidP="001F7800">
      <w:pPr>
        <w:pStyle w:val="Heading4"/>
      </w:pPr>
      <w:r w:rsidRPr="001404B0">
        <w:t>Response</w:t>
      </w:r>
    </w:p>
    <w:p w14:paraId="404097F9" w14:textId="77777777" w:rsidR="002F2F6F" w:rsidRPr="00A135B0" w:rsidRDefault="002F2F6F" w:rsidP="002F2F6F">
      <w:r w:rsidRPr="001404B0">
        <w:tab/>
      </w:r>
      <w:r w:rsidRPr="00A135B0">
        <w:t>  </w:t>
      </w:r>
    </w:p>
    <w:p w14:paraId="09130227" w14:textId="77777777" w:rsidR="002F2F6F" w:rsidRDefault="002F2F6F" w:rsidP="00A83AA3">
      <w:pPr>
        <w:pStyle w:val="instructions"/>
      </w:pPr>
      <w:r>
        <w:t>OPTION TWO</w:t>
      </w:r>
    </w:p>
    <w:p w14:paraId="39464BB7" w14:textId="77777777" w:rsidR="002F2F6F" w:rsidRPr="00794AF3" w:rsidRDefault="002F2F6F" w:rsidP="00A83AA3">
      <w:pPr>
        <w:pStyle w:val="instructions"/>
      </w:pPr>
    </w:p>
    <w:p w14:paraId="58D37223" w14:textId="77777777" w:rsidR="002F2F6F" w:rsidRPr="001404B0" w:rsidRDefault="002F2F6F" w:rsidP="001F7800">
      <w:pPr>
        <w:pStyle w:val="Heading3"/>
      </w:pPr>
      <w:r w:rsidRPr="001404B0">
        <w:t>Comments received by close of public comment period</w:t>
      </w:r>
    </w:p>
    <w:p w14:paraId="42CE8D92" w14:textId="77777777" w:rsidR="002F2F6F" w:rsidRPr="001404B0" w:rsidRDefault="002F2F6F" w:rsidP="002F2F6F"/>
    <w:p w14:paraId="0919E040" w14:textId="77777777" w:rsidR="002F2F6F" w:rsidRPr="001404B0" w:rsidRDefault="002F2F6F" w:rsidP="002F2F6F">
      <w:r w:rsidRPr="001404B0">
        <w:t xml:space="preserve">The table below lists people and organizations that submitted public comments about the proposed rules by the deadline. Original comments are on file with DEQ. </w:t>
      </w:r>
    </w:p>
    <w:p w14:paraId="40BCB24B" w14:textId="77777777" w:rsidR="002F2F6F" w:rsidRPr="001404B0" w:rsidRDefault="002F2F6F" w:rsidP="002F2F6F"/>
    <w:p w14:paraId="2210C62F" w14:textId="77777777" w:rsidR="002F2F6F" w:rsidRPr="001404B0" w:rsidRDefault="002F2F6F" w:rsidP="00A83AA3">
      <w:pPr>
        <w:pStyle w:val="instructions"/>
      </w:pPr>
      <w:r w:rsidRPr="001404B0">
        <w:t>Use one of the two alternate formats for listing commenters; either a list or a table.</w:t>
      </w:r>
    </w:p>
    <w:p w14:paraId="788FB1DE" w14:textId="77777777" w:rsidR="002F2F6F" w:rsidRPr="001404B0" w:rsidRDefault="002F2F6F" w:rsidP="002F2F6F"/>
    <w:p w14:paraId="3BA785B7" w14:textId="77777777" w:rsidR="002F2F6F" w:rsidRPr="001404B0" w:rsidRDefault="002F2F6F" w:rsidP="001F7800">
      <w:pPr>
        <w:pStyle w:val="Heading4"/>
      </w:pPr>
      <w:r w:rsidRPr="001F7800">
        <w:t>Commenter 1</w:t>
      </w:r>
      <w:r w:rsidRPr="001F7800">
        <w:tab/>
      </w:r>
      <w:r w:rsidRPr="00767D98">
        <w:rPr>
          <w:rStyle w:val="instructionsChar"/>
        </w:rPr>
        <w:t>NAME</w:t>
      </w:r>
    </w:p>
    <w:p w14:paraId="24C17EE5" w14:textId="77777777" w:rsidR="002F2F6F" w:rsidRPr="001404B0" w:rsidRDefault="002F2F6F" w:rsidP="002F2F6F"/>
    <w:p w14:paraId="2E2DE09F" w14:textId="77777777" w:rsidR="002F2F6F" w:rsidRPr="001404B0" w:rsidRDefault="002F2F6F" w:rsidP="002F2F6F">
      <w:r w:rsidRPr="008839CF">
        <w:rPr>
          <w:rFonts w:ascii="Arial" w:hAnsi="Arial" w:cs="Arial"/>
        </w:rPr>
        <w:t>Affiliation</w:t>
      </w:r>
      <w:r w:rsidRPr="001404B0">
        <w:rPr>
          <w:b/>
        </w:rPr>
        <w:tab/>
      </w:r>
      <w:r w:rsidRPr="00767D98">
        <w:rPr>
          <w:rStyle w:val="instructionsChar"/>
        </w:rPr>
        <w:t>ORGANIZATION</w:t>
      </w:r>
    </w:p>
    <w:p w14:paraId="310F0DE7" w14:textId="77777777" w:rsidR="002F2F6F" w:rsidRPr="001404B0" w:rsidRDefault="002F2F6F" w:rsidP="002F2F6F">
      <w:r w:rsidRPr="001404B0">
        <w:t>This commenter submitted comments under categories Cross reference to comment category using</w:t>
      </w:r>
      <w:r w:rsidRPr="00767D98">
        <w:rPr>
          <w:rStyle w:val="instructionsChar"/>
        </w:rPr>
        <w:t xml:space="preserve"> ##, ##, ##</w:t>
      </w:r>
      <w:r w:rsidRPr="001404B0">
        <w:t>, and</w:t>
      </w:r>
      <w:r w:rsidRPr="00767D98">
        <w:rPr>
          <w:rStyle w:val="instructionsChar"/>
        </w:rPr>
        <w:t xml:space="preserve"> ##</w:t>
      </w:r>
      <w:r w:rsidRPr="001404B0">
        <w:t xml:space="preserve"> format in the </w:t>
      </w:r>
      <w:r w:rsidRPr="001404B0">
        <w:rPr>
          <w:i/>
        </w:rPr>
        <w:t xml:space="preserve">Summary of comments and DEQ responses </w:t>
      </w:r>
      <w:r w:rsidRPr="001404B0">
        <w:t xml:space="preserve">section above. </w:t>
      </w:r>
    </w:p>
    <w:p w14:paraId="29951E1A" w14:textId="77777777" w:rsidR="002F2F6F" w:rsidRPr="001404B0" w:rsidRDefault="002F2F6F" w:rsidP="002F2F6F"/>
    <w:p w14:paraId="58B09459" w14:textId="77777777" w:rsidR="002F2F6F" w:rsidRPr="001404B0" w:rsidRDefault="002F2F6F" w:rsidP="002F2F6F">
      <w:r w:rsidRPr="001F7800">
        <w:rPr>
          <w:rStyle w:val="Heading4Char"/>
        </w:rPr>
        <w:t>Commenter 2</w:t>
      </w:r>
      <w:r w:rsidRPr="001404B0">
        <w:rPr>
          <w:bCs/>
          <w:color w:val="806000" w:themeColor="accent4" w:themeShade="80"/>
        </w:rPr>
        <w:tab/>
      </w:r>
      <w:r w:rsidRPr="00767D98">
        <w:rPr>
          <w:rStyle w:val="instructionsChar"/>
        </w:rPr>
        <w:t>NAME</w:t>
      </w:r>
    </w:p>
    <w:p w14:paraId="0938106C" w14:textId="77777777" w:rsidR="002F2F6F" w:rsidRPr="001404B0" w:rsidRDefault="002F2F6F" w:rsidP="002F2F6F">
      <w:r w:rsidRPr="008839CF">
        <w:rPr>
          <w:rFonts w:ascii="Arial" w:hAnsi="Arial" w:cs="Arial"/>
        </w:rPr>
        <w:t>Affiliation</w:t>
      </w:r>
      <w:r w:rsidRPr="001404B0">
        <w:rPr>
          <w:b/>
        </w:rPr>
        <w:tab/>
      </w:r>
      <w:r w:rsidRPr="00767D98">
        <w:rPr>
          <w:rStyle w:val="instructionsChar"/>
        </w:rPr>
        <w:t>ORGANIZATION</w:t>
      </w:r>
    </w:p>
    <w:p w14:paraId="46DABCE6" w14:textId="77777777" w:rsidR="002F2F6F" w:rsidRPr="001404B0" w:rsidRDefault="002F2F6F" w:rsidP="002F2F6F">
      <w:r w:rsidRPr="001404B0">
        <w:t xml:space="preserve">This commenter submitted comments under categories Cross reference to comment category using </w:t>
      </w:r>
      <w:r w:rsidRPr="00767D98">
        <w:rPr>
          <w:rStyle w:val="instructionsChar"/>
        </w:rPr>
        <w:t>##, ##, ##</w:t>
      </w:r>
      <w:r w:rsidRPr="001404B0">
        <w:t xml:space="preserve">, and </w:t>
      </w:r>
      <w:r w:rsidRPr="00767D98">
        <w:rPr>
          <w:rStyle w:val="instructionsChar"/>
        </w:rPr>
        <w:t>##</w:t>
      </w:r>
      <w:r w:rsidRPr="001404B0">
        <w:t xml:space="preserve"> format in the </w:t>
      </w:r>
      <w:r w:rsidRPr="001404B0">
        <w:rPr>
          <w:i/>
        </w:rPr>
        <w:t xml:space="preserve">Summary of comments and DEQ responses </w:t>
      </w:r>
      <w:r w:rsidRPr="001404B0">
        <w:t xml:space="preserve">section above. </w:t>
      </w:r>
    </w:p>
    <w:p w14:paraId="508DB033" w14:textId="77777777" w:rsidR="002F2F6F" w:rsidRPr="001404B0" w:rsidRDefault="002F2F6F" w:rsidP="002F2F6F"/>
    <w:p w14:paraId="66AD7CE7" w14:textId="77777777" w:rsidR="002F2F6F" w:rsidRPr="001404B0" w:rsidRDefault="002F2F6F" w:rsidP="002F2F6F">
      <w:pPr>
        <w:rPr>
          <w:bCs/>
          <w:color w:val="806000" w:themeColor="accent4" w:themeShade="80"/>
        </w:rPr>
      </w:pPr>
      <w:r w:rsidRPr="001F7800">
        <w:rPr>
          <w:rStyle w:val="Heading4Char"/>
        </w:rPr>
        <w:t>Commenter 3</w:t>
      </w:r>
      <w:r w:rsidRPr="001404B0">
        <w:rPr>
          <w:bCs/>
          <w:color w:val="806000" w:themeColor="accent4" w:themeShade="80"/>
        </w:rPr>
        <w:tab/>
      </w:r>
      <w:r w:rsidRPr="00767D98">
        <w:rPr>
          <w:rStyle w:val="instructionsChar"/>
        </w:rPr>
        <w:t>NAME</w:t>
      </w:r>
    </w:p>
    <w:p w14:paraId="289D84BC" w14:textId="77777777" w:rsidR="002F2F6F" w:rsidRPr="001404B0" w:rsidRDefault="002F2F6F" w:rsidP="002F2F6F"/>
    <w:p w14:paraId="3DF9D978" w14:textId="77777777" w:rsidR="002F2F6F" w:rsidRPr="001404B0" w:rsidRDefault="002F2F6F" w:rsidP="002F2F6F">
      <w:r w:rsidRPr="008839CF">
        <w:rPr>
          <w:rFonts w:ascii="Arial" w:hAnsi="Arial" w:cs="Arial"/>
        </w:rPr>
        <w:t>Affiliation</w:t>
      </w:r>
      <w:r w:rsidRPr="001404B0">
        <w:rPr>
          <w:b/>
        </w:rPr>
        <w:tab/>
      </w:r>
      <w:r w:rsidRPr="00767D98">
        <w:rPr>
          <w:rStyle w:val="instructionsChar"/>
        </w:rPr>
        <w:t>ORGANIZATION</w:t>
      </w:r>
    </w:p>
    <w:p w14:paraId="35189AC6" w14:textId="77777777" w:rsidR="002F2F6F" w:rsidRPr="001404B0" w:rsidRDefault="002F2F6F" w:rsidP="002F2F6F">
      <w:r w:rsidRPr="001404B0">
        <w:t xml:space="preserve">This commenter submitted comments under categories Cross reference to comment category using </w:t>
      </w:r>
      <w:r w:rsidRPr="00767D98">
        <w:rPr>
          <w:rStyle w:val="instructionsChar"/>
        </w:rPr>
        <w:t>##, ##, ##</w:t>
      </w:r>
      <w:r w:rsidRPr="001404B0">
        <w:t xml:space="preserve">, and </w:t>
      </w:r>
      <w:r w:rsidRPr="00767D98">
        <w:rPr>
          <w:rStyle w:val="instructionsChar"/>
        </w:rPr>
        <w:t>##</w:t>
      </w:r>
      <w:r w:rsidRPr="001404B0">
        <w:t xml:space="preserve"> format in the </w:t>
      </w:r>
      <w:r w:rsidRPr="001404B0">
        <w:rPr>
          <w:i/>
        </w:rPr>
        <w:t xml:space="preserve">Summary of comments and DEQ responses </w:t>
      </w:r>
      <w:r w:rsidRPr="001404B0">
        <w:t xml:space="preserve">section above. </w:t>
      </w:r>
    </w:p>
    <w:p w14:paraId="0BF67107" w14:textId="77777777" w:rsidR="002F2F6F" w:rsidRPr="001404B0" w:rsidRDefault="002F2F6F" w:rsidP="002F2F6F"/>
    <w:p w14:paraId="085ADDE2" w14:textId="77777777" w:rsidR="002F2F6F" w:rsidRDefault="002F2F6F" w:rsidP="00A83AA3">
      <w:pPr>
        <w:pStyle w:val="instructions"/>
      </w:pPr>
      <w:r>
        <w:t>OPTION THREE</w:t>
      </w:r>
    </w:p>
    <w:p w14:paraId="20FECD64" w14:textId="77777777" w:rsidR="002F2F6F" w:rsidRDefault="002F2F6F" w:rsidP="00A83AA3">
      <w:pPr>
        <w:pStyle w:val="instructions"/>
      </w:pPr>
    </w:p>
    <w:tbl>
      <w:tblPr>
        <w:tblStyle w:val="TableGrid"/>
        <w:tblW w:w="8797" w:type="dxa"/>
        <w:jc w:val="center"/>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2" w:space="0" w:color="000000" w:themeColor="text1"/>
          <w:insideV w:val="single" w:sz="4" w:space="0" w:color="000000" w:themeColor="text1"/>
        </w:tblBorders>
        <w:tblCellMar>
          <w:top w:w="72" w:type="dxa"/>
          <w:left w:w="72" w:type="dxa"/>
          <w:bottom w:w="72" w:type="dxa"/>
          <w:right w:w="72" w:type="dxa"/>
        </w:tblCellMar>
        <w:tblLook w:val="04A0" w:firstRow="1" w:lastRow="0" w:firstColumn="1" w:lastColumn="0" w:noHBand="0" w:noVBand="1"/>
      </w:tblPr>
      <w:tblGrid>
        <w:gridCol w:w="1499"/>
        <w:gridCol w:w="5248"/>
        <w:gridCol w:w="2050"/>
      </w:tblGrid>
      <w:tr w:rsidR="002F2F6F" w:rsidRPr="001404B0" w14:paraId="0D50A253" w14:textId="77777777" w:rsidTr="00A112DA">
        <w:trPr>
          <w:trHeight w:val="848"/>
          <w:tblHeader/>
          <w:jc w:val="center"/>
        </w:trPr>
        <w:tc>
          <w:tcPr>
            <w:tcW w:w="8797" w:type="dxa"/>
            <w:gridSpan w:val="3"/>
            <w:tcBorders>
              <w:bottom w:val="single" w:sz="12" w:space="0" w:color="000000" w:themeColor="text1"/>
            </w:tcBorders>
            <w:shd w:val="clear" w:color="auto" w:fill="E2EFD9" w:themeFill="accent6" w:themeFillTint="33"/>
            <w:tcMar>
              <w:top w:w="43" w:type="dxa"/>
              <w:left w:w="43" w:type="dxa"/>
              <w:bottom w:w="43" w:type="dxa"/>
              <w:right w:w="43" w:type="dxa"/>
            </w:tcMar>
            <w:vAlign w:val="center"/>
          </w:tcPr>
          <w:p w14:paraId="6A1A4832" w14:textId="77777777" w:rsidR="002F2F6F" w:rsidRPr="001404B0" w:rsidRDefault="002F2F6F" w:rsidP="00A112DA">
            <w:pPr>
              <w:jc w:val="center"/>
              <w:rPr>
                <w:rFonts w:ascii="Arial" w:hAnsi="Arial" w:cs="Arial"/>
                <w:b/>
              </w:rPr>
            </w:pPr>
            <w:r w:rsidRPr="001404B0">
              <w:rPr>
                <w:rFonts w:ascii="Arial" w:hAnsi="Arial" w:cs="Arial"/>
                <w:b/>
                <w:sz w:val="32"/>
                <w:szCs w:val="32"/>
              </w:rPr>
              <w:t>List of Comments</w:t>
            </w:r>
          </w:p>
        </w:tc>
      </w:tr>
      <w:tr w:rsidR="002F2F6F" w:rsidRPr="001404B0" w14:paraId="56EE8583" w14:textId="77777777" w:rsidTr="00A112DA">
        <w:trPr>
          <w:trHeight w:val="531"/>
          <w:tblHeader/>
          <w:jc w:val="center"/>
        </w:trPr>
        <w:tc>
          <w:tcPr>
            <w:tcW w:w="1499" w:type="dxa"/>
            <w:tcBorders>
              <w:top w:val="single" w:sz="12" w:space="0" w:color="000000" w:themeColor="text1"/>
              <w:bottom w:val="single" w:sz="12" w:space="0" w:color="000000" w:themeColor="text1"/>
              <w:right w:val="single" w:sz="12" w:space="0" w:color="000000" w:themeColor="text1"/>
            </w:tcBorders>
            <w:shd w:val="clear" w:color="auto" w:fill="C5E0B3" w:themeFill="accent6" w:themeFillTint="66"/>
            <w:tcMar>
              <w:top w:w="43" w:type="dxa"/>
              <w:left w:w="43" w:type="dxa"/>
              <w:bottom w:w="43" w:type="dxa"/>
              <w:right w:w="43" w:type="dxa"/>
            </w:tcMar>
            <w:vAlign w:val="center"/>
          </w:tcPr>
          <w:p w14:paraId="696FFCCD" w14:textId="77777777" w:rsidR="002F2F6F" w:rsidRPr="00380032" w:rsidRDefault="002F2F6F" w:rsidP="00A112DA">
            <w:pPr>
              <w:jc w:val="center"/>
              <w:rPr>
                <w:rFonts w:ascii="Arial" w:hAnsi="Arial" w:cs="Arial"/>
                <w:b/>
                <w:sz w:val="28"/>
                <w:szCs w:val="28"/>
              </w:rPr>
            </w:pPr>
            <w:r w:rsidRPr="00380032">
              <w:rPr>
                <w:rFonts w:ascii="Arial" w:hAnsi="Arial" w:cs="Arial"/>
                <w:b/>
                <w:sz w:val="28"/>
                <w:szCs w:val="28"/>
              </w:rPr>
              <w:t>Comment #</w:t>
            </w:r>
          </w:p>
        </w:tc>
        <w:tc>
          <w:tcPr>
            <w:tcW w:w="524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5E0B3" w:themeFill="accent6" w:themeFillTint="66"/>
            <w:vAlign w:val="center"/>
          </w:tcPr>
          <w:p w14:paraId="08423C96" w14:textId="77777777" w:rsidR="002F2F6F" w:rsidRPr="00380032" w:rsidRDefault="002F2F6F" w:rsidP="00A112DA">
            <w:pPr>
              <w:jc w:val="center"/>
              <w:rPr>
                <w:rFonts w:ascii="Arial" w:hAnsi="Arial" w:cs="Arial"/>
                <w:b/>
                <w:sz w:val="28"/>
                <w:szCs w:val="28"/>
              </w:rPr>
            </w:pPr>
            <w:r w:rsidRPr="00380032">
              <w:rPr>
                <w:rFonts w:ascii="Arial" w:hAnsi="Arial" w:cs="Arial"/>
                <w:b/>
                <w:sz w:val="28"/>
                <w:szCs w:val="28"/>
              </w:rPr>
              <w:t>Comment Summary</w:t>
            </w:r>
          </w:p>
        </w:tc>
        <w:tc>
          <w:tcPr>
            <w:tcW w:w="2050" w:type="dxa"/>
            <w:tcBorders>
              <w:top w:val="single" w:sz="12" w:space="0" w:color="000000" w:themeColor="text1"/>
              <w:left w:val="single" w:sz="12" w:space="0" w:color="000000" w:themeColor="text1"/>
              <w:bottom w:val="single" w:sz="12" w:space="0" w:color="000000" w:themeColor="text1"/>
            </w:tcBorders>
            <w:shd w:val="clear" w:color="auto" w:fill="C5E0B3" w:themeFill="accent6" w:themeFillTint="66"/>
            <w:tcMar>
              <w:top w:w="43" w:type="dxa"/>
              <w:left w:w="43" w:type="dxa"/>
              <w:bottom w:w="43" w:type="dxa"/>
              <w:right w:w="43" w:type="dxa"/>
            </w:tcMar>
            <w:vAlign w:val="center"/>
          </w:tcPr>
          <w:p w14:paraId="701B007C" w14:textId="77777777" w:rsidR="002F2F6F" w:rsidRPr="00380032" w:rsidRDefault="002F2F6F" w:rsidP="00A112DA">
            <w:pPr>
              <w:jc w:val="center"/>
              <w:rPr>
                <w:rFonts w:ascii="Arial" w:hAnsi="Arial" w:cs="Arial"/>
                <w:b/>
                <w:sz w:val="28"/>
                <w:szCs w:val="28"/>
              </w:rPr>
            </w:pPr>
            <w:r w:rsidRPr="00380032">
              <w:rPr>
                <w:rFonts w:ascii="Arial" w:hAnsi="Arial" w:cs="Arial"/>
                <w:b/>
                <w:sz w:val="28"/>
                <w:szCs w:val="28"/>
              </w:rPr>
              <w:t>Commenter  Numbers</w:t>
            </w:r>
          </w:p>
        </w:tc>
      </w:tr>
      <w:tr w:rsidR="002F2F6F" w:rsidRPr="001404B0" w14:paraId="72848CA9" w14:textId="77777777" w:rsidTr="00A112DA">
        <w:trPr>
          <w:trHeight w:val="242"/>
          <w:jc w:val="center"/>
        </w:trPr>
        <w:tc>
          <w:tcPr>
            <w:tcW w:w="1499" w:type="dxa"/>
            <w:tcBorders>
              <w:top w:val="single" w:sz="12" w:space="0" w:color="000000" w:themeColor="text1"/>
              <w:bottom w:val="single" w:sz="12" w:space="0" w:color="000000" w:themeColor="text1"/>
              <w:right w:val="single" w:sz="12" w:space="0" w:color="000000" w:themeColor="text1"/>
            </w:tcBorders>
            <w:tcMar>
              <w:top w:w="43" w:type="dxa"/>
              <w:left w:w="43" w:type="dxa"/>
              <w:bottom w:w="43" w:type="dxa"/>
              <w:right w:w="43" w:type="dxa"/>
            </w:tcMar>
            <w:vAlign w:val="center"/>
          </w:tcPr>
          <w:p w14:paraId="1784E528" w14:textId="77777777" w:rsidR="002F2F6F" w:rsidRPr="001404B0" w:rsidRDefault="002F2F6F" w:rsidP="00A112DA">
            <w:pPr>
              <w:jc w:val="center"/>
              <w:rPr>
                <w:rFonts w:ascii="Arial" w:hAnsi="Arial" w:cs="Arial"/>
                <w:sz w:val="22"/>
                <w:szCs w:val="22"/>
              </w:rPr>
            </w:pPr>
            <w:r w:rsidRPr="001404B0">
              <w:rPr>
                <w:rFonts w:ascii="Arial" w:hAnsi="Arial" w:cs="Arial"/>
                <w:sz w:val="22"/>
                <w:szCs w:val="22"/>
              </w:rPr>
              <w:t>1</w:t>
            </w:r>
          </w:p>
        </w:tc>
        <w:tc>
          <w:tcPr>
            <w:tcW w:w="524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6057FEF4" w14:textId="77777777" w:rsidR="002F2F6F" w:rsidRPr="001404B0" w:rsidRDefault="002F2F6F" w:rsidP="00A112DA">
            <w:pPr>
              <w:rPr>
                <w:sz w:val="22"/>
                <w:szCs w:val="22"/>
              </w:rPr>
            </w:pPr>
          </w:p>
        </w:tc>
        <w:tc>
          <w:tcPr>
            <w:tcW w:w="2050" w:type="dxa"/>
            <w:tcBorders>
              <w:top w:val="single" w:sz="12" w:space="0" w:color="000000" w:themeColor="text1"/>
              <w:left w:val="single" w:sz="12" w:space="0" w:color="000000" w:themeColor="text1"/>
              <w:bottom w:val="single" w:sz="12" w:space="0" w:color="000000" w:themeColor="text1"/>
            </w:tcBorders>
            <w:tcMar>
              <w:top w:w="43" w:type="dxa"/>
              <w:left w:w="43" w:type="dxa"/>
              <w:bottom w:w="43" w:type="dxa"/>
              <w:right w:w="43" w:type="dxa"/>
            </w:tcMar>
            <w:vAlign w:val="center"/>
          </w:tcPr>
          <w:p w14:paraId="2ADCC529" w14:textId="77777777" w:rsidR="002F2F6F" w:rsidRPr="001404B0" w:rsidRDefault="002F2F6F" w:rsidP="00A112DA">
            <w:pPr>
              <w:rPr>
                <w:sz w:val="22"/>
                <w:szCs w:val="22"/>
              </w:rPr>
            </w:pPr>
          </w:p>
        </w:tc>
      </w:tr>
      <w:tr w:rsidR="002F2F6F" w:rsidRPr="001404B0" w14:paraId="486636F2" w14:textId="77777777" w:rsidTr="00A112DA">
        <w:trPr>
          <w:trHeight w:val="242"/>
          <w:jc w:val="center"/>
        </w:trPr>
        <w:tc>
          <w:tcPr>
            <w:tcW w:w="1499" w:type="dxa"/>
            <w:tcBorders>
              <w:top w:val="single" w:sz="12" w:space="0" w:color="000000" w:themeColor="text1"/>
              <w:bottom w:val="single" w:sz="12" w:space="0" w:color="000000" w:themeColor="text1"/>
              <w:right w:val="single" w:sz="12" w:space="0" w:color="000000" w:themeColor="text1"/>
            </w:tcBorders>
            <w:tcMar>
              <w:top w:w="43" w:type="dxa"/>
              <w:left w:w="43" w:type="dxa"/>
              <w:bottom w:w="43" w:type="dxa"/>
              <w:right w:w="43" w:type="dxa"/>
            </w:tcMar>
            <w:vAlign w:val="center"/>
          </w:tcPr>
          <w:p w14:paraId="62151645" w14:textId="77777777" w:rsidR="002F2F6F" w:rsidRPr="001404B0" w:rsidRDefault="002F2F6F" w:rsidP="00A112DA">
            <w:pPr>
              <w:jc w:val="center"/>
              <w:rPr>
                <w:rFonts w:ascii="Arial" w:hAnsi="Arial" w:cs="Arial"/>
                <w:sz w:val="22"/>
                <w:szCs w:val="22"/>
              </w:rPr>
            </w:pPr>
            <w:r w:rsidRPr="001404B0">
              <w:rPr>
                <w:rFonts w:ascii="Arial" w:hAnsi="Arial" w:cs="Arial"/>
                <w:sz w:val="22"/>
                <w:szCs w:val="22"/>
              </w:rPr>
              <w:lastRenderedPageBreak/>
              <w:t>2</w:t>
            </w:r>
          </w:p>
        </w:tc>
        <w:tc>
          <w:tcPr>
            <w:tcW w:w="524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5E043E0A" w14:textId="77777777" w:rsidR="002F2F6F" w:rsidRPr="001404B0" w:rsidRDefault="002F2F6F" w:rsidP="00A112DA">
            <w:pPr>
              <w:rPr>
                <w:sz w:val="22"/>
                <w:szCs w:val="22"/>
              </w:rPr>
            </w:pPr>
          </w:p>
        </w:tc>
        <w:tc>
          <w:tcPr>
            <w:tcW w:w="2050" w:type="dxa"/>
            <w:tcBorders>
              <w:top w:val="single" w:sz="12" w:space="0" w:color="000000" w:themeColor="text1"/>
              <w:left w:val="single" w:sz="12" w:space="0" w:color="000000" w:themeColor="text1"/>
              <w:bottom w:val="single" w:sz="12" w:space="0" w:color="000000" w:themeColor="text1"/>
            </w:tcBorders>
            <w:tcMar>
              <w:top w:w="43" w:type="dxa"/>
              <w:left w:w="43" w:type="dxa"/>
              <w:bottom w:w="43" w:type="dxa"/>
              <w:right w:w="43" w:type="dxa"/>
            </w:tcMar>
            <w:vAlign w:val="center"/>
          </w:tcPr>
          <w:p w14:paraId="63CCF1D4" w14:textId="77777777" w:rsidR="002F2F6F" w:rsidRPr="001404B0" w:rsidRDefault="002F2F6F" w:rsidP="00A112DA">
            <w:pPr>
              <w:rPr>
                <w:sz w:val="22"/>
                <w:szCs w:val="22"/>
              </w:rPr>
            </w:pPr>
          </w:p>
        </w:tc>
      </w:tr>
      <w:tr w:rsidR="002F2F6F" w:rsidRPr="001404B0" w14:paraId="1D3FBC1B" w14:textId="77777777" w:rsidTr="00A112DA">
        <w:trPr>
          <w:trHeight w:val="231"/>
          <w:jc w:val="center"/>
        </w:trPr>
        <w:tc>
          <w:tcPr>
            <w:tcW w:w="1499" w:type="dxa"/>
            <w:tcBorders>
              <w:top w:val="single" w:sz="12" w:space="0" w:color="000000" w:themeColor="text1"/>
              <w:bottom w:val="single" w:sz="18" w:space="0" w:color="000000" w:themeColor="text1"/>
              <w:right w:val="single" w:sz="12" w:space="0" w:color="000000" w:themeColor="text1"/>
            </w:tcBorders>
            <w:tcMar>
              <w:top w:w="43" w:type="dxa"/>
              <w:left w:w="43" w:type="dxa"/>
              <w:bottom w:w="43" w:type="dxa"/>
              <w:right w:w="43" w:type="dxa"/>
            </w:tcMar>
            <w:vAlign w:val="center"/>
          </w:tcPr>
          <w:p w14:paraId="1456AF18" w14:textId="77777777" w:rsidR="002F2F6F" w:rsidRPr="001404B0" w:rsidRDefault="002F2F6F" w:rsidP="00A112DA">
            <w:pPr>
              <w:jc w:val="center"/>
              <w:rPr>
                <w:rFonts w:ascii="Arial" w:hAnsi="Arial" w:cs="Arial"/>
                <w:sz w:val="22"/>
                <w:szCs w:val="22"/>
              </w:rPr>
            </w:pPr>
            <w:r w:rsidRPr="001404B0">
              <w:rPr>
                <w:rFonts w:ascii="Arial" w:hAnsi="Arial" w:cs="Arial"/>
                <w:sz w:val="22"/>
                <w:szCs w:val="22"/>
              </w:rPr>
              <w:t>3</w:t>
            </w:r>
          </w:p>
        </w:tc>
        <w:tc>
          <w:tcPr>
            <w:tcW w:w="5248" w:type="dxa"/>
            <w:tcBorders>
              <w:top w:val="single" w:sz="12" w:space="0" w:color="000000" w:themeColor="text1"/>
              <w:left w:val="single" w:sz="12" w:space="0" w:color="000000" w:themeColor="text1"/>
              <w:bottom w:val="single" w:sz="18" w:space="0" w:color="000000" w:themeColor="text1"/>
              <w:right w:val="single" w:sz="12" w:space="0" w:color="000000" w:themeColor="text1"/>
            </w:tcBorders>
            <w:vAlign w:val="center"/>
          </w:tcPr>
          <w:p w14:paraId="5C87E2A4" w14:textId="77777777" w:rsidR="002F2F6F" w:rsidRPr="001404B0" w:rsidRDefault="002F2F6F" w:rsidP="00A112DA">
            <w:pPr>
              <w:rPr>
                <w:sz w:val="22"/>
                <w:szCs w:val="22"/>
              </w:rPr>
            </w:pPr>
          </w:p>
        </w:tc>
        <w:tc>
          <w:tcPr>
            <w:tcW w:w="2050" w:type="dxa"/>
            <w:tcBorders>
              <w:top w:val="single" w:sz="12" w:space="0" w:color="000000" w:themeColor="text1"/>
              <w:left w:val="single" w:sz="12" w:space="0" w:color="000000" w:themeColor="text1"/>
              <w:bottom w:val="single" w:sz="18" w:space="0" w:color="000000" w:themeColor="text1"/>
            </w:tcBorders>
            <w:tcMar>
              <w:top w:w="43" w:type="dxa"/>
              <w:left w:w="43" w:type="dxa"/>
              <w:bottom w:w="43" w:type="dxa"/>
              <w:right w:w="43" w:type="dxa"/>
            </w:tcMar>
            <w:vAlign w:val="center"/>
          </w:tcPr>
          <w:p w14:paraId="640E8CE3" w14:textId="77777777" w:rsidR="002F2F6F" w:rsidRPr="001404B0" w:rsidRDefault="002F2F6F" w:rsidP="00A112DA">
            <w:pPr>
              <w:rPr>
                <w:sz w:val="22"/>
                <w:szCs w:val="22"/>
              </w:rPr>
            </w:pPr>
          </w:p>
        </w:tc>
      </w:tr>
    </w:tbl>
    <w:p w14:paraId="312010E8" w14:textId="77777777" w:rsidR="002F2F6F" w:rsidRPr="001404B0" w:rsidRDefault="002F2F6F" w:rsidP="002F2F6F"/>
    <w:p w14:paraId="3635577E" w14:textId="77777777" w:rsidR="002F2F6F" w:rsidRPr="001404B0" w:rsidRDefault="002F2F6F" w:rsidP="002F2F6F"/>
    <w:tbl>
      <w:tblPr>
        <w:tblStyle w:val="TableGrid"/>
        <w:tblW w:w="8949" w:type="dxa"/>
        <w:jc w:val="center"/>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2" w:space="0" w:color="000000" w:themeColor="text1"/>
        </w:tblBorders>
        <w:tblCellMar>
          <w:left w:w="72" w:type="dxa"/>
          <w:right w:w="72" w:type="dxa"/>
        </w:tblCellMar>
        <w:tblLook w:val="04A0" w:firstRow="1" w:lastRow="0" w:firstColumn="1" w:lastColumn="0" w:noHBand="0" w:noVBand="1"/>
      </w:tblPr>
      <w:tblGrid>
        <w:gridCol w:w="564"/>
        <w:gridCol w:w="2933"/>
        <w:gridCol w:w="2887"/>
        <w:gridCol w:w="1378"/>
        <w:gridCol w:w="1187"/>
      </w:tblGrid>
      <w:tr w:rsidR="002F2F6F" w:rsidRPr="001404B0" w14:paraId="0524FB3D" w14:textId="77777777" w:rsidTr="00A112DA">
        <w:trPr>
          <w:trHeight w:val="908"/>
          <w:tblHeader/>
          <w:jc w:val="center"/>
        </w:trPr>
        <w:tc>
          <w:tcPr>
            <w:tcW w:w="8949" w:type="dxa"/>
            <w:gridSpan w:val="5"/>
            <w:tcBorders>
              <w:bottom w:val="single" w:sz="12" w:space="0" w:color="000000" w:themeColor="text1"/>
            </w:tcBorders>
            <w:shd w:val="clear" w:color="auto" w:fill="E2EFD9" w:themeFill="accent6" w:themeFillTint="33"/>
            <w:tcMar>
              <w:top w:w="43" w:type="dxa"/>
              <w:left w:w="43" w:type="dxa"/>
              <w:bottom w:w="43" w:type="dxa"/>
              <w:right w:w="43" w:type="dxa"/>
            </w:tcMar>
            <w:vAlign w:val="center"/>
          </w:tcPr>
          <w:p w14:paraId="376A53FE" w14:textId="77777777" w:rsidR="002F2F6F" w:rsidRPr="001404B0" w:rsidRDefault="002F2F6F" w:rsidP="00A112DA">
            <w:pPr>
              <w:jc w:val="center"/>
              <w:rPr>
                <w:rFonts w:ascii="Arial" w:hAnsi="Arial" w:cs="Arial"/>
                <w:b/>
              </w:rPr>
            </w:pPr>
            <w:r w:rsidRPr="001404B0">
              <w:rPr>
                <w:rFonts w:ascii="Arial" w:hAnsi="Arial" w:cs="Arial"/>
                <w:b/>
                <w:sz w:val="32"/>
                <w:szCs w:val="32"/>
              </w:rPr>
              <w:t>List of Commenters</w:t>
            </w:r>
          </w:p>
        </w:tc>
      </w:tr>
      <w:tr w:rsidR="002F2F6F" w:rsidRPr="001404B0" w14:paraId="6A0B672D" w14:textId="77777777" w:rsidTr="00380032">
        <w:trPr>
          <w:trHeight w:val="845"/>
          <w:tblHeader/>
          <w:jc w:val="center"/>
        </w:trPr>
        <w:tc>
          <w:tcPr>
            <w:tcW w:w="599" w:type="dxa"/>
            <w:tcBorders>
              <w:top w:val="single" w:sz="12" w:space="0" w:color="000000" w:themeColor="text1"/>
              <w:bottom w:val="single" w:sz="12" w:space="0" w:color="000000" w:themeColor="text1"/>
              <w:right w:val="single" w:sz="12" w:space="0" w:color="000000" w:themeColor="text1"/>
            </w:tcBorders>
            <w:shd w:val="clear" w:color="auto" w:fill="C5E0B3" w:themeFill="accent6" w:themeFillTint="66"/>
            <w:tcMar>
              <w:top w:w="43" w:type="dxa"/>
              <w:left w:w="43" w:type="dxa"/>
              <w:bottom w:w="43" w:type="dxa"/>
              <w:right w:w="43" w:type="dxa"/>
            </w:tcMar>
            <w:vAlign w:val="center"/>
          </w:tcPr>
          <w:p w14:paraId="76C6FCF8" w14:textId="77777777" w:rsidR="002F2F6F" w:rsidRPr="00380032" w:rsidRDefault="002F2F6F" w:rsidP="00A112DA">
            <w:pPr>
              <w:jc w:val="center"/>
              <w:rPr>
                <w:rFonts w:ascii="Arial" w:hAnsi="Arial" w:cs="Arial"/>
                <w:b/>
                <w:sz w:val="28"/>
                <w:szCs w:val="28"/>
              </w:rPr>
            </w:pPr>
            <w:r w:rsidRPr="00380032">
              <w:rPr>
                <w:rFonts w:ascii="Arial" w:hAnsi="Arial" w:cs="Arial"/>
                <w:b/>
                <w:sz w:val="28"/>
                <w:szCs w:val="28"/>
              </w:rPr>
              <w:t>#</w:t>
            </w:r>
          </w:p>
        </w:tc>
        <w:tc>
          <w:tcPr>
            <w:tcW w:w="31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5E0B3" w:themeFill="accent6" w:themeFillTint="66"/>
            <w:vAlign w:val="center"/>
          </w:tcPr>
          <w:p w14:paraId="4AE39D92" w14:textId="77777777" w:rsidR="002F2F6F" w:rsidRPr="00380032" w:rsidRDefault="002F2F6F" w:rsidP="00A112DA">
            <w:pPr>
              <w:jc w:val="center"/>
              <w:rPr>
                <w:rFonts w:ascii="Arial" w:hAnsi="Arial" w:cs="Arial"/>
                <w:b/>
                <w:sz w:val="28"/>
                <w:szCs w:val="28"/>
              </w:rPr>
            </w:pPr>
            <w:r w:rsidRPr="00380032">
              <w:rPr>
                <w:rFonts w:ascii="Arial" w:hAnsi="Arial" w:cs="Arial"/>
                <w:b/>
                <w:sz w:val="28"/>
                <w:szCs w:val="28"/>
              </w:rPr>
              <w:t>Name</w:t>
            </w:r>
          </w:p>
        </w:tc>
        <w:tc>
          <w:tcPr>
            <w:tcW w:w="300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5E0B3" w:themeFill="accent6" w:themeFillTint="66"/>
            <w:tcMar>
              <w:top w:w="43" w:type="dxa"/>
              <w:left w:w="43" w:type="dxa"/>
              <w:bottom w:w="43" w:type="dxa"/>
              <w:right w:w="43" w:type="dxa"/>
            </w:tcMar>
            <w:vAlign w:val="center"/>
          </w:tcPr>
          <w:p w14:paraId="1920BE09" w14:textId="77777777" w:rsidR="002F2F6F" w:rsidRPr="00380032" w:rsidRDefault="002F2F6F" w:rsidP="00A112DA">
            <w:pPr>
              <w:jc w:val="center"/>
              <w:rPr>
                <w:rFonts w:ascii="Arial" w:hAnsi="Arial" w:cs="Arial"/>
                <w:b/>
                <w:sz w:val="28"/>
                <w:szCs w:val="28"/>
              </w:rPr>
            </w:pPr>
            <w:r w:rsidRPr="00380032">
              <w:rPr>
                <w:rFonts w:ascii="Arial" w:hAnsi="Arial" w:cs="Arial"/>
                <w:b/>
                <w:sz w:val="28"/>
                <w:szCs w:val="28"/>
              </w:rPr>
              <w:t>Organization</w:t>
            </w:r>
          </w:p>
        </w:tc>
        <w:tc>
          <w:tcPr>
            <w:tcW w:w="12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5E0B3" w:themeFill="accent6" w:themeFillTint="66"/>
            <w:tcMar>
              <w:top w:w="43" w:type="dxa"/>
              <w:left w:w="43" w:type="dxa"/>
              <w:bottom w:w="43" w:type="dxa"/>
              <w:right w:w="43" w:type="dxa"/>
            </w:tcMar>
            <w:vAlign w:val="center"/>
          </w:tcPr>
          <w:p w14:paraId="18272A80" w14:textId="77777777" w:rsidR="002F2F6F" w:rsidRPr="00380032" w:rsidRDefault="002F2F6F" w:rsidP="00A112DA">
            <w:pPr>
              <w:jc w:val="center"/>
              <w:rPr>
                <w:rFonts w:ascii="Arial" w:hAnsi="Arial" w:cs="Arial"/>
                <w:b/>
                <w:sz w:val="28"/>
                <w:szCs w:val="28"/>
              </w:rPr>
            </w:pPr>
            <w:r w:rsidRPr="00380032">
              <w:rPr>
                <w:rFonts w:ascii="Arial" w:hAnsi="Arial" w:cs="Arial"/>
                <w:b/>
                <w:sz w:val="28"/>
                <w:szCs w:val="28"/>
              </w:rPr>
              <w:t>Comment Number</w:t>
            </w:r>
          </w:p>
        </w:tc>
        <w:tc>
          <w:tcPr>
            <w:tcW w:w="905" w:type="dxa"/>
            <w:tcBorders>
              <w:top w:val="single" w:sz="12" w:space="0" w:color="000000" w:themeColor="text1"/>
              <w:left w:val="single" w:sz="12" w:space="0" w:color="000000" w:themeColor="text1"/>
              <w:bottom w:val="single" w:sz="12" w:space="0" w:color="000000" w:themeColor="text1"/>
            </w:tcBorders>
            <w:shd w:val="clear" w:color="auto" w:fill="C5E0B3" w:themeFill="accent6" w:themeFillTint="66"/>
            <w:vAlign w:val="center"/>
          </w:tcPr>
          <w:p w14:paraId="31963210" w14:textId="77777777" w:rsidR="002F2F6F" w:rsidRPr="00380032" w:rsidRDefault="002F2F6F" w:rsidP="00A112DA">
            <w:pPr>
              <w:jc w:val="center"/>
              <w:rPr>
                <w:rFonts w:ascii="Arial" w:hAnsi="Arial" w:cs="Arial"/>
                <w:b/>
                <w:sz w:val="28"/>
                <w:szCs w:val="28"/>
              </w:rPr>
            </w:pPr>
            <w:r w:rsidRPr="00380032">
              <w:rPr>
                <w:rFonts w:ascii="Arial" w:hAnsi="Arial" w:cs="Arial"/>
                <w:b/>
                <w:sz w:val="28"/>
                <w:szCs w:val="28"/>
              </w:rPr>
              <w:t>Hearing #</w:t>
            </w:r>
          </w:p>
        </w:tc>
      </w:tr>
      <w:tr w:rsidR="002F2F6F" w:rsidRPr="001404B0" w14:paraId="66DE4474" w14:textId="77777777" w:rsidTr="00A112DA">
        <w:trPr>
          <w:trHeight w:val="598"/>
          <w:jc w:val="center"/>
        </w:trPr>
        <w:tc>
          <w:tcPr>
            <w:tcW w:w="599" w:type="dxa"/>
            <w:tcBorders>
              <w:top w:val="single" w:sz="12" w:space="0" w:color="000000" w:themeColor="text1"/>
              <w:bottom w:val="single" w:sz="12" w:space="0" w:color="000000" w:themeColor="text1"/>
              <w:right w:val="single" w:sz="12" w:space="0" w:color="000000" w:themeColor="text1"/>
            </w:tcBorders>
            <w:tcMar>
              <w:top w:w="43" w:type="dxa"/>
              <w:left w:w="43" w:type="dxa"/>
              <w:bottom w:w="43" w:type="dxa"/>
              <w:right w:w="43" w:type="dxa"/>
            </w:tcMar>
            <w:vAlign w:val="center"/>
          </w:tcPr>
          <w:p w14:paraId="5282219B" w14:textId="77777777" w:rsidR="002F2F6F" w:rsidRPr="001404B0" w:rsidRDefault="002F2F6F" w:rsidP="00A112DA">
            <w:pPr>
              <w:jc w:val="center"/>
              <w:rPr>
                <w:rFonts w:ascii="Arial" w:hAnsi="Arial" w:cs="Arial"/>
                <w:sz w:val="22"/>
                <w:szCs w:val="22"/>
              </w:rPr>
            </w:pPr>
            <w:r w:rsidRPr="001404B0">
              <w:rPr>
                <w:rFonts w:ascii="Arial" w:hAnsi="Arial" w:cs="Arial"/>
                <w:sz w:val="22"/>
                <w:szCs w:val="22"/>
              </w:rPr>
              <w:t>1</w:t>
            </w:r>
          </w:p>
        </w:tc>
        <w:tc>
          <w:tcPr>
            <w:tcW w:w="31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6550259A" w14:textId="77777777" w:rsidR="002F2F6F" w:rsidRPr="001404B0" w:rsidRDefault="002F2F6F" w:rsidP="00A112DA">
            <w:pPr>
              <w:rPr>
                <w:sz w:val="22"/>
                <w:szCs w:val="22"/>
              </w:rPr>
            </w:pPr>
          </w:p>
        </w:tc>
        <w:tc>
          <w:tcPr>
            <w:tcW w:w="300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43" w:type="dxa"/>
              <w:left w:w="43" w:type="dxa"/>
              <w:bottom w:w="43" w:type="dxa"/>
              <w:right w:w="43" w:type="dxa"/>
            </w:tcMar>
            <w:vAlign w:val="center"/>
          </w:tcPr>
          <w:p w14:paraId="4EBF6D2C" w14:textId="77777777" w:rsidR="002F2F6F" w:rsidRPr="001404B0" w:rsidRDefault="002F2F6F" w:rsidP="00A112DA">
            <w:pPr>
              <w:rPr>
                <w:sz w:val="22"/>
                <w:szCs w:val="22"/>
              </w:rPr>
            </w:pPr>
          </w:p>
        </w:tc>
        <w:tc>
          <w:tcPr>
            <w:tcW w:w="12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43" w:type="dxa"/>
              <w:left w:w="43" w:type="dxa"/>
              <w:bottom w:w="43" w:type="dxa"/>
              <w:right w:w="43" w:type="dxa"/>
            </w:tcMar>
            <w:vAlign w:val="center"/>
          </w:tcPr>
          <w:p w14:paraId="20CBFDDD" w14:textId="77777777" w:rsidR="002F2F6F" w:rsidRPr="001404B0" w:rsidRDefault="002F2F6F" w:rsidP="00A112DA">
            <w:pPr>
              <w:rPr>
                <w:sz w:val="22"/>
                <w:szCs w:val="22"/>
              </w:rPr>
            </w:pPr>
          </w:p>
        </w:tc>
        <w:tc>
          <w:tcPr>
            <w:tcW w:w="905" w:type="dxa"/>
            <w:tcBorders>
              <w:top w:val="single" w:sz="12" w:space="0" w:color="000000" w:themeColor="text1"/>
              <w:left w:val="single" w:sz="12" w:space="0" w:color="000000" w:themeColor="text1"/>
              <w:bottom w:val="single" w:sz="12" w:space="0" w:color="000000" w:themeColor="text1"/>
            </w:tcBorders>
            <w:vAlign w:val="center"/>
          </w:tcPr>
          <w:p w14:paraId="4CD6C8B2" w14:textId="77777777" w:rsidR="002F2F6F" w:rsidRPr="001404B0" w:rsidRDefault="002F2F6F" w:rsidP="00A112DA">
            <w:pPr>
              <w:rPr>
                <w:sz w:val="22"/>
                <w:szCs w:val="22"/>
              </w:rPr>
            </w:pPr>
          </w:p>
        </w:tc>
      </w:tr>
      <w:tr w:rsidR="002F2F6F" w:rsidRPr="001404B0" w14:paraId="17ABF082" w14:textId="77777777" w:rsidTr="00A112DA">
        <w:trPr>
          <w:trHeight w:val="598"/>
          <w:jc w:val="center"/>
        </w:trPr>
        <w:tc>
          <w:tcPr>
            <w:tcW w:w="599" w:type="dxa"/>
            <w:tcBorders>
              <w:top w:val="single" w:sz="12" w:space="0" w:color="000000" w:themeColor="text1"/>
              <w:bottom w:val="single" w:sz="12" w:space="0" w:color="000000" w:themeColor="text1"/>
              <w:right w:val="single" w:sz="12" w:space="0" w:color="000000" w:themeColor="text1"/>
            </w:tcBorders>
            <w:tcMar>
              <w:top w:w="43" w:type="dxa"/>
              <w:left w:w="43" w:type="dxa"/>
              <w:bottom w:w="43" w:type="dxa"/>
              <w:right w:w="43" w:type="dxa"/>
            </w:tcMar>
            <w:vAlign w:val="center"/>
          </w:tcPr>
          <w:p w14:paraId="77F516A4" w14:textId="77777777" w:rsidR="002F2F6F" w:rsidRPr="001404B0" w:rsidRDefault="002F2F6F" w:rsidP="00A112DA">
            <w:pPr>
              <w:jc w:val="center"/>
              <w:rPr>
                <w:rFonts w:ascii="Arial" w:hAnsi="Arial" w:cs="Arial"/>
                <w:sz w:val="22"/>
                <w:szCs w:val="22"/>
              </w:rPr>
            </w:pPr>
            <w:r w:rsidRPr="001404B0">
              <w:rPr>
                <w:rFonts w:ascii="Arial" w:hAnsi="Arial" w:cs="Arial"/>
                <w:sz w:val="22"/>
                <w:szCs w:val="22"/>
              </w:rPr>
              <w:t>2</w:t>
            </w:r>
          </w:p>
        </w:tc>
        <w:tc>
          <w:tcPr>
            <w:tcW w:w="31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10727F20" w14:textId="77777777" w:rsidR="002F2F6F" w:rsidRPr="001404B0" w:rsidRDefault="002F2F6F" w:rsidP="00A112DA">
            <w:pPr>
              <w:rPr>
                <w:sz w:val="22"/>
                <w:szCs w:val="22"/>
              </w:rPr>
            </w:pPr>
          </w:p>
        </w:tc>
        <w:tc>
          <w:tcPr>
            <w:tcW w:w="300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43" w:type="dxa"/>
              <w:left w:w="43" w:type="dxa"/>
              <w:bottom w:w="43" w:type="dxa"/>
              <w:right w:w="43" w:type="dxa"/>
            </w:tcMar>
            <w:vAlign w:val="center"/>
          </w:tcPr>
          <w:p w14:paraId="1383B7AF" w14:textId="77777777" w:rsidR="002F2F6F" w:rsidRPr="001404B0" w:rsidRDefault="002F2F6F" w:rsidP="00A112DA">
            <w:pPr>
              <w:rPr>
                <w:sz w:val="22"/>
                <w:szCs w:val="22"/>
              </w:rPr>
            </w:pPr>
          </w:p>
        </w:tc>
        <w:tc>
          <w:tcPr>
            <w:tcW w:w="12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43" w:type="dxa"/>
              <w:left w:w="43" w:type="dxa"/>
              <w:bottom w:w="43" w:type="dxa"/>
              <w:right w:w="43" w:type="dxa"/>
            </w:tcMar>
            <w:vAlign w:val="center"/>
          </w:tcPr>
          <w:p w14:paraId="3F2A6BDF" w14:textId="77777777" w:rsidR="002F2F6F" w:rsidRPr="001404B0" w:rsidRDefault="002F2F6F" w:rsidP="00A112DA">
            <w:pPr>
              <w:rPr>
                <w:sz w:val="22"/>
                <w:szCs w:val="22"/>
              </w:rPr>
            </w:pPr>
          </w:p>
        </w:tc>
        <w:tc>
          <w:tcPr>
            <w:tcW w:w="905" w:type="dxa"/>
            <w:tcBorders>
              <w:top w:val="single" w:sz="12" w:space="0" w:color="000000" w:themeColor="text1"/>
              <w:left w:val="single" w:sz="12" w:space="0" w:color="000000" w:themeColor="text1"/>
              <w:bottom w:val="single" w:sz="12" w:space="0" w:color="000000" w:themeColor="text1"/>
            </w:tcBorders>
            <w:vAlign w:val="center"/>
          </w:tcPr>
          <w:p w14:paraId="597925CC" w14:textId="77777777" w:rsidR="002F2F6F" w:rsidRPr="001404B0" w:rsidRDefault="002F2F6F" w:rsidP="00A112DA">
            <w:pPr>
              <w:rPr>
                <w:sz w:val="22"/>
                <w:szCs w:val="22"/>
              </w:rPr>
            </w:pPr>
          </w:p>
        </w:tc>
      </w:tr>
      <w:tr w:rsidR="002F2F6F" w:rsidRPr="001404B0" w14:paraId="0987F44B" w14:textId="77777777" w:rsidTr="00A112DA">
        <w:trPr>
          <w:trHeight w:val="520"/>
          <w:jc w:val="center"/>
        </w:trPr>
        <w:tc>
          <w:tcPr>
            <w:tcW w:w="599" w:type="dxa"/>
            <w:tcBorders>
              <w:top w:val="single" w:sz="12" w:space="0" w:color="000000" w:themeColor="text1"/>
              <w:bottom w:val="single" w:sz="18" w:space="0" w:color="000000" w:themeColor="text1"/>
              <w:right w:val="single" w:sz="12" w:space="0" w:color="000000" w:themeColor="text1"/>
            </w:tcBorders>
            <w:tcMar>
              <w:top w:w="43" w:type="dxa"/>
              <w:left w:w="43" w:type="dxa"/>
              <w:bottom w:w="43" w:type="dxa"/>
              <w:right w:w="43" w:type="dxa"/>
            </w:tcMar>
            <w:vAlign w:val="center"/>
          </w:tcPr>
          <w:p w14:paraId="3A366632" w14:textId="77777777" w:rsidR="002F2F6F" w:rsidRPr="001404B0" w:rsidRDefault="002F2F6F" w:rsidP="00A112DA">
            <w:pPr>
              <w:jc w:val="center"/>
              <w:rPr>
                <w:rFonts w:ascii="Arial" w:hAnsi="Arial" w:cs="Arial"/>
                <w:sz w:val="22"/>
                <w:szCs w:val="22"/>
              </w:rPr>
            </w:pPr>
            <w:r w:rsidRPr="001404B0">
              <w:rPr>
                <w:rFonts w:ascii="Arial" w:hAnsi="Arial" w:cs="Arial"/>
                <w:sz w:val="22"/>
                <w:szCs w:val="22"/>
              </w:rPr>
              <w:t>3</w:t>
            </w:r>
          </w:p>
        </w:tc>
        <w:tc>
          <w:tcPr>
            <w:tcW w:w="3155" w:type="dxa"/>
            <w:tcBorders>
              <w:top w:val="single" w:sz="12" w:space="0" w:color="000000" w:themeColor="text1"/>
              <w:left w:val="single" w:sz="12" w:space="0" w:color="000000" w:themeColor="text1"/>
              <w:bottom w:val="single" w:sz="18" w:space="0" w:color="000000" w:themeColor="text1"/>
              <w:right w:val="single" w:sz="12" w:space="0" w:color="000000" w:themeColor="text1"/>
            </w:tcBorders>
            <w:vAlign w:val="center"/>
          </w:tcPr>
          <w:p w14:paraId="53FB6421" w14:textId="77777777" w:rsidR="002F2F6F" w:rsidRPr="001404B0" w:rsidRDefault="002F2F6F" w:rsidP="00A112DA">
            <w:pPr>
              <w:rPr>
                <w:sz w:val="22"/>
                <w:szCs w:val="22"/>
              </w:rPr>
            </w:pPr>
          </w:p>
        </w:tc>
        <w:tc>
          <w:tcPr>
            <w:tcW w:w="3006" w:type="dxa"/>
            <w:tcBorders>
              <w:top w:val="single" w:sz="12" w:space="0" w:color="000000" w:themeColor="text1"/>
              <w:left w:val="single" w:sz="12" w:space="0" w:color="000000" w:themeColor="text1"/>
              <w:bottom w:val="single" w:sz="18" w:space="0" w:color="000000" w:themeColor="text1"/>
              <w:right w:val="single" w:sz="12" w:space="0" w:color="000000" w:themeColor="text1"/>
            </w:tcBorders>
            <w:tcMar>
              <w:top w:w="43" w:type="dxa"/>
              <w:left w:w="43" w:type="dxa"/>
              <w:bottom w:w="43" w:type="dxa"/>
              <w:right w:w="43" w:type="dxa"/>
            </w:tcMar>
            <w:vAlign w:val="center"/>
          </w:tcPr>
          <w:p w14:paraId="6E3D2944" w14:textId="77777777" w:rsidR="002F2F6F" w:rsidRPr="001404B0" w:rsidRDefault="002F2F6F" w:rsidP="00A112DA">
            <w:pPr>
              <w:rPr>
                <w:sz w:val="22"/>
                <w:szCs w:val="22"/>
              </w:rPr>
            </w:pPr>
          </w:p>
        </w:tc>
        <w:tc>
          <w:tcPr>
            <w:tcW w:w="1281" w:type="dxa"/>
            <w:tcBorders>
              <w:top w:val="single" w:sz="12" w:space="0" w:color="000000" w:themeColor="text1"/>
              <w:left w:val="single" w:sz="12" w:space="0" w:color="000000" w:themeColor="text1"/>
              <w:bottom w:val="single" w:sz="18" w:space="0" w:color="000000" w:themeColor="text1"/>
              <w:right w:val="single" w:sz="12" w:space="0" w:color="000000" w:themeColor="text1"/>
            </w:tcBorders>
            <w:tcMar>
              <w:top w:w="43" w:type="dxa"/>
              <w:left w:w="43" w:type="dxa"/>
              <w:bottom w:w="43" w:type="dxa"/>
              <w:right w:w="43" w:type="dxa"/>
            </w:tcMar>
            <w:vAlign w:val="center"/>
          </w:tcPr>
          <w:p w14:paraId="3B650965" w14:textId="77777777" w:rsidR="002F2F6F" w:rsidRPr="001404B0" w:rsidRDefault="002F2F6F" w:rsidP="00A112DA">
            <w:pPr>
              <w:rPr>
                <w:sz w:val="22"/>
                <w:szCs w:val="22"/>
              </w:rPr>
            </w:pPr>
          </w:p>
        </w:tc>
        <w:tc>
          <w:tcPr>
            <w:tcW w:w="905" w:type="dxa"/>
            <w:tcBorders>
              <w:top w:val="single" w:sz="12" w:space="0" w:color="000000" w:themeColor="text1"/>
              <w:left w:val="single" w:sz="12" w:space="0" w:color="000000" w:themeColor="text1"/>
              <w:bottom w:val="single" w:sz="18" w:space="0" w:color="000000" w:themeColor="text1"/>
            </w:tcBorders>
            <w:vAlign w:val="center"/>
          </w:tcPr>
          <w:p w14:paraId="2E262C8D" w14:textId="77777777" w:rsidR="002F2F6F" w:rsidRPr="001404B0" w:rsidRDefault="002F2F6F" w:rsidP="00A112DA">
            <w:pPr>
              <w:rPr>
                <w:sz w:val="22"/>
                <w:szCs w:val="22"/>
              </w:rPr>
            </w:pPr>
          </w:p>
        </w:tc>
      </w:tr>
    </w:tbl>
    <w:p w14:paraId="3FB39745" w14:textId="77777777" w:rsidR="002F2F6F" w:rsidRPr="001404B0" w:rsidRDefault="002F2F6F" w:rsidP="002F2F6F"/>
    <w:p w14:paraId="67BF0A7B" w14:textId="77777777" w:rsidR="002F2F6F" w:rsidRPr="001404B0" w:rsidRDefault="002F2F6F" w:rsidP="002F2F6F"/>
    <w:p w14:paraId="2701F76A" w14:textId="77777777" w:rsidR="002F2F6F" w:rsidRDefault="002F2F6F" w:rsidP="002F2F6F">
      <w:r>
        <w:br w:type="page"/>
      </w:r>
    </w:p>
    <w:p w14:paraId="117D521C" w14:textId="77777777" w:rsidR="002F2F6F" w:rsidRDefault="002F2F6F" w:rsidP="002F2F6F">
      <w:pPr>
        <w:pStyle w:val="Heading1"/>
      </w:pPr>
      <w:bookmarkStart w:id="33" w:name="_Toc3988358"/>
      <w:bookmarkStart w:id="34" w:name="_Toc4051290"/>
      <w:r>
        <w:lastRenderedPageBreak/>
        <w:t>Implementation</w:t>
      </w:r>
      <w:bookmarkEnd w:id="33"/>
      <w:bookmarkEnd w:id="34"/>
    </w:p>
    <w:p w14:paraId="0FC3C348" w14:textId="688B64FF" w:rsidR="002F2F6F" w:rsidRDefault="002F2F6F" w:rsidP="00A83AA3">
      <w:pPr>
        <w:pStyle w:val="instructions"/>
      </w:pPr>
    </w:p>
    <w:p w14:paraId="64276317" w14:textId="77777777" w:rsidR="002F2F6F" w:rsidRPr="001404B0" w:rsidRDefault="002F2F6F" w:rsidP="002F2F6F">
      <w:pPr>
        <w:pStyle w:val="Heading2"/>
      </w:pPr>
      <w:r w:rsidRPr="001404B0">
        <w:t>Notification</w:t>
      </w:r>
    </w:p>
    <w:p w14:paraId="56116390" w14:textId="77777777" w:rsidR="00380032" w:rsidRDefault="00380032" w:rsidP="002F2F6F"/>
    <w:p w14:paraId="33333789" w14:textId="72F3DB96" w:rsidR="00AD5AB2" w:rsidRDefault="00AD5AB2" w:rsidP="002F2F6F">
      <w:r>
        <w:t>The proposed rule amendments, if approved by the commission, would be filed with the Secretary of State and effective Jan. 1, 2020.</w:t>
      </w:r>
    </w:p>
    <w:p w14:paraId="4B61E39C" w14:textId="77777777" w:rsidR="00AD5AB2" w:rsidRDefault="00AD5AB2" w:rsidP="002F2F6F"/>
    <w:p w14:paraId="74256EF7" w14:textId="77454ACA" w:rsidR="002F2F6F" w:rsidRDefault="002F2F6F" w:rsidP="002F2F6F">
      <w:r w:rsidRPr="001404B0">
        <w:t>DEQ w</w:t>
      </w:r>
      <w:r w:rsidR="00F1453E">
        <w:t>ill</w:t>
      </w:r>
      <w:r w:rsidRPr="001404B0">
        <w:t xml:space="preserve"> notify affected parties by:</w:t>
      </w:r>
    </w:p>
    <w:p w14:paraId="5B1EE9E6" w14:textId="107F1F38" w:rsidR="002F2F6F" w:rsidRDefault="002F2F6F" w:rsidP="002F2F6F">
      <w:pPr>
        <w:pStyle w:val="ListParagraph"/>
        <w:numPr>
          <w:ilvl w:val="0"/>
          <w:numId w:val="2"/>
        </w:numPr>
      </w:pPr>
      <w:r>
        <w:t xml:space="preserve"> </w:t>
      </w:r>
      <w:r w:rsidR="00AD5AB2">
        <w:t xml:space="preserve">Posting the announcement on the </w:t>
      </w:r>
      <w:hyperlink r:id="rId34" w:history="1">
        <w:r w:rsidR="00AD5AB2" w:rsidRPr="00AD5AB2">
          <w:rPr>
            <w:rStyle w:val="Hyperlink"/>
          </w:rPr>
          <w:t>Heating Oil Tank Fees 2019 Rulemaking webpage</w:t>
        </w:r>
      </w:hyperlink>
    </w:p>
    <w:p w14:paraId="4BFFF33F" w14:textId="3ACA0513" w:rsidR="002F2F6F" w:rsidRDefault="002F2F6F" w:rsidP="002F2F6F">
      <w:pPr>
        <w:pStyle w:val="ListParagraph"/>
        <w:numPr>
          <w:ilvl w:val="0"/>
          <w:numId w:val="2"/>
        </w:numPr>
      </w:pPr>
      <w:r>
        <w:t xml:space="preserve"> </w:t>
      </w:r>
      <w:r w:rsidR="00AD5AB2">
        <w:t>Emailing interested parties on the following DEQ lists through GovDelivery:</w:t>
      </w:r>
    </w:p>
    <w:p w14:paraId="066855EA" w14:textId="25E4E1B4" w:rsidR="00AD5AB2" w:rsidRDefault="00676111" w:rsidP="00AD5AB2">
      <w:pPr>
        <w:pStyle w:val="ListParagraph"/>
        <w:numPr>
          <w:ilvl w:val="1"/>
          <w:numId w:val="2"/>
        </w:numPr>
      </w:pPr>
      <w:r>
        <w:t>Rulemaking</w:t>
      </w:r>
    </w:p>
    <w:p w14:paraId="58B37182" w14:textId="7A5D8213" w:rsidR="00676111" w:rsidRDefault="00676111" w:rsidP="00AD5AB2">
      <w:pPr>
        <w:pStyle w:val="ListParagraph"/>
        <w:numPr>
          <w:ilvl w:val="1"/>
          <w:numId w:val="2"/>
        </w:numPr>
      </w:pPr>
      <w:r>
        <w:t>Heating oil tanks</w:t>
      </w:r>
    </w:p>
    <w:p w14:paraId="70540E62" w14:textId="361A9310" w:rsidR="00676111" w:rsidRDefault="00676111" w:rsidP="00AD5AB2">
      <w:pPr>
        <w:pStyle w:val="ListParagraph"/>
        <w:numPr>
          <w:ilvl w:val="1"/>
          <w:numId w:val="2"/>
        </w:numPr>
      </w:pPr>
      <w:r>
        <w:t>Environmental cleanup</w:t>
      </w:r>
    </w:p>
    <w:p w14:paraId="34888EFA" w14:textId="41C4E92B" w:rsidR="00676111" w:rsidRDefault="00676111" w:rsidP="00676111">
      <w:pPr>
        <w:pStyle w:val="ListParagraph"/>
        <w:numPr>
          <w:ilvl w:val="0"/>
          <w:numId w:val="2"/>
        </w:numPr>
      </w:pPr>
      <w:r>
        <w:t>Emailing Advisory Committee members</w:t>
      </w:r>
    </w:p>
    <w:p w14:paraId="3A31FDCC" w14:textId="506DF4B8" w:rsidR="00676111" w:rsidRDefault="00676111" w:rsidP="00676111">
      <w:pPr>
        <w:pStyle w:val="ListParagraph"/>
        <w:numPr>
          <w:ilvl w:val="0"/>
          <w:numId w:val="2"/>
        </w:numPr>
      </w:pPr>
      <w:r>
        <w:t xml:space="preserve">Adding the announcement to the </w:t>
      </w:r>
      <w:hyperlink r:id="rId35" w:history="1">
        <w:r w:rsidRPr="00676111">
          <w:rPr>
            <w:rStyle w:val="Hyperlink"/>
          </w:rPr>
          <w:t>DEQ public calendar</w:t>
        </w:r>
      </w:hyperlink>
    </w:p>
    <w:p w14:paraId="063A6580" w14:textId="71379653" w:rsidR="00676111" w:rsidRDefault="00676111" w:rsidP="00676111">
      <w:pPr>
        <w:pStyle w:val="ListParagraph"/>
        <w:numPr>
          <w:ilvl w:val="0"/>
          <w:numId w:val="2"/>
        </w:numPr>
      </w:pPr>
      <w:r>
        <w:t>Providing notice and links to information through postings on Twitter and Facebook</w:t>
      </w:r>
    </w:p>
    <w:p w14:paraId="318333C5" w14:textId="77777777" w:rsidR="002F2F6F" w:rsidRPr="001404B0" w:rsidRDefault="002F2F6F" w:rsidP="002F2F6F"/>
    <w:p w14:paraId="1165CB0F" w14:textId="77777777" w:rsidR="002F2F6F" w:rsidRPr="001404B0" w:rsidRDefault="002F2F6F" w:rsidP="002F2F6F">
      <w:pPr>
        <w:pStyle w:val="Heading2"/>
      </w:pPr>
      <w:r w:rsidRPr="001404B0">
        <w:t>Compliance and enforcement</w:t>
      </w:r>
    </w:p>
    <w:p w14:paraId="092BC4A9" w14:textId="77777777" w:rsidR="00380032" w:rsidRDefault="00380032" w:rsidP="002F2F6F"/>
    <w:p w14:paraId="6F24426F" w14:textId="77777777" w:rsidR="002F2F6F" w:rsidRPr="00707CB9" w:rsidRDefault="002F2F6F" w:rsidP="002F2F6F">
      <w:pPr>
        <w:rPr>
          <w:highlight w:val="yellow"/>
        </w:rPr>
      </w:pPr>
      <w:r w:rsidRPr="00707CB9">
        <w:rPr>
          <w:highlight w:val="yellow"/>
        </w:rPr>
        <w:t>Affected parties -Text</w:t>
      </w:r>
    </w:p>
    <w:p w14:paraId="5D15A19F" w14:textId="77777777" w:rsidR="002F2F6F" w:rsidRPr="001404B0" w:rsidRDefault="002F2F6F" w:rsidP="002F2F6F">
      <w:r w:rsidRPr="00707CB9">
        <w:rPr>
          <w:highlight w:val="yellow"/>
        </w:rPr>
        <w:t>DEQ staff - Text</w:t>
      </w:r>
    </w:p>
    <w:p w14:paraId="21E62FFF" w14:textId="77777777" w:rsidR="002F2F6F" w:rsidRPr="001404B0" w:rsidRDefault="002F2F6F" w:rsidP="002F2F6F"/>
    <w:p w14:paraId="16CC1E4F" w14:textId="77777777" w:rsidR="002F2F6F" w:rsidRPr="001404B0" w:rsidRDefault="002F2F6F" w:rsidP="002F2F6F">
      <w:pPr>
        <w:pStyle w:val="Heading2"/>
      </w:pPr>
      <w:r w:rsidRPr="001404B0">
        <w:t>Measuring, sampling, monitoring and reporting</w:t>
      </w:r>
    </w:p>
    <w:p w14:paraId="2FB379EB" w14:textId="77777777" w:rsidR="00380032" w:rsidRDefault="00380032" w:rsidP="002F2F6F"/>
    <w:p w14:paraId="1358EF36" w14:textId="77777777" w:rsidR="002F2F6F" w:rsidRPr="00707CB9" w:rsidRDefault="002F2F6F" w:rsidP="002F2F6F">
      <w:pPr>
        <w:rPr>
          <w:highlight w:val="yellow"/>
        </w:rPr>
      </w:pPr>
      <w:r w:rsidRPr="00707CB9">
        <w:rPr>
          <w:highlight w:val="yellow"/>
        </w:rPr>
        <w:t>Affected parties - Text</w:t>
      </w:r>
    </w:p>
    <w:p w14:paraId="55DD9EFE" w14:textId="77777777" w:rsidR="002F2F6F" w:rsidRPr="001404B0" w:rsidRDefault="002F2F6F" w:rsidP="002F2F6F">
      <w:r w:rsidRPr="00707CB9">
        <w:rPr>
          <w:highlight w:val="yellow"/>
        </w:rPr>
        <w:t>DEQ staff - Text</w:t>
      </w:r>
    </w:p>
    <w:p w14:paraId="32294ED7" w14:textId="77777777" w:rsidR="002F2F6F" w:rsidRPr="001404B0" w:rsidRDefault="002F2F6F" w:rsidP="002F2F6F"/>
    <w:p w14:paraId="75C25C67" w14:textId="77777777" w:rsidR="002F2F6F" w:rsidRPr="001404B0" w:rsidRDefault="002F2F6F" w:rsidP="002F2F6F">
      <w:pPr>
        <w:pStyle w:val="Heading2"/>
      </w:pPr>
      <w:r w:rsidRPr="001404B0">
        <w:t>Systems</w:t>
      </w:r>
    </w:p>
    <w:p w14:paraId="3C5FD481" w14:textId="77777777" w:rsidR="00380032" w:rsidRDefault="00380032" w:rsidP="002F2F6F"/>
    <w:p w14:paraId="436820B8" w14:textId="77777777" w:rsidR="002F2F6F" w:rsidRPr="00707CB9" w:rsidRDefault="002F2F6F" w:rsidP="002F2F6F">
      <w:pPr>
        <w:rPr>
          <w:highlight w:val="yellow"/>
        </w:rPr>
      </w:pPr>
      <w:r w:rsidRPr="00707CB9">
        <w:rPr>
          <w:highlight w:val="yellow"/>
        </w:rPr>
        <w:t>Website - Text</w:t>
      </w:r>
    </w:p>
    <w:p w14:paraId="0CBC141B" w14:textId="77777777" w:rsidR="002F2F6F" w:rsidRPr="00707CB9" w:rsidRDefault="002F2F6F" w:rsidP="002F2F6F">
      <w:pPr>
        <w:rPr>
          <w:highlight w:val="yellow"/>
        </w:rPr>
      </w:pPr>
      <w:r w:rsidRPr="00707CB9">
        <w:rPr>
          <w:highlight w:val="yellow"/>
        </w:rPr>
        <w:t>Database - Text</w:t>
      </w:r>
    </w:p>
    <w:p w14:paraId="265BFA72" w14:textId="77777777" w:rsidR="002F2F6F" w:rsidRPr="001404B0" w:rsidRDefault="002F2F6F" w:rsidP="002F2F6F">
      <w:r w:rsidRPr="00707CB9">
        <w:rPr>
          <w:highlight w:val="yellow"/>
        </w:rPr>
        <w:t>Invoicing - Text</w:t>
      </w:r>
    </w:p>
    <w:p w14:paraId="31A3A874" w14:textId="77777777" w:rsidR="002F2F6F" w:rsidRPr="001404B0" w:rsidRDefault="002F2F6F" w:rsidP="002F2F6F"/>
    <w:p w14:paraId="6E823717" w14:textId="77777777" w:rsidR="002F2F6F" w:rsidRPr="001404B0" w:rsidRDefault="002F2F6F" w:rsidP="002F2F6F">
      <w:pPr>
        <w:pStyle w:val="Heading2"/>
      </w:pPr>
      <w:r w:rsidRPr="001404B0">
        <w:t>Training</w:t>
      </w:r>
    </w:p>
    <w:p w14:paraId="14885C1A" w14:textId="77777777" w:rsidR="00380032" w:rsidRDefault="00380032" w:rsidP="002F2F6F"/>
    <w:p w14:paraId="4E4216E7" w14:textId="77777777" w:rsidR="002F2F6F" w:rsidRPr="00707CB9" w:rsidRDefault="002F2F6F" w:rsidP="002F2F6F">
      <w:pPr>
        <w:rPr>
          <w:highlight w:val="yellow"/>
        </w:rPr>
      </w:pPr>
      <w:r w:rsidRPr="00707CB9">
        <w:rPr>
          <w:highlight w:val="yellow"/>
        </w:rPr>
        <w:t>Affected parties - Text</w:t>
      </w:r>
    </w:p>
    <w:p w14:paraId="5875845E" w14:textId="77777777" w:rsidR="002F2F6F" w:rsidRPr="001404B0" w:rsidRDefault="002F2F6F" w:rsidP="002F2F6F">
      <w:r w:rsidRPr="00707CB9">
        <w:rPr>
          <w:highlight w:val="yellow"/>
        </w:rPr>
        <w:t>DEQ staff - Text</w:t>
      </w:r>
    </w:p>
    <w:p w14:paraId="2F63EBEE" w14:textId="77777777" w:rsidR="002F2F6F" w:rsidRPr="001B2D5C" w:rsidRDefault="002F2F6F" w:rsidP="002F2F6F"/>
    <w:p w14:paraId="275EE4E0" w14:textId="77777777" w:rsidR="002F2F6F" w:rsidRDefault="002F2F6F" w:rsidP="002F2F6F"/>
    <w:p w14:paraId="7E7F2FED" w14:textId="77777777" w:rsidR="002F2F6F" w:rsidRDefault="002F2F6F" w:rsidP="002F2F6F">
      <w:r>
        <w:br w:type="page"/>
      </w:r>
    </w:p>
    <w:p w14:paraId="705E8D08" w14:textId="77777777" w:rsidR="002F2F6F" w:rsidRDefault="002F2F6F" w:rsidP="002F2F6F">
      <w:pPr>
        <w:pStyle w:val="Heading1"/>
      </w:pPr>
      <w:bookmarkStart w:id="35" w:name="_Toc3988359"/>
      <w:bookmarkStart w:id="36" w:name="_Toc4051291"/>
      <w:r>
        <w:lastRenderedPageBreak/>
        <w:t>Five Year Review</w:t>
      </w:r>
      <w:bookmarkEnd w:id="35"/>
      <w:bookmarkEnd w:id="36"/>
    </w:p>
    <w:p w14:paraId="76556882" w14:textId="77777777" w:rsidR="002F2F6F" w:rsidRDefault="002F2F6F" w:rsidP="00A83AA3">
      <w:pPr>
        <w:pStyle w:val="instructions"/>
      </w:pPr>
      <w:r>
        <w:t>Leave blank – rules coordinator will complete this section</w:t>
      </w:r>
    </w:p>
    <w:p w14:paraId="45974620" w14:textId="77777777" w:rsidR="002F2F6F" w:rsidRPr="00DE281B" w:rsidRDefault="002F2F6F" w:rsidP="00A83AA3">
      <w:pPr>
        <w:pStyle w:val="instructions"/>
      </w:pPr>
      <w:r w:rsidRPr="00450EC9">
        <w:t>ORS 183.405</w:t>
      </w:r>
    </w:p>
    <w:p w14:paraId="576A200D" w14:textId="77777777" w:rsidR="002F2F6F" w:rsidRPr="00DE281B" w:rsidRDefault="002F2F6F" w:rsidP="002F2F6F">
      <w:pPr>
        <w:pStyle w:val="Heading2"/>
      </w:pPr>
      <w:r w:rsidRPr="00450EC9">
        <w:t xml:space="preserve">Requirement </w:t>
      </w:r>
      <w:r w:rsidRPr="00DE281B">
        <w:tab/>
        <w:t xml:space="preserve"> </w:t>
      </w:r>
    </w:p>
    <w:p w14:paraId="1D5C782E" w14:textId="77777777" w:rsidR="00380032" w:rsidRDefault="00380032" w:rsidP="002F2F6F"/>
    <w:p w14:paraId="7F7B2DEF" w14:textId="77777777" w:rsidR="002F2F6F" w:rsidRDefault="002F2F6F" w:rsidP="002F2F6F">
      <w:r w:rsidRPr="001404B0">
        <w:t xml:space="preserve">Oregon law requires DEQ to review </w:t>
      </w:r>
      <w:r w:rsidRPr="001404B0">
        <w:rPr>
          <w:bCs/>
        </w:rPr>
        <w:t>new</w:t>
      </w:r>
      <w:r w:rsidRPr="001404B0">
        <w:rPr>
          <w:b/>
          <w:bCs/>
        </w:rPr>
        <w:t xml:space="preserve"> </w:t>
      </w:r>
      <w:r w:rsidRPr="001404B0">
        <w:t>rules within five years after EQC adopts them. The law also exempts some rules from review. DEQ determined whether the rules described in this report are subject to the five-year review. DEQ based its analysis on the law in effect when EQC adopted these rules.</w:t>
      </w:r>
    </w:p>
    <w:p w14:paraId="339E36FD" w14:textId="77777777" w:rsidR="002F2F6F" w:rsidRPr="001404B0" w:rsidRDefault="002F2F6F" w:rsidP="002F2F6F">
      <w:pPr>
        <w:rPr>
          <w:sz w:val="20"/>
          <w:szCs w:val="20"/>
        </w:rPr>
      </w:pPr>
      <w:r w:rsidRPr="001404B0">
        <w:t xml:space="preserve"> </w:t>
      </w:r>
    </w:p>
    <w:p w14:paraId="57B069D7" w14:textId="77777777" w:rsidR="002F2F6F" w:rsidRPr="001404B0" w:rsidRDefault="002F2F6F" w:rsidP="002F2F6F">
      <w:pPr>
        <w:pStyle w:val="Heading3"/>
      </w:pPr>
      <w:r w:rsidRPr="001404B0">
        <w:t xml:space="preserve">Exemption from five-year rule review </w:t>
      </w:r>
    </w:p>
    <w:p w14:paraId="25D94675" w14:textId="77777777" w:rsidR="002F2F6F" w:rsidRPr="001404B0" w:rsidRDefault="002F2F6F" w:rsidP="002F2F6F"/>
    <w:p w14:paraId="1B70B8D1" w14:textId="77777777" w:rsidR="002F2F6F" w:rsidRPr="001404B0" w:rsidRDefault="002F2F6F" w:rsidP="00A83AA3">
      <w:pPr>
        <w:pStyle w:val="instructions"/>
      </w:pPr>
      <w:r w:rsidRPr="001404B0">
        <w:t>DELETE THIS PARAGRAPH IF NO RULES ARE EXEMPT FROM REVIEW:</w:t>
      </w:r>
    </w:p>
    <w:p w14:paraId="4E6EFA40" w14:textId="77777777" w:rsidR="002F2F6F" w:rsidRPr="001404B0" w:rsidRDefault="002F2F6F" w:rsidP="002F2F6F"/>
    <w:p w14:paraId="1283384D" w14:textId="77777777" w:rsidR="002F2F6F" w:rsidRPr="001404B0" w:rsidRDefault="002F2F6F" w:rsidP="002F2F6F">
      <w:r w:rsidRPr="001404B0">
        <w:t xml:space="preserve">The Administrative Procedures Act exempts </w:t>
      </w:r>
      <w:r w:rsidRPr="00450EC9">
        <w:rPr>
          <w:rStyle w:val="instructionsChar"/>
        </w:rPr>
        <w:t xml:space="preserve">CHOOSE ONE: SOME … ALL </w:t>
      </w:r>
      <w:r w:rsidRPr="001404B0">
        <w:t>of the proposed rules from the five-year review because the proposed rules would:</w:t>
      </w:r>
    </w:p>
    <w:p w14:paraId="4F13ADA6" w14:textId="77777777" w:rsidR="002F2F6F" w:rsidRPr="001404B0" w:rsidRDefault="002F2F6F" w:rsidP="002F2F6F"/>
    <w:p w14:paraId="40F9A4AD" w14:textId="77777777" w:rsidR="002F2F6F" w:rsidRPr="001404B0" w:rsidRDefault="002F2F6F" w:rsidP="00A83AA3">
      <w:pPr>
        <w:pStyle w:val="instructions"/>
      </w:pPr>
      <w:r w:rsidRPr="001404B0">
        <w:t>DELETE ANY THAT DON’T APPLY:</w:t>
      </w:r>
    </w:p>
    <w:p w14:paraId="442F65DA" w14:textId="77777777" w:rsidR="002F2F6F" w:rsidRPr="001404B0" w:rsidRDefault="002F2F6F" w:rsidP="002F2F6F"/>
    <w:p w14:paraId="69633056" w14:textId="77777777" w:rsidR="002F2F6F" w:rsidRPr="001404B0" w:rsidRDefault="002F2F6F" w:rsidP="002F2F6F">
      <w:r w:rsidRPr="001404B0">
        <w:t xml:space="preserve"> Amend or repeal an existing rule. ORS 183.405(4).</w:t>
      </w:r>
    </w:p>
    <w:p w14:paraId="1D4252C6" w14:textId="77777777" w:rsidR="002F2F6F" w:rsidRPr="001404B0" w:rsidRDefault="002F2F6F" w:rsidP="002F2F6F">
      <w:r w:rsidRPr="001404B0">
        <w:t xml:space="preserve"> Implement a court order or a civil proceeding settlement. ORS 183.405(5</w:t>
      </w:r>
      <w:proofErr w:type="gramStart"/>
      <w:r w:rsidRPr="001404B0">
        <w:t>)(</w:t>
      </w:r>
      <w:proofErr w:type="gramEnd"/>
      <w:r w:rsidRPr="001404B0">
        <w:t>a).</w:t>
      </w:r>
    </w:p>
    <w:p w14:paraId="146E2F41" w14:textId="77777777" w:rsidR="002F2F6F" w:rsidRPr="001404B0" w:rsidRDefault="002F2F6F" w:rsidP="002F2F6F">
      <w:r w:rsidRPr="001404B0">
        <w:t xml:space="preserve"> Adopt a federal law or rule by reference. ORS 183.405((5</w:t>
      </w:r>
      <w:proofErr w:type="gramStart"/>
      <w:r w:rsidRPr="001404B0">
        <w:t>)(</w:t>
      </w:r>
      <w:proofErr w:type="gramEnd"/>
      <w:r w:rsidRPr="001404B0">
        <w:t>b).</w:t>
      </w:r>
    </w:p>
    <w:p w14:paraId="6217825D" w14:textId="77777777" w:rsidR="002F2F6F" w:rsidRPr="001404B0" w:rsidRDefault="002F2F6F" w:rsidP="002F2F6F">
      <w:r w:rsidRPr="001404B0">
        <w:t xml:space="preserve"> Implement legislatively approved fee changes. ORS 183.405(5</w:t>
      </w:r>
      <w:proofErr w:type="gramStart"/>
      <w:r w:rsidRPr="001404B0">
        <w:t>)(</w:t>
      </w:r>
      <w:proofErr w:type="gramEnd"/>
      <w:r w:rsidRPr="001404B0">
        <w:t>c).</w:t>
      </w:r>
    </w:p>
    <w:p w14:paraId="3AF11B01" w14:textId="77777777" w:rsidR="002F2F6F" w:rsidRPr="001404B0" w:rsidRDefault="002F2F6F" w:rsidP="002F2F6F">
      <w:r w:rsidRPr="001404B0">
        <w:t xml:space="preserve"> Correct errors or omissions in the existing rules. ORS 183.405(d).</w:t>
      </w:r>
    </w:p>
    <w:p w14:paraId="4EA5BA72" w14:textId="77777777" w:rsidR="002F2F6F" w:rsidRPr="001404B0" w:rsidRDefault="002F2F6F" w:rsidP="002F2F6F">
      <w:r w:rsidRPr="001404B0">
        <w:tab/>
      </w:r>
    </w:p>
    <w:p w14:paraId="46EE9363" w14:textId="77777777" w:rsidR="002F2F6F" w:rsidRPr="001404B0" w:rsidRDefault="002F2F6F" w:rsidP="00A83AA3">
      <w:pPr>
        <w:pStyle w:val="instructions"/>
      </w:pPr>
      <w:r w:rsidRPr="001404B0">
        <w:t>DELETE THIS PARAGRAPH IF ANY OF THE RULES ARE EXEMPT FROM REVIEW:</w:t>
      </w:r>
    </w:p>
    <w:p w14:paraId="49990CFD" w14:textId="77777777" w:rsidR="002F2F6F" w:rsidRPr="001404B0" w:rsidRDefault="002F2F6F" w:rsidP="002F2F6F"/>
    <w:p w14:paraId="0F941F74" w14:textId="77777777" w:rsidR="002F2F6F" w:rsidRPr="00DE281B" w:rsidRDefault="002F2F6F" w:rsidP="002F2F6F">
      <w:r w:rsidRPr="001404B0">
        <w:t xml:space="preserve">None of these proposed rules are exempt from the five-year review under ORS 183.405(4) and 183.405 (5) of the Administrative Procedures Act.  </w:t>
      </w:r>
    </w:p>
    <w:p w14:paraId="40875AF0" w14:textId="77777777" w:rsidR="002F2F6F" w:rsidRDefault="002F2F6F" w:rsidP="002F2F6F"/>
    <w:p w14:paraId="23B89310" w14:textId="77777777" w:rsidR="002F2F6F" w:rsidRPr="00E62940" w:rsidRDefault="002F2F6F" w:rsidP="002F2F6F">
      <w:pPr>
        <w:pStyle w:val="Heading3"/>
      </w:pPr>
      <w:r w:rsidRPr="00E62940">
        <w:t xml:space="preserve">Five-year rule review required  </w:t>
      </w:r>
    </w:p>
    <w:p w14:paraId="7AEE9989" w14:textId="77777777" w:rsidR="00380032" w:rsidRDefault="00380032" w:rsidP="002F2F6F"/>
    <w:p w14:paraId="2E851CF9" w14:textId="77777777" w:rsidR="002F2F6F" w:rsidRPr="001404B0" w:rsidRDefault="002F2F6F" w:rsidP="002F2F6F">
      <w:pPr>
        <w:rPr>
          <w:sz w:val="20"/>
          <w:szCs w:val="20"/>
        </w:rPr>
      </w:pPr>
      <w:r w:rsidRPr="001404B0">
        <w:t xml:space="preserve">No later than </w:t>
      </w:r>
      <w:r w:rsidRPr="00450EC9">
        <w:rPr>
          <w:rStyle w:val="instructionsChar"/>
        </w:rPr>
        <w:t>DATE FIVE YEARS FROM ADOPTION</w:t>
      </w:r>
      <w:r w:rsidRPr="001404B0">
        <w:t>.</w:t>
      </w:r>
      <w:r w:rsidRPr="001404B0">
        <w:rPr>
          <w:color w:val="7B7B7B" w:themeColor="accent3" w:themeShade="BF"/>
        </w:rPr>
        <w:t xml:space="preserve"> </w:t>
      </w:r>
      <w:r w:rsidRPr="001404B0">
        <w:t>DEQ will review the newly adopted rules for which ORS 183.405 (1) requires review to determine whether:</w:t>
      </w:r>
    </w:p>
    <w:p w14:paraId="43B54E34" w14:textId="77777777" w:rsidR="002F2F6F" w:rsidRPr="001404B0" w:rsidRDefault="002F2F6F" w:rsidP="00380032">
      <w:pPr>
        <w:pStyle w:val="ListParagraph"/>
        <w:numPr>
          <w:ilvl w:val="0"/>
          <w:numId w:val="22"/>
        </w:numPr>
      </w:pPr>
      <w:r w:rsidRPr="001404B0">
        <w:t>The rule has had the intended effect</w:t>
      </w:r>
    </w:p>
    <w:p w14:paraId="1D860140" w14:textId="77777777" w:rsidR="002F2F6F" w:rsidRPr="001404B0" w:rsidRDefault="002F2F6F" w:rsidP="00380032">
      <w:pPr>
        <w:pStyle w:val="ListParagraph"/>
        <w:numPr>
          <w:ilvl w:val="0"/>
          <w:numId w:val="22"/>
        </w:numPr>
      </w:pPr>
      <w:r w:rsidRPr="001404B0">
        <w:t>The anticipated fiscal impact of the rule was underestimated or overestimated</w:t>
      </w:r>
    </w:p>
    <w:p w14:paraId="38EABE5B" w14:textId="77777777" w:rsidR="002F2F6F" w:rsidRPr="001404B0" w:rsidRDefault="002F2F6F" w:rsidP="00380032">
      <w:pPr>
        <w:pStyle w:val="ListParagraph"/>
        <w:numPr>
          <w:ilvl w:val="0"/>
          <w:numId w:val="22"/>
        </w:numPr>
      </w:pPr>
      <w:r w:rsidRPr="001404B0">
        <w:t>Subsequent changes in the law require that the rule be repealed or amended</w:t>
      </w:r>
    </w:p>
    <w:p w14:paraId="20957530" w14:textId="77777777" w:rsidR="002F2F6F" w:rsidRPr="001404B0" w:rsidRDefault="002F2F6F" w:rsidP="00380032">
      <w:pPr>
        <w:pStyle w:val="ListParagraph"/>
        <w:numPr>
          <w:ilvl w:val="0"/>
          <w:numId w:val="22"/>
        </w:numPr>
      </w:pPr>
      <w:r w:rsidRPr="001404B0">
        <w:t>There is continued need for the rule.</w:t>
      </w:r>
    </w:p>
    <w:p w14:paraId="20BD7AE5" w14:textId="77777777" w:rsidR="00380032" w:rsidRDefault="00380032" w:rsidP="002F2F6F"/>
    <w:p w14:paraId="20206F78" w14:textId="77777777" w:rsidR="002F2F6F" w:rsidRDefault="002F2F6F" w:rsidP="002F2F6F">
      <w:r w:rsidRPr="001404B0">
        <w:t>DEQ will use “available information” to comply with the review requirement allowed under ORS 183.405 (2).</w:t>
      </w:r>
    </w:p>
    <w:p w14:paraId="176124FD" w14:textId="77777777" w:rsidR="00380032" w:rsidRPr="001404B0" w:rsidRDefault="00380032" w:rsidP="002F2F6F"/>
    <w:p w14:paraId="48AA4D74" w14:textId="6D01C786" w:rsidR="002F2F6F" w:rsidRDefault="002F2F6F" w:rsidP="002F2F6F">
      <w:pPr>
        <w:sectPr w:rsidR="002F2F6F" w:rsidSect="00A112DA">
          <w:footerReference w:type="default" r:id="rId36"/>
          <w:pgSz w:w="12240" w:h="15840"/>
          <w:pgMar w:top="1440" w:right="1440" w:bottom="1440" w:left="1440" w:header="720" w:footer="720" w:gutter="360"/>
          <w:cols w:space="720"/>
          <w:docGrid w:linePitch="360"/>
        </w:sectPr>
      </w:pPr>
      <w:r w:rsidRPr="001404B0">
        <w:t>DEQ will provide the five-year rule review report to the advisory committee to comply with ORS 183.405 (3)</w:t>
      </w:r>
      <w:r>
        <w:t>.</w:t>
      </w:r>
    </w:p>
    <w:p w14:paraId="486A3E45" w14:textId="77777777" w:rsidR="002F2F6F" w:rsidRPr="003C26EE" w:rsidRDefault="002F2F6F" w:rsidP="002F2F6F">
      <w:pPr>
        <w:pStyle w:val="Heading1"/>
      </w:pPr>
      <w:bookmarkStart w:id="37" w:name="_Toc3988360"/>
      <w:bookmarkStart w:id="38" w:name="_Toc4051292"/>
      <w:r w:rsidRPr="003C26EE">
        <w:lastRenderedPageBreak/>
        <w:t>Accessibility Information</w:t>
      </w:r>
      <w:bookmarkEnd w:id="37"/>
      <w:bookmarkEnd w:id="38"/>
    </w:p>
    <w:p w14:paraId="2EE3C2D2" w14:textId="77777777" w:rsidR="002F2F6F" w:rsidRPr="003C26EE" w:rsidRDefault="002F2F6F" w:rsidP="002F2F6F"/>
    <w:p w14:paraId="72B5BF63" w14:textId="77777777" w:rsidR="002F2F6F" w:rsidRPr="003C26EE" w:rsidRDefault="002F2F6F" w:rsidP="002F2F6F">
      <w:r w:rsidRPr="003C26EE">
        <w:t>You may review copies of all documents referenced in this announcement at:</w:t>
      </w:r>
    </w:p>
    <w:p w14:paraId="417C35A5" w14:textId="77777777" w:rsidR="002F2F6F" w:rsidRPr="003C26EE" w:rsidRDefault="002F2F6F" w:rsidP="002F2F6F">
      <w:r w:rsidRPr="003C26EE">
        <w:t>Oregon Department of Environmental Quality</w:t>
      </w:r>
    </w:p>
    <w:p w14:paraId="5522DE5F" w14:textId="77777777" w:rsidR="002F2F6F" w:rsidRPr="003C26EE" w:rsidRDefault="002F2F6F" w:rsidP="002F2F6F">
      <w:r w:rsidRPr="003C26EE">
        <w:t>700 NE Multnomah St., Ste. 600</w:t>
      </w:r>
    </w:p>
    <w:p w14:paraId="35B9BDC6" w14:textId="77777777" w:rsidR="002F2F6F" w:rsidRPr="003C26EE" w:rsidRDefault="002F2F6F" w:rsidP="002F2F6F">
      <w:r w:rsidRPr="003C26EE">
        <w:t>Portland, OR, 97232</w:t>
      </w:r>
    </w:p>
    <w:p w14:paraId="31B237E9" w14:textId="77777777" w:rsidR="002F2F6F" w:rsidRPr="003C26EE" w:rsidRDefault="002F2F6F" w:rsidP="002F2F6F"/>
    <w:p w14:paraId="1D17BD77" w14:textId="0F652CCC" w:rsidR="002F2F6F" w:rsidRPr="003C26EE" w:rsidRDefault="002F2F6F" w:rsidP="002F2F6F">
      <w:r w:rsidRPr="003C26EE">
        <w:t xml:space="preserve">To schedule a review of all websites and documents referenced in this announcement, call </w:t>
      </w:r>
      <w:r w:rsidR="00467542">
        <w:rPr>
          <w:rStyle w:val="instructionsChar"/>
          <w:rFonts w:ascii="Times New Roman" w:hAnsi="Times New Roman"/>
          <w:color w:val="auto"/>
        </w:rPr>
        <w:t>Jessika Cohen, DEQ Land Quality Division</w:t>
      </w:r>
      <w:r w:rsidRPr="003C26EE">
        <w:t xml:space="preserve">, </w:t>
      </w:r>
      <w:proofErr w:type="gramStart"/>
      <w:r w:rsidR="00467542">
        <w:t>Phone</w:t>
      </w:r>
      <w:proofErr w:type="gramEnd"/>
      <w:r w:rsidR="00467542">
        <w:t xml:space="preserve"> No. (800-452-4011, ext. 6258</w:t>
      </w:r>
      <w:r w:rsidRPr="003C26EE">
        <w:t xml:space="preserve"> toll-free in Oregon).</w:t>
      </w:r>
    </w:p>
    <w:p w14:paraId="32CC2D36" w14:textId="77777777" w:rsidR="002F2F6F" w:rsidRPr="003C26EE" w:rsidRDefault="002F2F6F" w:rsidP="002F2F6F"/>
    <w:p w14:paraId="5DEF462F" w14:textId="77777777" w:rsidR="002F2F6F" w:rsidRPr="003C26EE" w:rsidRDefault="002F2F6F" w:rsidP="002F2F6F">
      <w:r w:rsidRPr="003C26EE">
        <w:t xml:space="preserve">DEQ can provide documents in an alternate format or in a language other than English upon request. Call DEQ at 800-452-4011 or email </w:t>
      </w:r>
      <w:hyperlink r:id="rId37" w:history="1">
        <w:r w:rsidRPr="003C26EE">
          <w:rPr>
            <w:rStyle w:val="Hyperlink"/>
          </w:rPr>
          <w:t>deqinfo@deq.state.or.us</w:t>
        </w:r>
      </w:hyperlink>
      <w:r w:rsidRPr="003C26EE">
        <w:t xml:space="preserve">. </w:t>
      </w:r>
    </w:p>
    <w:p w14:paraId="3F64638C" w14:textId="77777777" w:rsidR="002F2F6F" w:rsidRPr="003C26EE" w:rsidRDefault="002F2F6F" w:rsidP="002F2F6F"/>
    <w:p w14:paraId="094BCFF9" w14:textId="77777777" w:rsidR="006B3F44" w:rsidRPr="00762E9F" w:rsidRDefault="006B3F44" w:rsidP="00B65968">
      <w:pPr>
        <w:tabs>
          <w:tab w:val="left" w:pos="4207"/>
        </w:tabs>
      </w:pPr>
    </w:p>
    <w:sectPr w:rsidR="006B3F44" w:rsidRPr="00762E9F" w:rsidSect="00A112DA">
      <w:pgSz w:w="12240" w:h="15840"/>
      <w:pgMar w:top="1440" w:right="1440" w:bottom="1440" w:left="1440" w:header="720" w:footer="720" w:gutter="36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52E9A7" w14:textId="77777777" w:rsidR="00DB67D2" w:rsidRDefault="00DB67D2" w:rsidP="002D6C99">
      <w:r>
        <w:separator/>
      </w:r>
    </w:p>
  </w:endnote>
  <w:endnote w:type="continuationSeparator" w:id="0">
    <w:p w14:paraId="47DA94DE" w14:textId="77777777" w:rsidR="00DB67D2" w:rsidRDefault="00DB67D2" w:rsidP="002D6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D8CC7" w14:textId="77777777" w:rsidR="00DB67D2" w:rsidRDefault="00DB67D2">
    <w:pPr>
      <w:pStyle w:val="Footer"/>
      <w:jc w:val="right"/>
    </w:pPr>
  </w:p>
  <w:p w14:paraId="7EEEA86C" w14:textId="77777777" w:rsidR="00DB67D2" w:rsidRDefault="00DB67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0C2F1" w14:textId="77777777" w:rsidR="00DB67D2" w:rsidRDefault="00DB67D2">
    <w:pPr>
      <w:pStyle w:val="Footer"/>
      <w:jc w:val="right"/>
    </w:pPr>
  </w:p>
  <w:p w14:paraId="2A0357D7" w14:textId="77777777" w:rsidR="00DB67D2" w:rsidRDefault="00DB67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0633535"/>
      <w:docPartObj>
        <w:docPartGallery w:val="Page Numbers (Bottom of Page)"/>
        <w:docPartUnique/>
      </w:docPartObj>
    </w:sdtPr>
    <w:sdtEndPr>
      <w:rPr>
        <w:noProof/>
      </w:rPr>
    </w:sdtEndPr>
    <w:sdtContent>
      <w:p w14:paraId="7AA38B55" w14:textId="6CB66BD6" w:rsidR="00DB67D2" w:rsidRDefault="00DB67D2">
        <w:pPr>
          <w:pStyle w:val="Footer"/>
          <w:jc w:val="right"/>
        </w:pPr>
        <w:r>
          <w:fldChar w:fldCharType="begin"/>
        </w:r>
        <w:r>
          <w:instrText xml:space="preserve"> PAGE   \* MERGEFORMAT </w:instrText>
        </w:r>
        <w:r>
          <w:fldChar w:fldCharType="separate"/>
        </w:r>
        <w:r w:rsidR="00C00CAC">
          <w:rPr>
            <w:noProof/>
          </w:rPr>
          <w:t>17</w:t>
        </w:r>
        <w:r>
          <w:rPr>
            <w:noProof/>
          </w:rPr>
          <w:fldChar w:fldCharType="end"/>
        </w:r>
      </w:p>
    </w:sdtContent>
  </w:sdt>
  <w:p w14:paraId="6F2543F2" w14:textId="77777777" w:rsidR="00DB67D2" w:rsidRDefault="00DB67D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113697"/>
      <w:docPartObj>
        <w:docPartGallery w:val="Page Numbers (Bottom of Page)"/>
        <w:docPartUnique/>
      </w:docPartObj>
    </w:sdtPr>
    <w:sdtEndPr>
      <w:rPr>
        <w:noProof/>
      </w:rPr>
    </w:sdtEndPr>
    <w:sdtContent>
      <w:p w14:paraId="04458E7B" w14:textId="77777777" w:rsidR="00DB67D2" w:rsidRDefault="00DB67D2">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B77C1E6" w14:textId="77777777" w:rsidR="00DB67D2" w:rsidRDefault="00DB67D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6312121"/>
      <w:docPartObj>
        <w:docPartGallery w:val="Page Numbers (Bottom of Page)"/>
        <w:docPartUnique/>
      </w:docPartObj>
    </w:sdtPr>
    <w:sdtEndPr>
      <w:rPr>
        <w:noProof/>
      </w:rPr>
    </w:sdtEndPr>
    <w:sdtContent>
      <w:p w14:paraId="4F42DEEC" w14:textId="20875987" w:rsidR="00DB67D2" w:rsidRDefault="00DB67D2">
        <w:pPr>
          <w:pStyle w:val="Footer"/>
          <w:jc w:val="right"/>
        </w:pPr>
        <w:r>
          <w:fldChar w:fldCharType="begin"/>
        </w:r>
        <w:r>
          <w:instrText xml:space="preserve"> PAGE   \* MERGEFORMAT </w:instrText>
        </w:r>
        <w:r>
          <w:fldChar w:fldCharType="separate"/>
        </w:r>
        <w:r w:rsidR="00C00CAC">
          <w:rPr>
            <w:noProof/>
          </w:rPr>
          <w:t>1</w:t>
        </w:r>
        <w:r>
          <w:rPr>
            <w:noProof/>
          </w:rPr>
          <w:fldChar w:fldCharType="end"/>
        </w:r>
      </w:p>
    </w:sdtContent>
  </w:sdt>
  <w:p w14:paraId="536ED34F" w14:textId="77777777" w:rsidR="00DB67D2" w:rsidRDefault="00DB67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5961814"/>
      <w:docPartObj>
        <w:docPartGallery w:val="Page Numbers (Bottom of Page)"/>
        <w:docPartUnique/>
      </w:docPartObj>
    </w:sdtPr>
    <w:sdtContent>
      <w:p w14:paraId="0417A1D1" w14:textId="00FF7C01" w:rsidR="00DB67D2" w:rsidRPr="000F6EE6" w:rsidRDefault="00DB67D2" w:rsidP="00A112DA">
        <w:pPr>
          <w:pStyle w:val="Footer"/>
        </w:pPr>
        <w:r w:rsidRPr="000F6EE6">
          <w:fldChar w:fldCharType="begin"/>
        </w:r>
        <w:r w:rsidRPr="000F6EE6">
          <w:instrText xml:space="preserve"> PAGE   \* MERGEFORMAT </w:instrText>
        </w:r>
        <w:r w:rsidRPr="000F6EE6">
          <w:fldChar w:fldCharType="separate"/>
        </w:r>
        <w:r w:rsidR="00C00CAC">
          <w:rPr>
            <w:noProof/>
          </w:rPr>
          <w:t>28</w:t>
        </w:r>
        <w:r w:rsidRPr="000F6EE6">
          <w:fldChar w:fldCharType="end"/>
        </w:r>
      </w:p>
    </w:sdtContent>
  </w:sdt>
  <w:p w14:paraId="19A777C4" w14:textId="77777777" w:rsidR="00DB67D2" w:rsidRDefault="00DB67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763C54" w14:textId="77777777" w:rsidR="00DB67D2" w:rsidRDefault="00DB67D2" w:rsidP="002D6C99">
      <w:r>
        <w:separator/>
      </w:r>
    </w:p>
  </w:footnote>
  <w:footnote w:type="continuationSeparator" w:id="0">
    <w:p w14:paraId="1EF53730" w14:textId="77777777" w:rsidR="00DB67D2" w:rsidRDefault="00DB67D2" w:rsidP="002D6C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E9042" w14:textId="77777777" w:rsidR="00DB67D2" w:rsidRDefault="00DB67D2" w:rsidP="001274E4">
    <w:pPr>
      <w:pStyle w:val="Header"/>
      <w:spacing w:after="24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2B9DC" w14:textId="77777777" w:rsidR="00DB67D2" w:rsidRPr="00F72D05" w:rsidRDefault="00DB67D2" w:rsidP="00F72D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8A8F6" w14:textId="77777777" w:rsidR="00DB67D2" w:rsidRDefault="00DB67D2" w:rsidP="00CC521E">
    <w:pPr>
      <w:pStyle w:val="Header"/>
      <w:spacing w:after="24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D015E"/>
    <w:multiLevelType w:val="hybridMultilevel"/>
    <w:tmpl w:val="FC9EEB32"/>
    <w:lvl w:ilvl="0" w:tplc="E8C42FC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F1961"/>
    <w:multiLevelType w:val="multilevel"/>
    <w:tmpl w:val="1CC876B8"/>
    <w:styleLink w:val="StyleBulletedLatinCourierNewLeft075Hanging025"/>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CA9677C"/>
    <w:multiLevelType w:val="hybridMultilevel"/>
    <w:tmpl w:val="64EE9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1052E1"/>
    <w:multiLevelType w:val="multilevel"/>
    <w:tmpl w:val="1CC876B8"/>
    <w:numStyleLink w:val="StyleBulletedLatinCourierNewLeft075Hanging025"/>
  </w:abstractNum>
  <w:abstractNum w:abstractNumId="4" w15:restartNumberingAfterBreak="0">
    <w:nsid w:val="11964E4F"/>
    <w:multiLevelType w:val="hybridMultilevel"/>
    <w:tmpl w:val="D548B398"/>
    <w:lvl w:ilvl="0" w:tplc="712E711C">
      <w:start w:val="1"/>
      <w:numFmt w:val="bullet"/>
      <w:pStyle w:val="ListParagraph"/>
      <w:lvlText w:val=""/>
      <w:lvlJc w:val="left"/>
      <w:pPr>
        <w:ind w:left="0" w:firstLine="0"/>
      </w:pPr>
      <w:rPr>
        <w:rFonts w:ascii="Symbol" w:hAnsi="Symbol" w:hint="default"/>
      </w:rPr>
    </w:lvl>
    <w:lvl w:ilvl="1" w:tplc="70922DEA">
      <w:start w:val="1"/>
      <w:numFmt w:val="bullet"/>
      <w:lvlText w:val="o"/>
      <w:lvlJc w:val="left"/>
      <w:pPr>
        <w:ind w:left="0" w:firstLine="1440"/>
      </w:pPr>
      <w:rPr>
        <w:rFonts w:ascii="Courier New" w:hAnsi="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5" w15:restartNumberingAfterBreak="0">
    <w:nsid w:val="15727156"/>
    <w:multiLevelType w:val="hybridMultilevel"/>
    <w:tmpl w:val="63AAC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A61597"/>
    <w:multiLevelType w:val="hybridMultilevel"/>
    <w:tmpl w:val="F0B879DC"/>
    <w:lvl w:ilvl="0" w:tplc="E8C42F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927668"/>
    <w:multiLevelType w:val="hybridMultilevel"/>
    <w:tmpl w:val="6D2A7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C21209"/>
    <w:multiLevelType w:val="hybridMultilevel"/>
    <w:tmpl w:val="A2983CB0"/>
    <w:lvl w:ilvl="0" w:tplc="E8C42F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081FE6"/>
    <w:multiLevelType w:val="hybridMultilevel"/>
    <w:tmpl w:val="715A1952"/>
    <w:lvl w:ilvl="0" w:tplc="E8C42F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985645"/>
    <w:multiLevelType w:val="multilevel"/>
    <w:tmpl w:val="1CC876B8"/>
    <w:numStyleLink w:val="StyleBulletedLatinCourierNewLeft075Hanging025"/>
  </w:abstractNum>
  <w:abstractNum w:abstractNumId="11" w15:restartNumberingAfterBreak="0">
    <w:nsid w:val="3ADB33D8"/>
    <w:multiLevelType w:val="hybridMultilevel"/>
    <w:tmpl w:val="57F60EE8"/>
    <w:lvl w:ilvl="0" w:tplc="E8C42F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EF33BA"/>
    <w:multiLevelType w:val="hybridMultilevel"/>
    <w:tmpl w:val="386A8D3A"/>
    <w:lvl w:ilvl="0" w:tplc="E8C42F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DC741A"/>
    <w:multiLevelType w:val="hybridMultilevel"/>
    <w:tmpl w:val="CDF26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2D0AB5"/>
    <w:multiLevelType w:val="multilevel"/>
    <w:tmpl w:val="1CC876B8"/>
    <w:numStyleLink w:val="StyleBulletedLatinCourierNewLeft075Hanging025"/>
  </w:abstractNum>
  <w:abstractNum w:abstractNumId="15" w15:restartNumberingAfterBreak="0">
    <w:nsid w:val="455E793F"/>
    <w:multiLevelType w:val="multilevel"/>
    <w:tmpl w:val="1CC876B8"/>
    <w:numStyleLink w:val="StyleBulletedLatinCourierNewLeft075Hanging025"/>
  </w:abstractNum>
  <w:abstractNum w:abstractNumId="16" w15:restartNumberingAfterBreak="0">
    <w:nsid w:val="46614015"/>
    <w:multiLevelType w:val="hybridMultilevel"/>
    <w:tmpl w:val="2800D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170DA7"/>
    <w:multiLevelType w:val="hybridMultilevel"/>
    <w:tmpl w:val="D80AA40C"/>
    <w:lvl w:ilvl="0" w:tplc="04090001">
      <w:start w:val="1"/>
      <w:numFmt w:val="bullet"/>
      <w:lvlText w:val=""/>
      <w:lvlJc w:val="left"/>
      <w:pPr>
        <w:ind w:left="783" w:hanging="360"/>
      </w:pPr>
      <w:rPr>
        <w:rFonts w:ascii="Symbol" w:hAnsi="Symbol" w:hint="default"/>
      </w:rPr>
    </w:lvl>
    <w:lvl w:ilvl="1" w:tplc="04090003">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8" w15:restartNumberingAfterBreak="0">
    <w:nsid w:val="477D47FF"/>
    <w:multiLevelType w:val="hybridMultilevel"/>
    <w:tmpl w:val="8B2E0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83452D"/>
    <w:multiLevelType w:val="hybridMultilevel"/>
    <w:tmpl w:val="714CF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563F91"/>
    <w:multiLevelType w:val="hybridMultilevel"/>
    <w:tmpl w:val="A2F86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CA1C72"/>
    <w:multiLevelType w:val="hybridMultilevel"/>
    <w:tmpl w:val="DDD27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110C06"/>
    <w:multiLevelType w:val="multilevel"/>
    <w:tmpl w:val="1CC876B8"/>
    <w:numStyleLink w:val="StyleBulletedLatinCourierNewLeft075Hanging025"/>
  </w:abstractNum>
  <w:abstractNum w:abstractNumId="23" w15:restartNumberingAfterBreak="0">
    <w:nsid w:val="5A873973"/>
    <w:multiLevelType w:val="hybridMultilevel"/>
    <w:tmpl w:val="1CC876B8"/>
    <w:lvl w:ilvl="0" w:tplc="E8C42FC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00589A"/>
    <w:multiLevelType w:val="multilevel"/>
    <w:tmpl w:val="1CC876B8"/>
    <w:numStyleLink w:val="StyleBulletedLatinCourierNewLeft075Hanging025"/>
  </w:abstractNum>
  <w:abstractNum w:abstractNumId="25" w15:restartNumberingAfterBreak="0">
    <w:nsid w:val="5E3E3934"/>
    <w:multiLevelType w:val="hybridMultilevel"/>
    <w:tmpl w:val="86D62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5A2B92"/>
    <w:multiLevelType w:val="multilevel"/>
    <w:tmpl w:val="1CC876B8"/>
    <w:numStyleLink w:val="StyleBulletedLatinCourierNewLeft075Hanging025"/>
  </w:abstractNum>
  <w:abstractNum w:abstractNumId="27" w15:restartNumberingAfterBreak="0">
    <w:nsid w:val="6C8E5623"/>
    <w:multiLevelType w:val="multilevel"/>
    <w:tmpl w:val="1CC876B8"/>
    <w:numStyleLink w:val="StyleBulletedLatinCourierNewLeft075Hanging025"/>
  </w:abstractNum>
  <w:abstractNum w:abstractNumId="28" w15:restartNumberingAfterBreak="0">
    <w:nsid w:val="6FAC6DE8"/>
    <w:multiLevelType w:val="hybridMultilevel"/>
    <w:tmpl w:val="593489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AE23FD"/>
    <w:multiLevelType w:val="hybridMultilevel"/>
    <w:tmpl w:val="BFF21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4241D5"/>
    <w:multiLevelType w:val="hybridMultilevel"/>
    <w:tmpl w:val="B6BE2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EC7D75"/>
    <w:multiLevelType w:val="hybridMultilevel"/>
    <w:tmpl w:val="C2CCA1D2"/>
    <w:lvl w:ilvl="0" w:tplc="79646ABE">
      <w:start w:val="1"/>
      <w:numFmt w:val="bullet"/>
      <w:lvlText w:val=""/>
      <w:lvlJc w:val="left"/>
      <w:pPr>
        <w:ind w:left="720" w:hanging="360"/>
      </w:pPr>
      <w:rPr>
        <w:rFonts w:ascii="Symbol" w:hAnsi="Symbol" w:hint="default"/>
        <w:color w:val="000000" w:themeColor="text1"/>
      </w:rPr>
    </w:lvl>
    <w:lvl w:ilvl="1" w:tplc="6BCCF2C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1"/>
  </w:num>
  <w:num w:numId="3">
    <w:abstractNumId w:val="11"/>
  </w:num>
  <w:num w:numId="4">
    <w:abstractNumId w:val="9"/>
  </w:num>
  <w:num w:numId="5">
    <w:abstractNumId w:val="6"/>
  </w:num>
  <w:num w:numId="6">
    <w:abstractNumId w:val="0"/>
  </w:num>
  <w:num w:numId="7">
    <w:abstractNumId w:val="8"/>
  </w:num>
  <w:num w:numId="8">
    <w:abstractNumId w:val="12"/>
  </w:num>
  <w:num w:numId="9">
    <w:abstractNumId w:val="23"/>
  </w:num>
  <w:num w:numId="10">
    <w:abstractNumId w:val="17"/>
  </w:num>
  <w:num w:numId="11">
    <w:abstractNumId w:val="19"/>
  </w:num>
  <w:num w:numId="12">
    <w:abstractNumId w:val="28"/>
  </w:num>
  <w:num w:numId="13">
    <w:abstractNumId w:val="1"/>
  </w:num>
  <w:num w:numId="14">
    <w:abstractNumId w:val="3"/>
  </w:num>
  <w:num w:numId="15">
    <w:abstractNumId w:val="22"/>
  </w:num>
  <w:num w:numId="16">
    <w:abstractNumId w:val="26"/>
  </w:num>
  <w:num w:numId="17">
    <w:abstractNumId w:val="14"/>
  </w:num>
  <w:num w:numId="18">
    <w:abstractNumId w:val="27"/>
  </w:num>
  <w:num w:numId="19">
    <w:abstractNumId w:val="10"/>
  </w:num>
  <w:num w:numId="20">
    <w:abstractNumId w:val="24"/>
  </w:num>
  <w:num w:numId="21">
    <w:abstractNumId w:val="15"/>
  </w:num>
  <w:num w:numId="22">
    <w:abstractNumId w:val="2"/>
  </w:num>
  <w:num w:numId="23">
    <w:abstractNumId w:val="13"/>
  </w:num>
  <w:num w:numId="24">
    <w:abstractNumId w:val="16"/>
  </w:num>
  <w:num w:numId="25">
    <w:abstractNumId w:val="30"/>
  </w:num>
  <w:num w:numId="26">
    <w:abstractNumId w:val="7"/>
  </w:num>
  <w:num w:numId="27">
    <w:abstractNumId w:val="18"/>
  </w:num>
  <w:num w:numId="28">
    <w:abstractNumId w:val="5"/>
  </w:num>
  <w:num w:numId="29">
    <w:abstractNumId w:val="21"/>
  </w:num>
  <w:num w:numId="30">
    <w:abstractNumId w:val="25"/>
  </w:num>
  <w:num w:numId="31">
    <w:abstractNumId w:val="29"/>
  </w:num>
  <w:num w:numId="3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360"/>
  <w:drawingGridHorizontalSpacing w:val="120"/>
  <w:displayHorizontalDrawingGridEvery w:val="2"/>
  <w:characterSpacingControl w:val="doNotCompress"/>
  <w:hdrShapeDefaults>
    <o:shapedefaults v:ext="edit" spidmax="126977" fillcolor="#ff9" strokecolor="none [2409]">
      <v:fill color="#ff9" opacity="60948f"/>
      <v:stroke color="none [2409]"/>
      <v:textbox inset="10.8pt,,10.8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D58"/>
    <w:rsid w:val="00000077"/>
    <w:rsid w:val="000012BE"/>
    <w:rsid w:val="000025D6"/>
    <w:rsid w:val="00006368"/>
    <w:rsid w:val="000110AF"/>
    <w:rsid w:val="00016C59"/>
    <w:rsid w:val="00016F5E"/>
    <w:rsid w:val="000210C7"/>
    <w:rsid w:val="00021CEF"/>
    <w:rsid w:val="00025EC3"/>
    <w:rsid w:val="00025FEE"/>
    <w:rsid w:val="00026313"/>
    <w:rsid w:val="00026515"/>
    <w:rsid w:val="00026A45"/>
    <w:rsid w:val="0002747F"/>
    <w:rsid w:val="00027E2F"/>
    <w:rsid w:val="00030F43"/>
    <w:rsid w:val="000319E1"/>
    <w:rsid w:val="00032475"/>
    <w:rsid w:val="00035352"/>
    <w:rsid w:val="0003621E"/>
    <w:rsid w:val="00040AE3"/>
    <w:rsid w:val="000418FA"/>
    <w:rsid w:val="0004204A"/>
    <w:rsid w:val="00043601"/>
    <w:rsid w:val="0004437E"/>
    <w:rsid w:val="000453E0"/>
    <w:rsid w:val="000469FD"/>
    <w:rsid w:val="0004741B"/>
    <w:rsid w:val="00047F5B"/>
    <w:rsid w:val="00047F7A"/>
    <w:rsid w:val="0005132C"/>
    <w:rsid w:val="00051DA8"/>
    <w:rsid w:val="0005564A"/>
    <w:rsid w:val="00055C22"/>
    <w:rsid w:val="00055C85"/>
    <w:rsid w:val="00056F18"/>
    <w:rsid w:val="000576EF"/>
    <w:rsid w:val="00061C88"/>
    <w:rsid w:val="00062456"/>
    <w:rsid w:val="0006277C"/>
    <w:rsid w:val="00064299"/>
    <w:rsid w:val="0006798B"/>
    <w:rsid w:val="00071155"/>
    <w:rsid w:val="00071D04"/>
    <w:rsid w:val="0007684B"/>
    <w:rsid w:val="0007687D"/>
    <w:rsid w:val="000770BB"/>
    <w:rsid w:val="00081F93"/>
    <w:rsid w:val="00083BC6"/>
    <w:rsid w:val="00083F6F"/>
    <w:rsid w:val="000872C2"/>
    <w:rsid w:val="000904FA"/>
    <w:rsid w:val="0009279B"/>
    <w:rsid w:val="00092CB8"/>
    <w:rsid w:val="00092F0F"/>
    <w:rsid w:val="00093659"/>
    <w:rsid w:val="0009416B"/>
    <w:rsid w:val="0009694C"/>
    <w:rsid w:val="00096DC5"/>
    <w:rsid w:val="000A3C5B"/>
    <w:rsid w:val="000A5647"/>
    <w:rsid w:val="000A759C"/>
    <w:rsid w:val="000A7820"/>
    <w:rsid w:val="000A7DC1"/>
    <w:rsid w:val="000B28C9"/>
    <w:rsid w:val="000B2D67"/>
    <w:rsid w:val="000B3EEB"/>
    <w:rsid w:val="000B4D80"/>
    <w:rsid w:val="000B685A"/>
    <w:rsid w:val="000B6AA9"/>
    <w:rsid w:val="000B6D90"/>
    <w:rsid w:val="000B783F"/>
    <w:rsid w:val="000C1364"/>
    <w:rsid w:val="000C3C54"/>
    <w:rsid w:val="000D07CA"/>
    <w:rsid w:val="000D0F4F"/>
    <w:rsid w:val="000D2401"/>
    <w:rsid w:val="000D2678"/>
    <w:rsid w:val="000D707E"/>
    <w:rsid w:val="000E04C5"/>
    <w:rsid w:val="000E0C74"/>
    <w:rsid w:val="000E5208"/>
    <w:rsid w:val="000E5338"/>
    <w:rsid w:val="000E5ECC"/>
    <w:rsid w:val="000E60A5"/>
    <w:rsid w:val="000E61F0"/>
    <w:rsid w:val="000F13D4"/>
    <w:rsid w:val="000F230E"/>
    <w:rsid w:val="000F2916"/>
    <w:rsid w:val="000F5F2C"/>
    <w:rsid w:val="000F630B"/>
    <w:rsid w:val="00100D26"/>
    <w:rsid w:val="001033D3"/>
    <w:rsid w:val="0010650B"/>
    <w:rsid w:val="00106B3F"/>
    <w:rsid w:val="00107189"/>
    <w:rsid w:val="00107B12"/>
    <w:rsid w:val="0011396A"/>
    <w:rsid w:val="00115619"/>
    <w:rsid w:val="0012491C"/>
    <w:rsid w:val="00125DA7"/>
    <w:rsid w:val="001274E4"/>
    <w:rsid w:val="001307E8"/>
    <w:rsid w:val="001329E5"/>
    <w:rsid w:val="00132A89"/>
    <w:rsid w:val="001340B3"/>
    <w:rsid w:val="001379AA"/>
    <w:rsid w:val="0014434D"/>
    <w:rsid w:val="001474B5"/>
    <w:rsid w:val="001522DD"/>
    <w:rsid w:val="001547D2"/>
    <w:rsid w:val="00154DBC"/>
    <w:rsid w:val="00157C03"/>
    <w:rsid w:val="001602E5"/>
    <w:rsid w:val="00160C23"/>
    <w:rsid w:val="00164210"/>
    <w:rsid w:val="00164DC2"/>
    <w:rsid w:val="001651F2"/>
    <w:rsid w:val="00167D7C"/>
    <w:rsid w:val="001708BB"/>
    <w:rsid w:val="001734B0"/>
    <w:rsid w:val="00174C57"/>
    <w:rsid w:val="00176D61"/>
    <w:rsid w:val="00177E50"/>
    <w:rsid w:val="00180059"/>
    <w:rsid w:val="00181213"/>
    <w:rsid w:val="0018159F"/>
    <w:rsid w:val="00181758"/>
    <w:rsid w:val="001823DE"/>
    <w:rsid w:val="00182C5A"/>
    <w:rsid w:val="00184DD2"/>
    <w:rsid w:val="00186295"/>
    <w:rsid w:val="00187781"/>
    <w:rsid w:val="001908C9"/>
    <w:rsid w:val="0019133B"/>
    <w:rsid w:val="0019385F"/>
    <w:rsid w:val="001A2686"/>
    <w:rsid w:val="001A27EA"/>
    <w:rsid w:val="001B303C"/>
    <w:rsid w:val="001B50FB"/>
    <w:rsid w:val="001C0BC0"/>
    <w:rsid w:val="001C231D"/>
    <w:rsid w:val="001C24B3"/>
    <w:rsid w:val="001C3C72"/>
    <w:rsid w:val="001C68C8"/>
    <w:rsid w:val="001C7274"/>
    <w:rsid w:val="001C7C84"/>
    <w:rsid w:val="001C7F4C"/>
    <w:rsid w:val="001D24C7"/>
    <w:rsid w:val="001D28B2"/>
    <w:rsid w:val="001D4C5F"/>
    <w:rsid w:val="001D6608"/>
    <w:rsid w:val="001E1BD3"/>
    <w:rsid w:val="001E2BD3"/>
    <w:rsid w:val="001E5431"/>
    <w:rsid w:val="001E6DCA"/>
    <w:rsid w:val="001F04FD"/>
    <w:rsid w:val="001F088B"/>
    <w:rsid w:val="001F178C"/>
    <w:rsid w:val="001F2D3C"/>
    <w:rsid w:val="001F439B"/>
    <w:rsid w:val="001F544C"/>
    <w:rsid w:val="001F56CE"/>
    <w:rsid w:val="001F628A"/>
    <w:rsid w:val="001F7800"/>
    <w:rsid w:val="002023EE"/>
    <w:rsid w:val="002048F4"/>
    <w:rsid w:val="0020568C"/>
    <w:rsid w:val="002069EC"/>
    <w:rsid w:val="002118BD"/>
    <w:rsid w:val="00211B6B"/>
    <w:rsid w:val="00212A60"/>
    <w:rsid w:val="00216917"/>
    <w:rsid w:val="00217F10"/>
    <w:rsid w:val="00221910"/>
    <w:rsid w:val="00225AE8"/>
    <w:rsid w:val="00225B8E"/>
    <w:rsid w:val="002319FD"/>
    <w:rsid w:val="00231FB8"/>
    <w:rsid w:val="00232062"/>
    <w:rsid w:val="00233537"/>
    <w:rsid w:val="00234AC3"/>
    <w:rsid w:val="00235585"/>
    <w:rsid w:val="00236519"/>
    <w:rsid w:val="00236925"/>
    <w:rsid w:val="00237104"/>
    <w:rsid w:val="002405F8"/>
    <w:rsid w:val="00240DC5"/>
    <w:rsid w:val="0024501F"/>
    <w:rsid w:val="0024580A"/>
    <w:rsid w:val="00246954"/>
    <w:rsid w:val="00250E7E"/>
    <w:rsid w:val="00253C09"/>
    <w:rsid w:val="00255B02"/>
    <w:rsid w:val="0025742C"/>
    <w:rsid w:val="0025780F"/>
    <w:rsid w:val="00257D81"/>
    <w:rsid w:val="002608BC"/>
    <w:rsid w:val="00260C2F"/>
    <w:rsid w:val="00262AC3"/>
    <w:rsid w:val="00262E4D"/>
    <w:rsid w:val="00264FDD"/>
    <w:rsid w:val="00267D14"/>
    <w:rsid w:val="0027111E"/>
    <w:rsid w:val="0027166A"/>
    <w:rsid w:val="00272490"/>
    <w:rsid w:val="002732DF"/>
    <w:rsid w:val="00274CD9"/>
    <w:rsid w:val="002759F7"/>
    <w:rsid w:val="002811F5"/>
    <w:rsid w:val="002825AE"/>
    <w:rsid w:val="00286118"/>
    <w:rsid w:val="00287749"/>
    <w:rsid w:val="00287EA4"/>
    <w:rsid w:val="00295FCD"/>
    <w:rsid w:val="00296D45"/>
    <w:rsid w:val="002A1AB0"/>
    <w:rsid w:val="002A1E7F"/>
    <w:rsid w:val="002A5ACA"/>
    <w:rsid w:val="002A6179"/>
    <w:rsid w:val="002A7E5B"/>
    <w:rsid w:val="002B0C9C"/>
    <w:rsid w:val="002B39A0"/>
    <w:rsid w:val="002B4E71"/>
    <w:rsid w:val="002B6D58"/>
    <w:rsid w:val="002C3A6B"/>
    <w:rsid w:val="002C4F3A"/>
    <w:rsid w:val="002C612F"/>
    <w:rsid w:val="002C7A17"/>
    <w:rsid w:val="002C7A23"/>
    <w:rsid w:val="002D0329"/>
    <w:rsid w:val="002D033B"/>
    <w:rsid w:val="002D17E7"/>
    <w:rsid w:val="002D1FBB"/>
    <w:rsid w:val="002D263C"/>
    <w:rsid w:val="002D6C99"/>
    <w:rsid w:val="002D7714"/>
    <w:rsid w:val="002D7877"/>
    <w:rsid w:val="002E27EF"/>
    <w:rsid w:val="002E283F"/>
    <w:rsid w:val="002E490A"/>
    <w:rsid w:val="002E4AA0"/>
    <w:rsid w:val="002E4B0F"/>
    <w:rsid w:val="002E5555"/>
    <w:rsid w:val="002E5F1C"/>
    <w:rsid w:val="002F0131"/>
    <w:rsid w:val="002F0C40"/>
    <w:rsid w:val="002F18FE"/>
    <w:rsid w:val="002F204B"/>
    <w:rsid w:val="002F2F6F"/>
    <w:rsid w:val="002F32EB"/>
    <w:rsid w:val="002F412E"/>
    <w:rsid w:val="002F5550"/>
    <w:rsid w:val="00302838"/>
    <w:rsid w:val="0030348C"/>
    <w:rsid w:val="00304756"/>
    <w:rsid w:val="00304A23"/>
    <w:rsid w:val="00304C13"/>
    <w:rsid w:val="00305328"/>
    <w:rsid w:val="0031008D"/>
    <w:rsid w:val="00311F38"/>
    <w:rsid w:val="00314A3C"/>
    <w:rsid w:val="00314FCB"/>
    <w:rsid w:val="00322A9E"/>
    <w:rsid w:val="00322D30"/>
    <w:rsid w:val="00322DC7"/>
    <w:rsid w:val="00324289"/>
    <w:rsid w:val="003248CA"/>
    <w:rsid w:val="00325AA6"/>
    <w:rsid w:val="00333C3B"/>
    <w:rsid w:val="00335487"/>
    <w:rsid w:val="003359FB"/>
    <w:rsid w:val="0034016A"/>
    <w:rsid w:val="00343477"/>
    <w:rsid w:val="0034443E"/>
    <w:rsid w:val="00356BDF"/>
    <w:rsid w:val="00356F31"/>
    <w:rsid w:val="00360B5E"/>
    <w:rsid w:val="00362542"/>
    <w:rsid w:val="00365C19"/>
    <w:rsid w:val="0036617E"/>
    <w:rsid w:val="00370B6C"/>
    <w:rsid w:val="00373B13"/>
    <w:rsid w:val="003754A6"/>
    <w:rsid w:val="00376B3E"/>
    <w:rsid w:val="00380032"/>
    <w:rsid w:val="00381C3C"/>
    <w:rsid w:val="0038253B"/>
    <w:rsid w:val="00382F3E"/>
    <w:rsid w:val="00385055"/>
    <w:rsid w:val="0038516E"/>
    <w:rsid w:val="003861C1"/>
    <w:rsid w:val="003867A8"/>
    <w:rsid w:val="003867CB"/>
    <w:rsid w:val="003868A0"/>
    <w:rsid w:val="00386A84"/>
    <w:rsid w:val="00386D72"/>
    <w:rsid w:val="0038719F"/>
    <w:rsid w:val="00390F48"/>
    <w:rsid w:val="003918FF"/>
    <w:rsid w:val="00391F53"/>
    <w:rsid w:val="00393E3C"/>
    <w:rsid w:val="00394372"/>
    <w:rsid w:val="003970AB"/>
    <w:rsid w:val="00397D49"/>
    <w:rsid w:val="003A039C"/>
    <w:rsid w:val="003A1573"/>
    <w:rsid w:val="003A2B26"/>
    <w:rsid w:val="003A2F55"/>
    <w:rsid w:val="003B28BE"/>
    <w:rsid w:val="003B467D"/>
    <w:rsid w:val="003B4CCB"/>
    <w:rsid w:val="003B628A"/>
    <w:rsid w:val="003B7078"/>
    <w:rsid w:val="003C12DB"/>
    <w:rsid w:val="003C325E"/>
    <w:rsid w:val="003C60B9"/>
    <w:rsid w:val="003C6C7E"/>
    <w:rsid w:val="003D03AB"/>
    <w:rsid w:val="003D3B3C"/>
    <w:rsid w:val="003D6D98"/>
    <w:rsid w:val="003E0361"/>
    <w:rsid w:val="003E4935"/>
    <w:rsid w:val="003E6CAF"/>
    <w:rsid w:val="003F0606"/>
    <w:rsid w:val="003F0C47"/>
    <w:rsid w:val="003F2C99"/>
    <w:rsid w:val="003F413E"/>
    <w:rsid w:val="003F45CC"/>
    <w:rsid w:val="003F5BBD"/>
    <w:rsid w:val="003F70E1"/>
    <w:rsid w:val="003F7283"/>
    <w:rsid w:val="004009BC"/>
    <w:rsid w:val="00401019"/>
    <w:rsid w:val="00403C42"/>
    <w:rsid w:val="00407280"/>
    <w:rsid w:val="00410F41"/>
    <w:rsid w:val="00411D93"/>
    <w:rsid w:val="00414106"/>
    <w:rsid w:val="00417482"/>
    <w:rsid w:val="0042225B"/>
    <w:rsid w:val="004229AB"/>
    <w:rsid w:val="0042360E"/>
    <w:rsid w:val="004257B4"/>
    <w:rsid w:val="00425B45"/>
    <w:rsid w:val="004300F3"/>
    <w:rsid w:val="004359E4"/>
    <w:rsid w:val="004365BA"/>
    <w:rsid w:val="004369FF"/>
    <w:rsid w:val="00437829"/>
    <w:rsid w:val="004403A5"/>
    <w:rsid w:val="00440664"/>
    <w:rsid w:val="00446FF4"/>
    <w:rsid w:val="00447098"/>
    <w:rsid w:val="00447281"/>
    <w:rsid w:val="00451393"/>
    <w:rsid w:val="0045366E"/>
    <w:rsid w:val="004536FD"/>
    <w:rsid w:val="0045466D"/>
    <w:rsid w:val="0045681E"/>
    <w:rsid w:val="0045699F"/>
    <w:rsid w:val="004577C0"/>
    <w:rsid w:val="00457B9D"/>
    <w:rsid w:val="004669DF"/>
    <w:rsid w:val="00467542"/>
    <w:rsid w:val="00467A4F"/>
    <w:rsid w:val="00467F92"/>
    <w:rsid w:val="004706D5"/>
    <w:rsid w:val="00470AD8"/>
    <w:rsid w:val="00471D68"/>
    <w:rsid w:val="0047393E"/>
    <w:rsid w:val="0047545F"/>
    <w:rsid w:val="00476CE9"/>
    <w:rsid w:val="00476D38"/>
    <w:rsid w:val="0048174F"/>
    <w:rsid w:val="004867EB"/>
    <w:rsid w:val="004905F1"/>
    <w:rsid w:val="00494FEE"/>
    <w:rsid w:val="00496A70"/>
    <w:rsid w:val="00497709"/>
    <w:rsid w:val="004977E4"/>
    <w:rsid w:val="004A5282"/>
    <w:rsid w:val="004A5AB9"/>
    <w:rsid w:val="004B020E"/>
    <w:rsid w:val="004B18D2"/>
    <w:rsid w:val="004B1E5E"/>
    <w:rsid w:val="004B2202"/>
    <w:rsid w:val="004B22BC"/>
    <w:rsid w:val="004B2CD8"/>
    <w:rsid w:val="004B3B02"/>
    <w:rsid w:val="004B4CDA"/>
    <w:rsid w:val="004B5396"/>
    <w:rsid w:val="004B692D"/>
    <w:rsid w:val="004B6A20"/>
    <w:rsid w:val="004C12AD"/>
    <w:rsid w:val="004C1BAD"/>
    <w:rsid w:val="004C3F40"/>
    <w:rsid w:val="004C40F0"/>
    <w:rsid w:val="004C5246"/>
    <w:rsid w:val="004C5782"/>
    <w:rsid w:val="004C5F43"/>
    <w:rsid w:val="004C6F60"/>
    <w:rsid w:val="004D0217"/>
    <w:rsid w:val="004D1420"/>
    <w:rsid w:val="004D195E"/>
    <w:rsid w:val="004D2E89"/>
    <w:rsid w:val="004D5553"/>
    <w:rsid w:val="004F22E4"/>
    <w:rsid w:val="004F2D22"/>
    <w:rsid w:val="004F4493"/>
    <w:rsid w:val="004F4B6D"/>
    <w:rsid w:val="004F673A"/>
    <w:rsid w:val="005000A3"/>
    <w:rsid w:val="00501ABB"/>
    <w:rsid w:val="00504F15"/>
    <w:rsid w:val="005102CA"/>
    <w:rsid w:val="005115F8"/>
    <w:rsid w:val="00511BB4"/>
    <w:rsid w:val="0051405A"/>
    <w:rsid w:val="005155B4"/>
    <w:rsid w:val="00516FBC"/>
    <w:rsid w:val="0052145B"/>
    <w:rsid w:val="0052167E"/>
    <w:rsid w:val="0052233E"/>
    <w:rsid w:val="00523309"/>
    <w:rsid w:val="00523FAD"/>
    <w:rsid w:val="00524C0F"/>
    <w:rsid w:val="00526006"/>
    <w:rsid w:val="00526E3C"/>
    <w:rsid w:val="00527E38"/>
    <w:rsid w:val="005311A9"/>
    <w:rsid w:val="0053227B"/>
    <w:rsid w:val="005365B3"/>
    <w:rsid w:val="00536F84"/>
    <w:rsid w:val="005409B2"/>
    <w:rsid w:val="00540AFE"/>
    <w:rsid w:val="00542DD8"/>
    <w:rsid w:val="00544830"/>
    <w:rsid w:val="00545A38"/>
    <w:rsid w:val="00550120"/>
    <w:rsid w:val="0055208D"/>
    <w:rsid w:val="005537F7"/>
    <w:rsid w:val="0055529F"/>
    <w:rsid w:val="005553B9"/>
    <w:rsid w:val="0055604D"/>
    <w:rsid w:val="00557EEB"/>
    <w:rsid w:val="0056070E"/>
    <w:rsid w:val="005637E2"/>
    <w:rsid w:val="005638C6"/>
    <w:rsid w:val="00563F51"/>
    <w:rsid w:val="005656D8"/>
    <w:rsid w:val="00565AEE"/>
    <w:rsid w:val="00571C4C"/>
    <w:rsid w:val="00572FA9"/>
    <w:rsid w:val="00577EFB"/>
    <w:rsid w:val="00584C7D"/>
    <w:rsid w:val="005856D1"/>
    <w:rsid w:val="005857AA"/>
    <w:rsid w:val="00591E32"/>
    <w:rsid w:val="00592199"/>
    <w:rsid w:val="00593446"/>
    <w:rsid w:val="00594211"/>
    <w:rsid w:val="00596822"/>
    <w:rsid w:val="00596D65"/>
    <w:rsid w:val="005A0F05"/>
    <w:rsid w:val="005A2EBE"/>
    <w:rsid w:val="005A3C33"/>
    <w:rsid w:val="005A424D"/>
    <w:rsid w:val="005A5041"/>
    <w:rsid w:val="005A52F1"/>
    <w:rsid w:val="005B0C97"/>
    <w:rsid w:val="005B12C3"/>
    <w:rsid w:val="005B1548"/>
    <w:rsid w:val="005B375B"/>
    <w:rsid w:val="005B4944"/>
    <w:rsid w:val="005C10E3"/>
    <w:rsid w:val="005C1EB1"/>
    <w:rsid w:val="005C217A"/>
    <w:rsid w:val="005C304F"/>
    <w:rsid w:val="005C30D8"/>
    <w:rsid w:val="005D0385"/>
    <w:rsid w:val="005D428C"/>
    <w:rsid w:val="005D7E79"/>
    <w:rsid w:val="005E06F4"/>
    <w:rsid w:val="005E0C47"/>
    <w:rsid w:val="005E374E"/>
    <w:rsid w:val="005E409A"/>
    <w:rsid w:val="005E6329"/>
    <w:rsid w:val="005F0119"/>
    <w:rsid w:val="005F2796"/>
    <w:rsid w:val="005F2FD4"/>
    <w:rsid w:val="005F52BE"/>
    <w:rsid w:val="005F5C23"/>
    <w:rsid w:val="00600B02"/>
    <w:rsid w:val="00601CE4"/>
    <w:rsid w:val="00602901"/>
    <w:rsid w:val="00602EF0"/>
    <w:rsid w:val="00603DF6"/>
    <w:rsid w:val="0060685A"/>
    <w:rsid w:val="00610286"/>
    <w:rsid w:val="0061029F"/>
    <w:rsid w:val="00610D0A"/>
    <w:rsid w:val="00615B93"/>
    <w:rsid w:val="006204A2"/>
    <w:rsid w:val="0062486C"/>
    <w:rsid w:val="00624BAA"/>
    <w:rsid w:val="0063336C"/>
    <w:rsid w:val="00633D6D"/>
    <w:rsid w:val="006355E1"/>
    <w:rsid w:val="0063649E"/>
    <w:rsid w:val="0064131E"/>
    <w:rsid w:val="006416C7"/>
    <w:rsid w:val="00642BCE"/>
    <w:rsid w:val="00643871"/>
    <w:rsid w:val="006445F4"/>
    <w:rsid w:val="00644DE0"/>
    <w:rsid w:val="00646664"/>
    <w:rsid w:val="006479C5"/>
    <w:rsid w:val="00650BA0"/>
    <w:rsid w:val="00651920"/>
    <w:rsid w:val="00651F2F"/>
    <w:rsid w:val="006521E6"/>
    <w:rsid w:val="0065239D"/>
    <w:rsid w:val="00653116"/>
    <w:rsid w:val="006544E2"/>
    <w:rsid w:val="00655561"/>
    <w:rsid w:val="0065616C"/>
    <w:rsid w:val="00657494"/>
    <w:rsid w:val="00660658"/>
    <w:rsid w:val="00661768"/>
    <w:rsid w:val="0066273C"/>
    <w:rsid w:val="00663ABA"/>
    <w:rsid w:val="00671070"/>
    <w:rsid w:val="00671E96"/>
    <w:rsid w:val="006725AF"/>
    <w:rsid w:val="006751BA"/>
    <w:rsid w:val="006754AA"/>
    <w:rsid w:val="00676111"/>
    <w:rsid w:val="006775F3"/>
    <w:rsid w:val="00677B8A"/>
    <w:rsid w:val="006807BF"/>
    <w:rsid w:val="00680EF2"/>
    <w:rsid w:val="0068173F"/>
    <w:rsid w:val="00682518"/>
    <w:rsid w:val="0068788A"/>
    <w:rsid w:val="006911BB"/>
    <w:rsid w:val="00693196"/>
    <w:rsid w:val="0069484A"/>
    <w:rsid w:val="00694E52"/>
    <w:rsid w:val="0069603F"/>
    <w:rsid w:val="00696716"/>
    <w:rsid w:val="00696CE3"/>
    <w:rsid w:val="00697C07"/>
    <w:rsid w:val="00697FF7"/>
    <w:rsid w:val="006A0E65"/>
    <w:rsid w:val="006A2188"/>
    <w:rsid w:val="006A5496"/>
    <w:rsid w:val="006A6427"/>
    <w:rsid w:val="006A7E58"/>
    <w:rsid w:val="006B0A41"/>
    <w:rsid w:val="006B3C1C"/>
    <w:rsid w:val="006B3F44"/>
    <w:rsid w:val="006B481C"/>
    <w:rsid w:val="006C0AFF"/>
    <w:rsid w:val="006C2814"/>
    <w:rsid w:val="006C29C3"/>
    <w:rsid w:val="006C2BA6"/>
    <w:rsid w:val="006C31F4"/>
    <w:rsid w:val="006C497A"/>
    <w:rsid w:val="006D2CD4"/>
    <w:rsid w:val="006D34D0"/>
    <w:rsid w:val="006D5B6E"/>
    <w:rsid w:val="006D5F12"/>
    <w:rsid w:val="006D6F9D"/>
    <w:rsid w:val="006D7243"/>
    <w:rsid w:val="006D7F78"/>
    <w:rsid w:val="006E10A6"/>
    <w:rsid w:val="006E2ED0"/>
    <w:rsid w:val="006E483B"/>
    <w:rsid w:val="006E54BF"/>
    <w:rsid w:val="006E68F8"/>
    <w:rsid w:val="006F02EB"/>
    <w:rsid w:val="006F0D97"/>
    <w:rsid w:val="006F1FBD"/>
    <w:rsid w:val="006F2E9F"/>
    <w:rsid w:val="006F3A8D"/>
    <w:rsid w:val="006F7471"/>
    <w:rsid w:val="00700417"/>
    <w:rsid w:val="0070371A"/>
    <w:rsid w:val="00705C22"/>
    <w:rsid w:val="00707371"/>
    <w:rsid w:val="00707CB9"/>
    <w:rsid w:val="00711098"/>
    <w:rsid w:val="007145F7"/>
    <w:rsid w:val="00716CE6"/>
    <w:rsid w:val="00720C29"/>
    <w:rsid w:val="0072191D"/>
    <w:rsid w:val="00721D94"/>
    <w:rsid w:val="00723DD6"/>
    <w:rsid w:val="00724CF1"/>
    <w:rsid w:val="00727622"/>
    <w:rsid w:val="00730121"/>
    <w:rsid w:val="00732601"/>
    <w:rsid w:val="00733A49"/>
    <w:rsid w:val="00734913"/>
    <w:rsid w:val="007365A2"/>
    <w:rsid w:val="007450D6"/>
    <w:rsid w:val="00753654"/>
    <w:rsid w:val="007546FD"/>
    <w:rsid w:val="007552C5"/>
    <w:rsid w:val="00761C1E"/>
    <w:rsid w:val="00762E3F"/>
    <w:rsid w:val="00762E9F"/>
    <w:rsid w:val="007636A3"/>
    <w:rsid w:val="00764239"/>
    <w:rsid w:val="007667BF"/>
    <w:rsid w:val="007677D5"/>
    <w:rsid w:val="007704BF"/>
    <w:rsid w:val="00772447"/>
    <w:rsid w:val="007729B2"/>
    <w:rsid w:val="00772D5F"/>
    <w:rsid w:val="00772D8F"/>
    <w:rsid w:val="00773184"/>
    <w:rsid w:val="00775068"/>
    <w:rsid w:val="007801A3"/>
    <w:rsid w:val="0078154A"/>
    <w:rsid w:val="0078370D"/>
    <w:rsid w:val="00783B27"/>
    <w:rsid w:val="00786D00"/>
    <w:rsid w:val="0078711B"/>
    <w:rsid w:val="0078730A"/>
    <w:rsid w:val="0079043C"/>
    <w:rsid w:val="007955B1"/>
    <w:rsid w:val="00796915"/>
    <w:rsid w:val="00797FC9"/>
    <w:rsid w:val="007A24BE"/>
    <w:rsid w:val="007A2FFF"/>
    <w:rsid w:val="007A6681"/>
    <w:rsid w:val="007B080C"/>
    <w:rsid w:val="007B7B80"/>
    <w:rsid w:val="007B7C59"/>
    <w:rsid w:val="007C0ACD"/>
    <w:rsid w:val="007C1C2D"/>
    <w:rsid w:val="007C1C74"/>
    <w:rsid w:val="007C591D"/>
    <w:rsid w:val="007C7225"/>
    <w:rsid w:val="007C77AA"/>
    <w:rsid w:val="007D1A36"/>
    <w:rsid w:val="007D369A"/>
    <w:rsid w:val="007D3B78"/>
    <w:rsid w:val="007D3EB6"/>
    <w:rsid w:val="007D6004"/>
    <w:rsid w:val="007D60EA"/>
    <w:rsid w:val="007D6F88"/>
    <w:rsid w:val="007D703C"/>
    <w:rsid w:val="007D7195"/>
    <w:rsid w:val="007D741D"/>
    <w:rsid w:val="007D74B2"/>
    <w:rsid w:val="007E2602"/>
    <w:rsid w:val="007E47D4"/>
    <w:rsid w:val="007E4F4E"/>
    <w:rsid w:val="007E5070"/>
    <w:rsid w:val="007E7028"/>
    <w:rsid w:val="007E7651"/>
    <w:rsid w:val="007F0170"/>
    <w:rsid w:val="007F0CC6"/>
    <w:rsid w:val="007F0ED4"/>
    <w:rsid w:val="007F4318"/>
    <w:rsid w:val="007F4633"/>
    <w:rsid w:val="007F47C6"/>
    <w:rsid w:val="007F6FB0"/>
    <w:rsid w:val="008013F0"/>
    <w:rsid w:val="008021EA"/>
    <w:rsid w:val="00803A21"/>
    <w:rsid w:val="008043B6"/>
    <w:rsid w:val="00805C3F"/>
    <w:rsid w:val="0080610D"/>
    <w:rsid w:val="008116A2"/>
    <w:rsid w:val="00811EE1"/>
    <w:rsid w:val="00812394"/>
    <w:rsid w:val="0081400C"/>
    <w:rsid w:val="008141CD"/>
    <w:rsid w:val="00815E0F"/>
    <w:rsid w:val="00817FE6"/>
    <w:rsid w:val="0082012C"/>
    <w:rsid w:val="0082074B"/>
    <w:rsid w:val="00822721"/>
    <w:rsid w:val="00823C9D"/>
    <w:rsid w:val="00830C32"/>
    <w:rsid w:val="0083323F"/>
    <w:rsid w:val="00835C99"/>
    <w:rsid w:val="00840D76"/>
    <w:rsid w:val="008510E6"/>
    <w:rsid w:val="0085122C"/>
    <w:rsid w:val="008520FC"/>
    <w:rsid w:val="00854517"/>
    <w:rsid w:val="00860558"/>
    <w:rsid w:val="008651DF"/>
    <w:rsid w:val="00866F57"/>
    <w:rsid w:val="00867C8C"/>
    <w:rsid w:val="00871DF7"/>
    <w:rsid w:val="0087213F"/>
    <w:rsid w:val="008721D5"/>
    <w:rsid w:val="00873BDE"/>
    <w:rsid w:val="00880965"/>
    <w:rsid w:val="00882392"/>
    <w:rsid w:val="00884683"/>
    <w:rsid w:val="008859BE"/>
    <w:rsid w:val="00891607"/>
    <w:rsid w:val="00894FEB"/>
    <w:rsid w:val="008971A4"/>
    <w:rsid w:val="008A0101"/>
    <w:rsid w:val="008A154D"/>
    <w:rsid w:val="008A4E47"/>
    <w:rsid w:val="008A4FB1"/>
    <w:rsid w:val="008A5343"/>
    <w:rsid w:val="008A5348"/>
    <w:rsid w:val="008A5C06"/>
    <w:rsid w:val="008A6893"/>
    <w:rsid w:val="008A7A06"/>
    <w:rsid w:val="008B0B0B"/>
    <w:rsid w:val="008B21FF"/>
    <w:rsid w:val="008B2468"/>
    <w:rsid w:val="008B302E"/>
    <w:rsid w:val="008B364D"/>
    <w:rsid w:val="008B471D"/>
    <w:rsid w:val="008B4D87"/>
    <w:rsid w:val="008B7341"/>
    <w:rsid w:val="008C2AEB"/>
    <w:rsid w:val="008C744F"/>
    <w:rsid w:val="008C7798"/>
    <w:rsid w:val="008D0959"/>
    <w:rsid w:val="008D4AFC"/>
    <w:rsid w:val="008D52B1"/>
    <w:rsid w:val="008E7003"/>
    <w:rsid w:val="008F13D1"/>
    <w:rsid w:val="008F19E2"/>
    <w:rsid w:val="008F2AA3"/>
    <w:rsid w:val="008F5048"/>
    <w:rsid w:val="008F5CB1"/>
    <w:rsid w:val="00900A95"/>
    <w:rsid w:val="0090211A"/>
    <w:rsid w:val="00902DAC"/>
    <w:rsid w:val="0090574E"/>
    <w:rsid w:val="00906139"/>
    <w:rsid w:val="00907DC4"/>
    <w:rsid w:val="009109DE"/>
    <w:rsid w:val="00912E33"/>
    <w:rsid w:val="00913479"/>
    <w:rsid w:val="0091792B"/>
    <w:rsid w:val="00922AA4"/>
    <w:rsid w:val="0092471A"/>
    <w:rsid w:val="00926652"/>
    <w:rsid w:val="009300CE"/>
    <w:rsid w:val="00930372"/>
    <w:rsid w:val="0093182A"/>
    <w:rsid w:val="00931E4B"/>
    <w:rsid w:val="009322D3"/>
    <w:rsid w:val="0093757E"/>
    <w:rsid w:val="0094060F"/>
    <w:rsid w:val="00941757"/>
    <w:rsid w:val="00942D21"/>
    <w:rsid w:val="00943020"/>
    <w:rsid w:val="0094309D"/>
    <w:rsid w:val="00943673"/>
    <w:rsid w:val="0094397C"/>
    <w:rsid w:val="0095000E"/>
    <w:rsid w:val="009509EE"/>
    <w:rsid w:val="00950D49"/>
    <w:rsid w:val="0095365D"/>
    <w:rsid w:val="00954126"/>
    <w:rsid w:val="009572DD"/>
    <w:rsid w:val="00957A9E"/>
    <w:rsid w:val="00961003"/>
    <w:rsid w:val="0096185D"/>
    <w:rsid w:val="00962F6A"/>
    <w:rsid w:val="0096369D"/>
    <w:rsid w:val="009648CA"/>
    <w:rsid w:val="009669EB"/>
    <w:rsid w:val="0097317D"/>
    <w:rsid w:val="00973916"/>
    <w:rsid w:val="00973BB5"/>
    <w:rsid w:val="0097528D"/>
    <w:rsid w:val="009778BC"/>
    <w:rsid w:val="00977FA1"/>
    <w:rsid w:val="00980249"/>
    <w:rsid w:val="009826B5"/>
    <w:rsid w:val="00982C6B"/>
    <w:rsid w:val="00983629"/>
    <w:rsid w:val="00984CB7"/>
    <w:rsid w:val="0098522D"/>
    <w:rsid w:val="009856CB"/>
    <w:rsid w:val="00985718"/>
    <w:rsid w:val="0098579E"/>
    <w:rsid w:val="00990248"/>
    <w:rsid w:val="00994D7D"/>
    <w:rsid w:val="00996AB2"/>
    <w:rsid w:val="009A049C"/>
    <w:rsid w:val="009A15E3"/>
    <w:rsid w:val="009A1839"/>
    <w:rsid w:val="009A4672"/>
    <w:rsid w:val="009A7070"/>
    <w:rsid w:val="009B0585"/>
    <w:rsid w:val="009B3ABC"/>
    <w:rsid w:val="009B4ACA"/>
    <w:rsid w:val="009B73C7"/>
    <w:rsid w:val="009B7CAB"/>
    <w:rsid w:val="009C0A9E"/>
    <w:rsid w:val="009C111C"/>
    <w:rsid w:val="009C16C1"/>
    <w:rsid w:val="009C1B9E"/>
    <w:rsid w:val="009C2F8C"/>
    <w:rsid w:val="009C6788"/>
    <w:rsid w:val="009C6844"/>
    <w:rsid w:val="009D1579"/>
    <w:rsid w:val="009D1EA3"/>
    <w:rsid w:val="009D3EBB"/>
    <w:rsid w:val="009D4F89"/>
    <w:rsid w:val="009D5EB5"/>
    <w:rsid w:val="009D6003"/>
    <w:rsid w:val="009E0E6A"/>
    <w:rsid w:val="009E148C"/>
    <w:rsid w:val="009E1691"/>
    <w:rsid w:val="009E5F55"/>
    <w:rsid w:val="009E60AB"/>
    <w:rsid w:val="009F03FE"/>
    <w:rsid w:val="009F37B6"/>
    <w:rsid w:val="009F669D"/>
    <w:rsid w:val="00A00404"/>
    <w:rsid w:val="00A019B4"/>
    <w:rsid w:val="00A02ADB"/>
    <w:rsid w:val="00A04151"/>
    <w:rsid w:val="00A04AFA"/>
    <w:rsid w:val="00A06D8A"/>
    <w:rsid w:val="00A10355"/>
    <w:rsid w:val="00A112DA"/>
    <w:rsid w:val="00A1268D"/>
    <w:rsid w:val="00A12B77"/>
    <w:rsid w:val="00A13F98"/>
    <w:rsid w:val="00A14A5A"/>
    <w:rsid w:val="00A15F65"/>
    <w:rsid w:val="00A1632A"/>
    <w:rsid w:val="00A16894"/>
    <w:rsid w:val="00A17802"/>
    <w:rsid w:val="00A2368D"/>
    <w:rsid w:val="00A23B90"/>
    <w:rsid w:val="00A26D0D"/>
    <w:rsid w:val="00A31CE7"/>
    <w:rsid w:val="00A32043"/>
    <w:rsid w:val="00A3244F"/>
    <w:rsid w:val="00A33FE4"/>
    <w:rsid w:val="00A365AF"/>
    <w:rsid w:val="00A401AA"/>
    <w:rsid w:val="00A43288"/>
    <w:rsid w:val="00A4572F"/>
    <w:rsid w:val="00A46142"/>
    <w:rsid w:val="00A46F33"/>
    <w:rsid w:val="00A50464"/>
    <w:rsid w:val="00A53440"/>
    <w:rsid w:val="00A53488"/>
    <w:rsid w:val="00A56241"/>
    <w:rsid w:val="00A61B18"/>
    <w:rsid w:val="00A66C7E"/>
    <w:rsid w:val="00A67416"/>
    <w:rsid w:val="00A675F7"/>
    <w:rsid w:val="00A70D48"/>
    <w:rsid w:val="00A71D1B"/>
    <w:rsid w:val="00A74227"/>
    <w:rsid w:val="00A7538A"/>
    <w:rsid w:val="00A75BE2"/>
    <w:rsid w:val="00A76D00"/>
    <w:rsid w:val="00A77008"/>
    <w:rsid w:val="00A77657"/>
    <w:rsid w:val="00A8014C"/>
    <w:rsid w:val="00A80639"/>
    <w:rsid w:val="00A812D7"/>
    <w:rsid w:val="00A83AA3"/>
    <w:rsid w:val="00A872BA"/>
    <w:rsid w:val="00A9276C"/>
    <w:rsid w:val="00A94100"/>
    <w:rsid w:val="00A94E6E"/>
    <w:rsid w:val="00A95932"/>
    <w:rsid w:val="00AA26D5"/>
    <w:rsid w:val="00AA42DD"/>
    <w:rsid w:val="00AA4C43"/>
    <w:rsid w:val="00AA62F7"/>
    <w:rsid w:val="00AB1B3E"/>
    <w:rsid w:val="00AB2942"/>
    <w:rsid w:val="00AB2FE6"/>
    <w:rsid w:val="00AB34D8"/>
    <w:rsid w:val="00AB46AA"/>
    <w:rsid w:val="00AB558B"/>
    <w:rsid w:val="00AB5AB5"/>
    <w:rsid w:val="00AB65D0"/>
    <w:rsid w:val="00AC1660"/>
    <w:rsid w:val="00AC518A"/>
    <w:rsid w:val="00AD0243"/>
    <w:rsid w:val="00AD04B8"/>
    <w:rsid w:val="00AD1BBA"/>
    <w:rsid w:val="00AD33B5"/>
    <w:rsid w:val="00AD357E"/>
    <w:rsid w:val="00AD5AB2"/>
    <w:rsid w:val="00AD7DB9"/>
    <w:rsid w:val="00AE3390"/>
    <w:rsid w:val="00AE4AA2"/>
    <w:rsid w:val="00AE67D5"/>
    <w:rsid w:val="00AF15AD"/>
    <w:rsid w:val="00AF509A"/>
    <w:rsid w:val="00B004B7"/>
    <w:rsid w:val="00B0210D"/>
    <w:rsid w:val="00B02749"/>
    <w:rsid w:val="00B041EC"/>
    <w:rsid w:val="00B1210C"/>
    <w:rsid w:val="00B12D5B"/>
    <w:rsid w:val="00B13B71"/>
    <w:rsid w:val="00B15DF7"/>
    <w:rsid w:val="00B2226B"/>
    <w:rsid w:val="00B22430"/>
    <w:rsid w:val="00B24CF7"/>
    <w:rsid w:val="00B24EF8"/>
    <w:rsid w:val="00B26DA7"/>
    <w:rsid w:val="00B26F3D"/>
    <w:rsid w:val="00B31975"/>
    <w:rsid w:val="00B31F37"/>
    <w:rsid w:val="00B33923"/>
    <w:rsid w:val="00B33CBF"/>
    <w:rsid w:val="00B34CF8"/>
    <w:rsid w:val="00B356CF"/>
    <w:rsid w:val="00B35715"/>
    <w:rsid w:val="00B378D1"/>
    <w:rsid w:val="00B40B6F"/>
    <w:rsid w:val="00B43045"/>
    <w:rsid w:val="00B454BB"/>
    <w:rsid w:val="00B4779D"/>
    <w:rsid w:val="00B5170C"/>
    <w:rsid w:val="00B51723"/>
    <w:rsid w:val="00B52430"/>
    <w:rsid w:val="00B54125"/>
    <w:rsid w:val="00B56284"/>
    <w:rsid w:val="00B60B1B"/>
    <w:rsid w:val="00B645B5"/>
    <w:rsid w:val="00B65968"/>
    <w:rsid w:val="00B659B6"/>
    <w:rsid w:val="00B70E85"/>
    <w:rsid w:val="00B74A41"/>
    <w:rsid w:val="00B82764"/>
    <w:rsid w:val="00B838E2"/>
    <w:rsid w:val="00B845D8"/>
    <w:rsid w:val="00B849C7"/>
    <w:rsid w:val="00B84EF5"/>
    <w:rsid w:val="00B86088"/>
    <w:rsid w:val="00B864CB"/>
    <w:rsid w:val="00B875D1"/>
    <w:rsid w:val="00B91E32"/>
    <w:rsid w:val="00B9266D"/>
    <w:rsid w:val="00B942D5"/>
    <w:rsid w:val="00B9682E"/>
    <w:rsid w:val="00B96F38"/>
    <w:rsid w:val="00BA244D"/>
    <w:rsid w:val="00BA466F"/>
    <w:rsid w:val="00BA5D44"/>
    <w:rsid w:val="00BA745B"/>
    <w:rsid w:val="00BA79BA"/>
    <w:rsid w:val="00BB12CA"/>
    <w:rsid w:val="00BB5516"/>
    <w:rsid w:val="00BB582F"/>
    <w:rsid w:val="00BB6CA4"/>
    <w:rsid w:val="00BC0F94"/>
    <w:rsid w:val="00BC178A"/>
    <w:rsid w:val="00BC19AB"/>
    <w:rsid w:val="00BC4802"/>
    <w:rsid w:val="00BC5B13"/>
    <w:rsid w:val="00BC5F50"/>
    <w:rsid w:val="00BC6D4E"/>
    <w:rsid w:val="00BC7242"/>
    <w:rsid w:val="00BC76B3"/>
    <w:rsid w:val="00BD0CA4"/>
    <w:rsid w:val="00BD0DC2"/>
    <w:rsid w:val="00BD3CBE"/>
    <w:rsid w:val="00BD4585"/>
    <w:rsid w:val="00BD464F"/>
    <w:rsid w:val="00BD6173"/>
    <w:rsid w:val="00BE1814"/>
    <w:rsid w:val="00BE2A1D"/>
    <w:rsid w:val="00BE7983"/>
    <w:rsid w:val="00BF0572"/>
    <w:rsid w:val="00BF0F29"/>
    <w:rsid w:val="00BF141F"/>
    <w:rsid w:val="00BF347E"/>
    <w:rsid w:val="00C00CAC"/>
    <w:rsid w:val="00C02811"/>
    <w:rsid w:val="00C02F0F"/>
    <w:rsid w:val="00C046A4"/>
    <w:rsid w:val="00C06CBA"/>
    <w:rsid w:val="00C13D78"/>
    <w:rsid w:val="00C157A7"/>
    <w:rsid w:val="00C15DD4"/>
    <w:rsid w:val="00C163B2"/>
    <w:rsid w:val="00C175C0"/>
    <w:rsid w:val="00C22E0C"/>
    <w:rsid w:val="00C257E0"/>
    <w:rsid w:val="00C307ED"/>
    <w:rsid w:val="00C310E2"/>
    <w:rsid w:val="00C31928"/>
    <w:rsid w:val="00C31A81"/>
    <w:rsid w:val="00C32274"/>
    <w:rsid w:val="00C348B1"/>
    <w:rsid w:val="00C35520"/>
    <w:rsid w:val="00C35797"/>
    <w:rsid w:val="00C363DB"/>
    <w:rsid w:val="00C37A03"/>
    <w:rsid w:val="00C413C9"/>
    <w:rsid w:val="00C44724"/>
    <w:rsid w:val="00C450A5"/>
    <w:rsid w:val="00C51478"/>
    <w:rsid w:val="00C51EA4"/>
    <w:rsid w:val="00C51FAE"/>
    <w:rsid w:val="00C531D0"/>
    <w:rsid w:val="00C53F0F"/>
    <w:rsid w:val="00C541AC"/>
    <w:rsid w:val="00C54DE2"/>
    <w:rsid w:val="00C55A42"/>
    <w:rsid w:val="00C603D7"/>
    <w:rsid w:val="00C62C07"/>
    <w:rsid w:val="00C62ECC"/>
    <w:rsid w:val="00C65D06"/>
    <w:rsid w:val="00C708DA"/>
    <w:rsid w:val="00C7432A"/>
    <w:rsid w:val="00C74D58"/>
    <w:rsid w:val="00C76B21"/>
    <w:rsid w:val="00C76F33"/>
    <w:rsid w:val="00C9239E"/>
    <w:rsid w:val="00C933AC"/>
    <w:rsid w:val="00C944E5"/>
    <w:rsid w:val="00C94767"/>
    <w:rsid w:val="00CA3AB6"/>
    <w:rsid w:val="00CA42E0"/>
    <w:rsid w:val="00CA45A4"/>
    <w:rsid w:val="00CA4696"/>
    <w:rsid w:val="00CA5910"/>
    <w:rsid w:val="00CB06BC"/>
    <w:rsid w:val="00CB188A"/>
    <w:rsid w:val="00CB207F"/>
    <w:rsid w:val="00CB29C6"/>
    <w:rsid w:val="00CB2EED"/>
    <w:rsid w:val="00CB4A9C"/>
    <w:rsid w:val="00CB4C68"/>
    <w:rsid w:val="00CB5339"/>
    <w:rsid w:val="00CB54E6"/>
    <w:rsid w:val="00CB6438"/>
    <w:rsid w:val="00CB7D27"/>
    <w:rsid w:val="00CC521E"/>
    <w:rsid w:val="00CC74F4"/>
    <w:rsid w:val="00CD2E4D"/>
    <w:rsid w:val="00CD56A3"/>
    <w:rsid w:val="00CD7211"/>
    <w:rsid w:val="00CD7819"/>
    <w:rsid w:val="00CD7BA4"/>
    <w:rsid w:val="00CE1C16"/>
    <w:rsid w:val="00CE2765"/>
    <w:rsid w:val="00CE2F50"/>
    <w:rsid w:val="00CE4DBB"/>
    <w:rsid w:val="00CE6EA0"/>
    <w:rsid w:val="00CF01CC"/>
    <w:rsid w:val="00D005D1"/>
    <w:rsid w:val="00D01042"/>
    <w:rsid w:val="00D01EC9"/>
    <w:rsid w:val="00D03472"/>
    <w:rsid w:val="00D03AC4"/>
    <w:rsid w:val="00D07AAD"/>
    <w:rsid w:val="00D109F3"/>
    <w:rsid w:val="00D128BB"/>
    <w:rsid w:val="00D1364A"/>
    <w:rsid w:val="00D13E96"/>
    <w:rsid w:val="00D15B8D"/>
    <w:rsid w:val="00D164B2"/>
    <w:rsid w:val="00D17CDB"/>
    <w:rsid w:val="00D20509"/>
    <w:rsid w:val="00D210BC"/>
    <w:rsid w:val="00D229B5"/>
    <w:rsid w:val="00D2666E"/>
    <w:rsid w:val="00D27525"/>
    <w:rsid w:val="00D3083F"/>
    <w:rsid w:val="00D30BCF"/>
    <w:rsid w:val="00D34D18"/>
    <w:rsid w:val="00D35EC1"/>
    <w:rsid w:val="00D40C09"/>
    <w:rsid w:val="00D40C0F"/>
    <w:rsid w:val="00D42752"/>
    <w:rsid w:val="00D473F0"/>
    <w:rsid w:val="00D47FDF"/>
    <w:rsid w:val="00D52E97"/>
    <w:rsid w:val="00D537F4"/>
    <w:rsid w:val="00D574D7"/>
    <w:rsid w:val="00D57B1A"/>
    <w:rsid w:val="00D57C32"/>
    <w:rsid w:val="00D60BF9"/>
    <w:rsid w:val="00D61DA4"/>
    <w:rsid w:val="00D65F6D"/>
    <w:rsid w:val="00D66A5C"/>
    <w:rsid w:val="00D74378"/>
    <w:rsid w:val="00D80570"/>
    <w:rsid w:val="00D84819"/>
    <w:rsid w:val="00D87563"/>
    <w:rsid w:val="00D90062"/>
    <w:rsid w:val="00D9108B"/>
    <w:rsid w:val="00D936A0"/>
    <w:rsid w:val="00D96929"/>
    <w:rsid w:val="00DA07DB"/>
    <w:rsid w:val="00DA0955"/>
    <w:rsid w:val="00DA6B61"/>
    <w:rsid w:val="00DA761D"/>
    <w:rsid w:val="00DB0862"/>
    <w:rsid w:val="00DB3044"/>
    <w:rsid w:val="00DB4041"/>
    <w:rsid w:val="00DB67D2"/>
    <w:rsid w:val="00DB6D3B"/>
    <w:rsid w:val="00DC0365"/>
    <w:rsid w:val="00DC04D1"/>
    <w:rsid w:val="00DC0637"/>
    <w:rsid w:val="00DC2FD5"/>
    <w:rsid w:val="00DC599C"/>
    <w:rsid w:val="00DC7274"/>
    <w:rsid w:val="00DC74C6"/>
    <w:rsid w:val="00DC7766"/>
    <w:rsid w:val="00DD11D4"/>
    <w:rsid w:val="00DD419A"/>
    <w:rsid w:val="00DD4819"/>
    <w:rsid w:val="00DD5959"/>
    <w:rsid w:val="00DE2FFA"/>
    <w:rsid w:val="00DE3326"/>
    <w:rsid w:val="00DE3DF4"/>
    <w:rsid w:val="00DE4D04"/>
    <w:rsid w:val="00DE6FD3"/>
    <w:rsid w:val="00DF543F"/>
    <w:rsid w:val="00E02299"/>
    <w:rsid w:val="00E026AC"/>
    <w:rsid w:val="00E046C6"/>
    <w:rsid w:val="00E048AF"/>
    <w:rsid w:val="00E0522F"/>
    <w:rsid w:val="00E07FE1"/>
    <w:rsid w:val="00E11474"/>
    <w:rsid w:val="00E131C7"/>
    <w:rsid w:val="00E13C70"/>
    <w:rsid w:val="00E17DC5"/>
    <w:rsid w:val="00E220F4"/>
    <w:rsid w:val="00E221D5"/>
    <w:rsid w:val="00E23CBC"/>
    <w:rsid w:val="00E278B9"/>
    <w:rsid w:val="00E33649"/>
    <w:rsid w:val="00E34247"/>
    <w:rsid w:val="00E3565F"/>
    <w:rsid w:val="00E36109"/>
    <w:rsid w:val="00E364BC"/>
    <w:rsid w:val="00E368CA"/>
    <w:rsid w:val="00E36D08"/>
    <w:rsid w:val="00E36E8B"/>
    <w:rsid w:val="00E45717"/>
    <w:rsid w:val="00E45DE2"/>
    <w:rsid w:val="00E46D41"/>
    <w:rsid w:val="00E51F15"/>
    <w:rsid w:val="00E53CF7"/>
    <w:rsid w:val="00E541B5"/>
    <w:rsid w:val="00E54670"/>
    <w:rsid w:val="00E55F16"/>
    <w:rsid w:val="00E56647"/>
    <w:rsid w:val="00E57E93"/>
    <w:rsid w:val="00E60CBA"/>
    <w:rsid w:val="00E6175F"/>
    <w:rsid w:val="00E61A63"/>
    <w:rsid w:val="00E61C21"/>
    <w:rsid w:val="00E626A9"/>
    <w:rsid w:val="00E6528C"/>
    <w:rsid w:val="00E71C3C"/>
    <w:rsid w:val="00E71DF1"/>
    <w:rsid w:val="00E7412E"/>
    <w:rsid w:val="00E77F18"/>
    <w:rsid w:val="00E80EF2"/>
    <w:rsid w:val="00E82718"/>
    <w:rsid w:val="00E82D32"/>
    <w:rsid w:val="00E82FA7"/>
    <w:rsid w:val="00E8332D"/>
    <w:rsid w:val="00E84325"/>
    <w:rsid w:val="00E8584B"/>
    <w:rsid w:val="00E862BA"/>
    <w:rsid w:val="00E90978"/>
    <w:rsid w:val="00E93BBD"/>
    <w:rsid w:val="00E948B4"/>
    <w:rsid w:val="00EA4362"/>
    <w:rsid w:val="00EA4AC5"/>
    <w:rsid w:val="00EA4AE2"/>
    <w:rsid w:val="00EA4CB2"/>
    <w:rsid w:val="00EA7ABC"/>
    <w:rsid w:val="00EA7F6B"/>
    <w:rsid w:val="00EB0EE9"/>
    <w:rsid w:val="00EB2CFC"/>
    <w:rsid w:val="00EB34DD"/>
    <w:rsid w:val="00EB6A1D"/>
    <w:rsid w:val="00EB79B4"/>
    <w:rsid w:val="00EC1212"/>
    <w:rsid w:val="00EC2D21"/>
    <w:rsid w:val="00EC39DC"/>
    <w:rsid w:val="00EC75F3"/>
    <w:rsid w:val="00ED099B"/>
    <w:rsid w:val="00ED1EF2"/>
    <w:rsid w:val="00ED2663"/>
    <w:rsid w:val="00ED49D2"/>
    <w:rsid w:val="00ED4FCF"/>
    <w:rsid w:val="00ED6186"/>
    <w:rsid w:val="00ED72B2"/>
    <w:rsid w:val="00EE0814"/>
    <w:rsid w:val="00EE0B71"/>
    <w:rsid w:val="00EE31EE"/>
    <w:rsid w:val="00EE5A4D"/>
    <w:rsid w:val="00EE6743"/>
    <w:rsid w:val="00EF0526"/>
    <w:rsid w:val="00EF5352"/>
    <w:rsid w:val="00EF7D3A"/>
    <w:rsid w:val="00F0078E"/>
    <w:rsid w:val="00F00F86"/>
    <w:rsid w:val="00F01B9B"/>
    <w:rsid w:val="00F03115"/>
    <w:rsid w:val="00F043A2"/>
    <w:rsid w:val="00F05E86"/>
    <w:rsid w:val="00F06EEF"/>
    <w:rsid w:val="00F07710"/>
    <w:rsid w:val="00F1103E"/>
    <w:rsid w:val="00F11240"/>
    <w:rsid w:val="00F129EB"/>
    <w:rsid w:val="00F135FF"/>
    <w:rsid w:val="00F138BD"/>
    <w:rsid w:val="00F1453E"/>
    <w:rsid w:val="00F146F0"/>
    <w:rsid w:val="00F16229"/>
    <w:rsid w:val="00F166C2"/>
    <w:rsid w:val="00F200A0"/>
    <w:rsid w:val="00F268E2"/>
    <w:rsid w:val="00F3040B"/>
    <w:rsid w:val="00F305DD"/>
    <w:rsid w:val="00F32478"/>
    <w:rsid w:val="00F3457A"/>
    <w:rsid w:val="00F35879"/>
    <w:rsid w:val="00F40122"/>
    <w:rsid w:val="00F42724"/>
    <w:rsid w:val="00F44E4D"/>
    <w:rsid w:val="00F46896"/>
    <w:rsid w:val="00F516F6"/>
    <w:rsid w:val="00F52576"/>
    <w:rsid w:val="00F546AA"/>
    <w:rsid w:val="00F60382"/>
    <w:rsid w:val="00F650B7"/>
    <w:rsid w:val="00F66EDE"/>
    <w:rsid w:val="00F70A18"/>
    <w:rsid w:val="00F70C23"/>
    <w:rsid w:val="00F7119B"/>
    <w:rsid w:val="00F72368"/>
    <w:rsid w:val="00F72D05"/>
    <w:rsid w:val="00F751BC"/>
    <w:rsid w:val="00F76387"/>
    <w:rsid w:val="00F80FBB"/>
    <w:rsid w:val="00F810EA"/>
    <w:rsid w:val="00F8126E"/>
    <w:rsid w:val="00F824B8"/>
    <w:rsid w:val="00F860BE"/>
    <w:rsid w:val="00F867C6"/>
    <w:rsid w:val="00F91414"/>
    <w:rsid w:val="00F918D4"/>
    <w:rsid w:val="00F930E4"/>
    <w:rsid w:val="00F9370D"/>
    <w:rsid w:val="00F951B2"/>
    <w:rsid w:val="00F965F7"/>
    <w:rsid w:val="00F97217"/>
    <w:rsid w:val="00F9767B"/>
    <w:rsid w:val="00F97D7C"/>
    <w:rsid w:val="00FA3242"/>
    <w:rsid w:val="00FA3C76"/>
    <w:rsid w:val="00FA5808"/>
    <w:rsid w:val="00FB2799"/>
    <w:rsid w:val="00FB3480"/>
    <w:rsid w:val="00FB52F7"/>
    <w:rsid w:val="00FB6A86"/>
    <w:rsid w:val="00FC1650"/>
    <w:rsid w:val="00FC1B0B"/>
    <w:rsid w:val="00FC2369"/>
    <w:rsid w:val="00FC28B7"/>
    <w:rsid w:val="00FC2EC7"/>
    <w:rsid w:val="00FC3CBB"/>
    <w:rsid w:val="00FC5C08"/>
    <w:rsid w:val="00FC6214"/>
    <w:rsid w:val="00FD1928"/>
    <w:rsid w:val="00FD324F"/>
    <w:rsid w:val="00FD5758"/>
    <w:rsid w:val="00FD6D33"/>
    <w:rsid w:val="00FD736E"/>
    <w:rsid w:val="00FD7A2B"/>
    <w:rsid w:val="00FE1A2B"/>
    <w:rsid w:val="00FE1ACD"/>
    <w:rsid w:val="00FE235D"/>
    <w:rsid w:val="00FE3932"/>
    <w:rsid w:val="00FE52C2"/>
    <w:rsid w:val="00FE555A"/>
    <w:rsid w:val="00FE7E82"/>
    <w:rsid w:val="00FF1113"/>
    <w:rsid w:val="00FF128D"/>
    <w:rsid w:val="00FF15FC"/>
    <w:rsid w:val="00FF2CB9"/>
    <w:rsid w:val="00FF3CF9"/>
    <w:rsid w:val="00FF4375"/>
    <w:rsid w:val="00FF63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6977" fillcolor="#ff9" strokecolor="none [2409]">
      <v:fill color="#ff9" opacity="60948f"/>
      <v:stroke color="none [2409]"/>
      <v:textbox inset="10.8pt,,10.8pt"/>
    </o:shapedefaults>
    <o:shapelayout v:ext="edit">
      <o:idmap v:ext="edit" data="1"/>
    </o:shapelayout>
  </w:shapeDefaults>
  <w:decimalSymbol w:val="."/>
  <w:listSeparator w:val=","/>
  <w14:docId w14:val="2CD2DAD6"/>
  <w15:docId w15:val="{7DBEFDAD-5C74-4238-BAA0-295BBE7FF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themeColor="text1"/>
        <w:sz w:val="24"/>
        <w:szCs w:val="24"/>
        <w:lang w:val="en-US" w:eastAsia="en-US" w:bidi="ar-SA"/>
      </w:rPr>
    </w:rPrDefault>
    <w:pPrDefault>
      <w:pPr>
        <w:spacing w:after="120"/>
        <w:ind w:left="28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0D0A"/>
    <w:pPr>
      <w:spacing w:after="0"/>
      <w:ind w:left="0"/>
      <w:outlineLvl w:val="0"/>
    </w:pPr>
  </w:style>
  <w:style w:type="paragraph" w:styleId="Heading1">
    <w:name w:val="heading 1"/>
    <w:basedOn w:val="TOC1"/>
    <w:next w:val="Normal"/>
    <w:link w:val="Heading1Char"/>
    <w:autoRedefine/>
    <w:uiPriority w:val="9"/>
    <w:qFormat/>
    <w:rsid w:val="001274E4"/>
    <w:pPr>
      <w:spacing w:before="0" w:after="0"/>
    </w:pPr>
    <w:rPr>
      <w:b/>
      <w:sz w:val="44"/>
    </w:rPr>
  </w:style>
  <w:style w:type="paragraph" w:styleId="Heading2">
    <w:name w:val="heading 2"/>
    <w:basedOn w:val="Normal"/>
    <w:next w:val="Normal"/>
    <w:link w:val="Heading2Char"/>
    <w:uiPriority w:val="9"/>
    <w:qFormat/>
    <w:rsid w:val="001274E4"/>
    <w:pPr>
      <w:keepNext/>
      <w:keepLines/>
      <w:outlineLvl w:val="1"/>
    </w:pPr>
    <w:rPr>
      <w:rFonts w:ascii="Arial" w:hAnsi="Arial" w:cstheme="majorBidi"/>
      <w:b/>
      <w:bCs/>
      <w:sz w:val="32"/>
      <w:szCs w:val="26"/>
    </w:rPr>
  </w:style>
  <w:style w:type="paragraph" w:styleId="Heading3">
    <w:name w:val="heading 3"/>
    <w:basedOn w:val="Normal"/>
    <w:next w:val="Normal"/>
    <w:link w:val="Heading3Char"/>
    <w:uiPriority w:val="9"/>
    <w:qFormat/>
    <w:rsid w:val="00796915"/>
    <w:pPr>
      <w:keepNext/>
      <w:keepLines/>
      <w:outlineLvl w:val="2"/>
    </w:pPr>
    <w:rPr>
      <w:rFonts w:ascii="Arial" w:eastAsiaTheme="majorEastAsia" w:hAnsi="Arial" w:cstheme="majorBidi"/>
      <w:b/>
      <w:sz w:val="28"/>
    </w:rPr>
  </w:style>
  <w:style w:type="paragraph" w:styleId="Heading4">
    <w:name w:val="heading 4"/>
    <w:basedOn w:val="Normal"/>
    <w:next w:val="Normal"/>
    <w:link w:val="Heading4Char"/>
    <w:uiPriority w:val="9"/>
    <w:qFormat/>
    <w:rsid w:val="00335487"/>
    <w:pPr>
      <w:keepNext/>
      <w:keepLines/>
      <w:outlineLvl w:val="3"/>
    </w:pPr>
    <w:rPr>
      <w:rFonts w:ascii="Arial" w:eastAsiaTheme="majorEastAsia" w:hAnsi="Arial" w:cstheme="majorBidi"/>
      <w:b/>
      <w:iCs/>
    </w:rPr>
  </w:style>
  <w:style w:type="paragraph" w:styleId="Heading5">
    <w:name w:val="heading 5"/>
    <w:basedOn w:val="Normal"/>
    <w:next w:val="Normal"/>
    <w:link w:val="Heading5Char"/>
    <w:uiPriority w:val="9"/>
    <w:qFormat/>
    <w:rsid w:val="00EF5352"/>
    <w:pPr>
      <w:keepNext/>
      <w:keepLines/>
      <w:outlineLvl w:val="4"/>
    </w:pPr>
    <w:rPr>
      <w:rFonts w:ascii="Arial" w:eastAsiaTheme="majorEastAsia" w:hAnsi="Arial"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3446"/>
    <w:rPr>
      <w:color w:val="0563C1" w:themeColor="hyperlink"/>
      <w:u w:val="single"/>
    </w:rPr>
  </w:style>
  <w:style w:type="character" w:styleId="PlaceholderText">
    <w:name w:val="Placeholder Text"/>
    <w:basedOn w:val="DefaultParagraphFont"/>
    <w:uiPriority w:val="99"/>
    <w:semiHidden/>
    <w:rsid w:val="00C53F0F"/>
    <w:rPr>
      <w:color w:val="808080"/>
    </w:rPr>
  </w:style>
  <w:style w:type="paragraph" w:styleId="BalloonText">
    <w:name w:val="Balloon Text"/>
    <w:basedOn w:val="Normal"/>
    <w:link w:val="BalloonTextChar"/>
    <w:uiPriority w:val="99"/>
    <w:semiHidden/>
    <w:unhideWhenUsed/>
    <w:rsid w:val="00C53F0F"/>
    <w:rPr>
      <w:rFonts w:ascii="Tahoma" w:hAnsi="Tahoma" w:cs="Tahoma"/>
      <w:sz w:val="16"/>
      <w:szCs w:val="16"/>
    </w:rPr>
  </w:style>
  <w:style w:type="character" w:customStyle="1" w:styleId="BalloonTextChar">
    <w:name w:val="Balloon Text Char"/>
    <w:basedOn w:val="DefaultParagraphFont"/>
    <w:link w:val="BalloonText"/>
    <w:uiPriority w:val="99"/>
    <w:semiHidden/>
    <w:rsid w:val="00C53F0F"/>
    <w:rPr>
      <w:rFonts w:ascii="Tahoma" w:eastAsiaTheme="minorEastAsia" w:hAnsi="Tahoma" w:cs="Tahoma"/>
      <w:b/>
      <w:color w:val="453E31"/>
      <w:sz w:val="16"/>
      <w:szCs w:val="16"/>
      <w:lang w:bidi="en-US"/>
    </w:rPr>
  </w:style>
  <w:style w:type="paragraph" w:styleId="ListParagraph">
    <w:name w:val="List Paragraph"/>
    <w:basedOn w:val="Normal"/>
    <w:uiPriority w:val="34"/>
    <w:qFormat/>
    <w:rsid w:val="0003621E"/>
    <w:pPr>
      <w:numPr>
        <w:numId w:val="1"/>
      </w:numPr>
      <w:contextualSpacing/>
    </w:pPr>
    <w:rPr>
      <w:bCs/>
    </w:rPr>
  </w:style>
  <w:style w:type="table" w:styleId="TableGrid">
    <w:name w:val="Table Grid"/>
    <w:basedOn w:val="TableNormal"/>
    <w:uiPriority w:val="59"/>
    <w:rsid w:val="00C163B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F91414"/>
    <w:pPr>
      <w:autoSpaceDE w:val="0"/>
      <w:autoSpaceDN w:val="0"/>
    </w:pPr>
    <w:rPr>
      <w:rFonts w:ascii="Calibri" w:hAnsi="Calibri" w:cs="Calibri"/>
      <w:b/>
      <w:color w:val="000000"/>
    </w:rPr>
  </w:style>
  <w:style w:type="character" w:styleId="FollowedHyperlink">
    <w:name w:val="FollowedHyperlink"/>
    <w:basedOn w:val="DefaultParagraphFont"/>
    <w:uiPriority w:val="99"/>
    <w:semiHidden/>
    <w:unhideWhenUsed/>
    <w:rsid w:val="007667BF"/>
    <w:rPr>
      <w:color w:val="954F72" w:themeColor="followedHyperlink"/>
      <w:u w:val="single"/>
    </w:rPr>
  </w:style>
  <w:style w:type="character" w:styleId="CommentReference">
    <w:name w:val="annotation reference"/>
    <w:basedOn w:val="DefaultParagraphFont"/>
    <w:uiPriority w:val="99"/>
    <w:semiHidden/>
    <w:unhideWhenUsed/>
    <w:rsid w:val="00E82FA7"/>
    <w:rPr>
      <w:sz w:val="16"/>
      <w:szCs w:val="16"/>
    </w:rPr>
  </w:style>
  <w:style w:type="paragraph" w:styleId="CommentText">
    <w:name w:val="annotation text"/>
    <w:basedOn w:val="Normal"/>
    <w:link w:val="CommentTextChar"/>
    <w:uiPriority w:val="99"/>
    <w:semiHidden/>
    <w:unhideWhenUsed/>
    <w:rsid w:val="00E82FA7"/>
    <w:rPr>
      <w:sz w:val="20"/>
      <w:szCs w:val="20"/>
    </w:rPr>
  </w:style>
  <w:style w:type="character" w:customStyle="1" w:styleId="CommentTextChar">
    <w:name w:val="Comment Text Char"/>
    <w:basedOn w:val="DefaultParagraphFont"/>
    <w:link w:val="CommentText"/>
    <w:uiPriority w:val="99"/>
    <w:semiHidden/>
    <w:rsid w:val="00E82FA7"/>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E82FA7"/>
    <w:rPr>
      <w:b/>
      <w:bCs/>
    </w:rPr>
  </w:style>
  <w:style w:type="character" w:customStyle="1" w:styleId="CommentSubjectChar">
    <w:name w:val="Comment Subject Char"/>
    <w:basedOn w:val="CommentTextChar"/>
    <w:link w:val="CommentSubject"/>
    <w:uiPriority w:val="99"/>
    <w:semiHidden/>
    <w:rsid w:val="00E82FA7"/>
    <w:rPr>
      <w:rFonts w:ascii="Arial" w:hAnsi="Arial" w:cs="Arial"/>
      <w:b/>
      <w:bCs/>
      <w:sz w:val="20"/>
      <w:szCs w:val="20"/>
    </w:rPr>
  </w:style>
  <w:style w:type="numbering" w:customStyle="1" w:styleId="Proposal">
    <w:name w:val="Proposal"/>
    <w:uiPriority w:val="99"/>
    <w:rsid w:val="00D109F3"/>
  </w:style>
  <w:style w:type="numbering" w:customStyle="1" w:styleId="Proposal1">
    <w:name w:val="Proposal1"/>
    <w:next w:val="Proposal"/>
    <w:uiPriority w:val="99"/>
    <w:rsid w:val="00D109F3"/>
  </w:style>
  <w:style w:type="paragraph" w:styleId="Revision">
    <w:name w:val="Revision"/>
    <w:hidden/>
    <w:uiPriority w:val="99"/>
    <w:semiHidden/>
    <w:rsid w:val="00FE52C2"/>
    <w:pPr>
      <w:spacing w:after="0"/>
      <w:ind w:left="0"/>
    </w:pPr>
    <w:rPr>
      <w:rFonts w:ascii="Arial" w:hAnsi="Arial" w:cs="Arial"/>
    </w:rPr>
  </w:style>
  <w:style w:type="character" w:customStyle="1" w:styleId="Heading1Char">
    <w:name w:val="Heading 1 Char"/>
    <w:basedOn w:val="DefaultParagraphFont"/>
    <w:link w:val="Heading1"/>
    <w:uiPriority w:val="9"/>
    <w:rsid w:val="001274E4"/>
    <w:rPr>
      <w:rFonts w:ascii="Arial" w:hAnsi="Arial" w:cstheme="minorHAnsi"/>
      <w:b/>
      <w:bCs/>
      <w:sz w:val="44"/>
      <w:szCs w:val="20"/>
    </w:rPr>
  </w:style>
  <w:style w:type="table" w:customStyle="1" w:styleId="Rulemaking">
    <w:name w:val="Rulemaking"/>
    <w:basedOn w:val="TableNormal"/>
    <w:uiPriority w:val="99"/>
    <w:qFormat/>
    <w:rsid w:val="00E82718"/>
    <w:pPr>
      <w:spacing w:after="0"/>
      <w:ind w:left="0"/>
    </w:pPr>
    <w:tblPr>
      <w:tblStyleRowBandSize w:val="1"/>
      <w:tblBorders>
        <w:top w:val="double" w:sz="6" w:space="0" w:color="auto"/>
        <w:left w:val="double" w:sz="6" w:space="0" w:color="auto"/>
        <w:bottom w:val="double" w:sz="6" w:space="0" w:color="auto"/>
        <w:right w:val="double" w:sz="6" w:space="0" w:color="auto"/>
      </w:tblBorders>
    </w:tblPr>
    <w:tblStylePr w:type="firstRow">
      <w:rPr>
        <w:rFonts w:ascii="Arial" w:hAnsi="Arial"/>
        <w:color w:val="FFFFFF" w:themeColor="background1"/>
        <w:sz w:val="22"/>
      </w:rPr>
      <w:tblPr/>
      <w:tcPr>
        <w:tcBorders>
          <w:bottom w:val="double" w:sz="6" w:space="0" w:color="auto"/>
        </w:tcBorders>
        <w:shd w:val="clear" w:color="auto" w:fill="008272"/>
      </w:tcPr>
    </w:tblStylePr>
    <w:tblStylePr w:type="band1Horz">
      <w:rPr>
        <w:rFonts w:ascii="Times New Roman" w:hAnsi="Times New Roman"/>
        <w:color w:val="000000" w:themeColor="text1"/>
        <w:sz w:val="22"/>
      </w:rPr>
      <w:tblPr/>
      <w:tcPr>
        <w:shd w:val="clear" w:color="auto" w:fill="DFF1EB"/>
      </w:tcPr>
    </w:tblStylePr>
    <w:tblStylePr w:type="band2Horz">
      <w:tblPr/>
      <w:tcPr>
        <w:shd w:val="clear" w:color="auto" w:fill="B1DDCD"/>
      </w:tcPr>
    </w:tblStylePr>
  </w:style>
  <w:style w:type="paragraph" w:styleId="Header">
    <w:name w:val="header"/>
    <w:basedOn w:val="Normal"/>
    <w:link w:val="HeaderChar"/>
    <w:uiPriority w:val="99"/>
    <w:unhideWhenUsed/>
    <w:rsid w:val="002B4E71"/>
    <w:pPr>
      <w:tabs>
        <w:tab w:val="center" w:pos="4680"/>
        <w:tab w:val="right" w:pos="9360"/>
      </w:tabs>
    </w:pPr>
  </w:style>
  <w:style w:type="character" w:customStyle="1" w:styleId="HeaderChar">
    <w:name w:val="Header Char"/>
    <w:basedOn w:val="DefaultParagraphFont"/>
    <w:link w:val="Header"/>
    <w:uiPriority w:val="99"/>
    <w:rsid w:val="002B4E71"/>
    <w:rPr>
      <w:rFonts w:ascii="Arial" w:hAnsi="Arial" w:cs="Arial"/>
      <w:sz w:val="24"/>
      <w:szCs w:val="24"/>
    </w:rPr>
  </w:style>
  <w:style w:type="paragraph" w:styleId="Footer">
    <w:name w:val="footer"/>
    <w:basedOn w:val="Normal"/>
    <w:link w:val="FooterChar"/>
    <w:uiPriority w:val="99"/>
    <w:unhideWhenUsed/>
    <w:rsid w:val="002B4E71"/>
    <w:pPr>
      <w:tabs>
        <w:tab w:val="center" w:pos="4680"/>
        <w:tab w:val="right" w:pos="9360"/>
      </w:tabs>
    </w:pPr>
  </w:style>
  <w:style w:type="character" w:customStyle="1" w:styleId="FooterChar">
    <w:name w:val="Footer Char"/>
    <w:basedOn w:val="DefaultParagraphFont"/>
    <w:link w:val="Footer"/>
    <w:uiPriority w:val="99"/>
    <w:rsid w:val="002B4E71"/>
    <w:rPr>
      <w:rFonts w:ascii="Arial" w:hAnsi="Arial" w:cs="Arial"/>
      <w:sz w:val="24"/>
      <w:szCs w:val="24"/>
    </w:rPr>
  </w:style>
  <w:style w:type="character" w:customStyle="1" w:styleId="Heading2Char">
    <w:name w:val="Heading 2 Char"/>
    <w:basedOn w:val="DefaultParagraphFont"/>
    <w:link w:val="Heading2"/>
    <w:uiPriority w:val="9"/>
    <w:rsid w:val="001274E4"/>
    <w:rPr>
      <w:rFonts w:ascii="Arial" w:hAnsi="Arial" w:cstheme="majorBidi"/>
      <w:b/>
      <w:bCs/>
      <w:sz w:val="32"/>
      <w:szCs w:val="26"/>
    </w:rPr>
  </w:style>
  <w:style w:type="table" w:styleId="GridTable2-Accent6">
    <w:name w:val="Grid Table 2 Accent 6"/>
    <w:basedOn w:val="TableNormal"/>
    <w:uiPriority w:val="47"/>
    <w:rsid w:val="006D5B6E"/>
    <w:pPr>
      <w:spacing w:after="0"/>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6Colorful-Accent6">
    <w:name w:val="Grid Table 6 Colorful Accent 6"/>
    <w:basedOn w:val="TableNormal"/>
    <w:uiPriority w:val="51"/>
    <w:rsid w:val="006D5B6E"/>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Accent6">
    <w:name w:val="List Table 2 Accent 6"/>
    <w:basedOn w:val="TableNormal"/>
    <w:uiPriority w:val="47"/>
    <w:rsid w:val="006D5B6E"/>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3Char">
    <w:name w:val="Heading 3 Char"/>
    <w:basedOn w:val="DefaultParagraphFont"/>
    <w:link w:val="Heading3"/>
    <w:uiPriority w:val="9"/>
    <w:rsid w:val="00796915"/>
    <w:rPr>
      <w:rFonts w:ascii="Arial" w:eastAsiaTheme="majorEastAsia" w:hAnsi="Arial" w:cstheme="majorBidi"/>
      <w:b/>
      <w:color w:val="000000" w:themeColor="text1"/>
      <w:sz w:val="28"/>
      <w:szCs w:val="24"/>
    </w:rPr>
  </w:style>
  <w:style w:type="table" w:styleId="GridTable4-Accent6">
    <w:name w:val="Grid Table 4 Accent 6"/>
    <w:basedOn w:val="TableNormal"/>
    <w:uiPriority w:val="49"/>
    <w:rsid w:val="001340B3"/>
    <w:pPr>
      <w:spacing w:after="0"/>
      <w:ind w:left="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4Char">
    <w:name w:val="Heading 4 Char"/>
    <w:basedOn w:val="DefaultParagraphFont"/>
    <w:link w:val="Heading4"/>
    <w:uiPriority w:val="9"/>
    <w:rsid w:val="00335487"/>
    <w:rPr>
      <w:rFonts w:ascii="Arial" w:eastAsiaTheme="majorEastAsia" w:hAnsi="Arial" w:cstheme="majorBidi"/>
      <w:b/>
      <w:iCs/>
    </w:rPr>
  </w:style>
  <w:style w:type="paragraph" w:styleId="TOCHeading">
    <w:name w:val="TOC Heading"/>
    <w:basedOn w:val="Heading1"/>
    <w:next w:val="Normal"/>
    <w:uiPriority w:val="39"/>
    <w:unhideWhenUsed/>
    <w:qFormat/>
    <w:rsid w:val="001D24C7"/>
    <w:pPr>
      <w:keepNext/>
      <w:keepLines/>
      <w:spacing w:line="259" w:lineRule="auto"/>
      <w:outlineLvl w:val="9"/>
    </w:pPr>
    <w:rPr>
      <w:rFonts w:asciiTheme="majorHAnsi" w:eastAsiaTheme="majorEastAsia" w:hAnsiTheme="majorHAnsi" w:cstheme="majorBidi"/>
      <w:b w:val="0"/>
      <w:color w:val="2E74B5" w:themeColor="accent1" w:themeShade="BF"/>
      <w:szCs w:val="32"/>
    </w:rPr>
  </w:style>
  <w:style w:type="paragraph" w:styleId="TOC1">
    <w:name w:val="toc 1"/>
    <w:basedOn w:val="Normal"/>
    <w:next w:val="Normal"/>
    <w:autoRedefine/>
    <w:uiPriority w:val="39"/>
    <w:qFormat/>
    <w:rsid w:val="00467F92"/>
    <w:pPr>
      <w:spacing w:before="240" w:after="120"/>
    </w:pPr>
    <w:rPr>
      <w:rFonts w:ascii="Arial" w:hAnsi="Arial" w:cstheme="minorHAnsi"/>
      <w:bCs/>
      <w:szCs w:val="20"/>
    </w:rPr>
  </w:style>
  <w:style w:type="paragraph" w:styleId="TOC2">
    <w:name w:val="toc 2"/>
    <w:basedOn w:val="Normal"/>
    <w:next w:val="Normal"/>
    <w:autoRedefine/>
    <w:uiPriority w:val="39"/>
    <w:unhideWhenUsed/>
    <w:rsid w:val="008043B6"/>
    <w:pPr>
      <w:spacing w:before="120"/>
      <w:ind w:left="240"/>
    </w:pPr>
    <w:rPr>
      <w:rFonts w:ascii="Arial" w:hAnsi="Arial" w:cstheme="minorHAnsi"/>
      <w:i/>
      <w:iCs/>
      <w:szCs w:val="20"/>
    </w:rPr>
  </w:style>
  <w:style w:type="paragraph" w:styleId="TOC3">
    <w:name w:val="toc 3"/>
    <w:basedOn w:val="Normal"/>
    <w:next w:val="Normal"/>
    <w:autoRedefine/>
    <w:uiPriority w:val="39"/>
    <w:unhideWhenUsed/>
    <w:rsid w:val="008043B6"/>
    <w:pPr>
      <w:ind w:left="480"/>
    </w:pPr>
    <w:rPr>
      <w:rFonts w:ascii="Arial" w:hAnsi="Arial" w:cstheme="minorHAnsi"/>
      <w:szCs w:val="20"/>
    </w:rPr>
  </w:style>
  <w:style w:type="paragraph" w:styleId="TOC4">
    <w:name w:val="toc 4"/>
    <w:basedOn w:val="Normal"/>
    <w:next w:val="Normal"/>
    <w:autoRedefine/>
    <w:uiPriority w:val="39"/>
    <w:unhideWhenUsed/>
    <w:rsid w:val="001D24C7"/>
    <w:rPr>
      <w:rFonts w:asciiTheme="minorHAnsi" w:hAnsiTheme="minorHAnsi" w:cstheme="minorHAnsi"/>
      <w:sz w:val="20"/>
      <w:szCs w:val="20"/>
    </w:rPr>
  </w:style>
  <w:style w:type="paragraph" w:styleId="TOC5">
    <w:name w:val="toc 5"/>
    <w:basedOn w:val="Normal"/>
    <w:next w:val="Normal"/>
    <w:autoRedefine/>
    <w:uiPriority w:val="39"/>
    <w:unhideWhenUsed/>
    <w:rsid w:val="001D24C7"/>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1D24C7"/>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1D24C7"/>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1D24C7"/>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1D24C7"/>
    <w:pPr>
      <w:ind w:left="1920"/>
    </w:pPr>
    <w:rPr>
      <w:rFonts w:asciiTheme="minorHAnsi" w:hAnsiTheme="minorHAnsi" w:cstheme="minorHAnsi"/>
      <w:sz w:val="20"/>
      <w:szCs w:val="20"/>
    </w:rPr>
  </w:style>
  <w:style w:type="character" w:customStyle="1" w:styleId="Heading5Char">
    <w:name w:val="Heading 5 Char"/>
    <w:basedOn w:val="DefaultParagraphFont"/>
    <w:link w:val="Heading5"/>
    <w:uiPriority w:val="9"/>
    <w:rsid w:val="00BA244D"/>
    <w:rPr>
      <w:rFonts w:ascii="Arial" w:eastAsiaTheme="majorEastAsia" w:hAnsi="Arial" w:cstheme="majorBidi"/>
    </w:rPr>
  </w:style>
  <w:style w:type="paragraph" w:customStyle="1" w:styleId="StyleLatinArialAccent2Right-025">
    <w:name w:val="Style (Latin) Arial Accent 2 Right:  -0.25&quot;"/>
    <w:basedOn w:val="Normal"/>
    <w:rsid w:val="00610D0A"/>
    <w:rPr>
      <w:rFonts w:ascii="Arial" w:eastAsia="Times New Roman" w:hAnsi="Arial"/>
      <w:color w:val="C45911" w:themeColor="accent2" w:themeShade="BF"/>
      <w:szCs w:val="20"/>
    </w:rPr>
  </w:style>
  <w:style w:type="paragraph" w:customStyle="1" w:styleId="StyleLatinArialAccent2Right-03">
    <w:name w:val="Style (Latin) Arial Accent 2 Right:  -0.3&quot;"/>
    <w:basedOn w:val="Normal"/>
    <w:rsid w:val="00610D0A"/>
    <w:rPr>
      <w:rFonts w:ascii="Arial" w:eastAsia="Times New Roman" w:hAnsi="Arial"/>
      <w:color w:val="C45911" w:themeColor="accent2" w:themeShade="BF"/>
      <w:szCs w:val="20"/>
    </w:rPr>
  </w:style>
  <w:style w:type="character" w:customStyle="1" w:styleId="StyleStyleBoldAccent41NotBoldAccent2">
    <w:name w:val="Style Style Bold Accent 41 + Not Bold Accent 2"/>
    <w:basedOn w:val="StyleBoldAccent41"/>
    <w:rsid w:val="00523FAD"/>
    <w:rPr>
      <w:b w:val="0"/>
      <w:bCs w:val="0"/>
      <w:color w:val="C45911" w:themeColor="accent2" w:themeShade="BF"/>
    </w:rPr>
  </w:style>
  <w:style w:type="paragraph" w:customStyle="1" w:styleId="StyleLatinArial14ptBoldCenteredRight-02">
    <w:name w:val="Style (Latin) Arial 14 pt Bold Centered Right:  -0.2&quot;"/>
    <w:basedOn w:val="Normal"/>
    <w:rsid w:val="00610D0A"/>
    <w:pPr>
      <w:jc w:val="center"/>
    </w:pPr>
    <w:rPr>
      <w:rFonts w:ascii="Arial" w:eastAsia="Times New Roman" w:hAnsi="Arial"/>
      <w:b/>
      <w:bCs/>
      <w:sz w:val="28"/>
      <w:szCs w:val="20"/>
    </w:rPr>
  </w:style>
  <w:style w:type="paragraph" w:customStyle="1" w:styleId="StyleLatinArial14ptBoldCenteredRight-025Before">
    <w:name w:val="Style (Latin) Arial 14 pt Bold Centered Right:  -0.25&quot; Before:..."/>
    <w:basedOn w:val="Normal"/>
    <w:rsid w:val="00610D0A"/>
    <w:pPr>
      <w:jc w:val="center"/>
    </w:pPr>
    <w:rPr>
      <w:rFonts w:ascii="Arial" w:eastAsia="Times New Roman" w:hAnsi="Arial"/>
      <w:b/>
      <w:bCs/>
      <w:sz w:val="28"/>
      <w:szCs w:val="20"/>
    </w:rPr>
  </w:style>
  <w:style w:type="paragraph" w:customStyle="1" w:styleId="StyleLatinArialAccent2CenteredRight-025">
    <w:name w:val="Style (Latin) Arial Accent 2 Centered Right:  -0.25&quot;"/>
    <w:basedOn w:val="Normal"/>
    <w:autoRedefine/>
    <w:rsid w:val="00610D0A"/>
    <w:pPr>
      <w:jc w:val="center"/>
    </w:pPr>
    <w:rPr>
      <w:rFonts w:ascii="Arial" w:eastAsia="Times New Roman" w:hAnsi="Arial"/>
      <w:color w:val="833C0B" w:themeColor="accent2" w:themeShade="80"/>
      <w:szCs w:val="20"/>
    </w:rPr>
  </w:style>
  <w:style w:type="character" w:customStyle="1" w:styleId="StyleLatinArialAccent2">
    <w:name w:val="Style (Latin) Arial Accent 2"/>
    <w:basedOn w:val="DefaultParagraphFont"/>
    <w:rsid w:val="00610D0A"/>
    <w:rPr>
      <w:rFonts w:ascii="Arial" w:hAnsi="Arial"/>
      <w:color w:val="C45911" w:themeColor="accent2" w:themeShade="BF"/>
    </w:rPr>
  </w:style>
  <w:style w:type="paragraph" w:customStyle="1" w:styleId="StyleLatinArialAccent2Right-03PatternClearBackg">
    <w:name w:val="Style (Latin) Arial Accent 2 Right:  -0.3&quot; Pattern: Clear (Backg..."/>
    <w:basedOn w:val="Normal"/>
    <w:rsid w:val="00610D0A"/>
    <w:pPr>
      <w:shd w:val="clear" w:color="auto" w:fill="FFFFFF" w:themeFill="background1"/>
    </w:pPr>
    <w:rPr>
      <w:rFonts w:ascii="Arial" w:eastAsia="Times New Roman" w:hAnsi="Arial"/>
      <w:color w:val="C45911" w:themeColor="accent2" w:themeShade="BF"/>
      <w:szCs w:val="20"/>
    </w:rPr>
  </w:style>
  <w:style w:type="paragraph" w:customStyle="1" w:styleId="StyleLatinArialAccent2Centered">
    <w:name w:val="Style (Latin) Arial Accent 2 Centered"/>
    <w:basedOn w:val="Normal"/>
    <w:rsid w:val="00610D0A"/>
    <w:pPr>
      <w:jc w:val="center"/>
    </w:pPr>
    <w:rPr>
      <w:rFonts w:ascii="Arial" w:eastAsia="Times New Roman" w:hAnsi="Arial"/>
      <w:color w:val="C45911" w:themeColor="accent2" w:themeShade="BF"/>
      <w:szCs w:val="20"/>
    </w:rPr>
  </w:style>
  <w:style w:type="character" w:customStyle="1" w:styleId="StyleLatinArialAccent21">
    <w:name w:val="Style (Latin) Arial Accent 21"/>
    <w:basedOn w:val="DefaultParagraphFont"/>
    <w:rsid w:val="00610D0A"/>
    <w:rPr>
      <w:rFonts w:ascii="Arial" w:hAnsi="Arial"/>
      <w:color w:val="C45911" w:themeColor="accent2" w:themeShade="BF"/>
    </w:rPr>
  </w:style>
  <w:style w:type="paragraph" w:customStyle="1" w:styleId="StyleLatinArialAccent2Right-031">
    <w:name w:val="Style (Latin) Arial Accent 2 Right:  -0.3&quot;1"/>
    <w:basedOn w:val="Normal"/>
    <w:autoRedefine/>
    <w:rsid w:val="00610D0A"/>
    <w:rPr>
      <w:rFonts w:ascii="Arial" w:eastAsia="Times New Roman" w:hAnsi="Arial"/>
      <w:color w:val="C45911" w:themeColor="accent2" w:themeShade="BF"/>
      <w:szCs w:val="20"/>
    </w:rPr>
  </w:style>
  <w:style w:type="character" w:customStyle="1" w:styleId="StyleLatinArialAccent3">
    <w:name w:val="Style (Latin) Arial Accent 3"/>
    <w:basedOn w:val="DefaultParagraphFont"/>
    <w:rsid w:val="0034443E"/>
    <w:rPr>
      <w:rFonts w:ascii="Arial" w:hAnsi="Arial"/>
      <w:color w:val="000000" w:themeColor="text1"/>
    </w:rPr>
  </w:style>
  <w:style w:type="paragraph" w:customStyle="1" w:styleId="StyleLatinArialBoldAccent2Right-025">
    <w:name w:val="Style (Latin) Arial Bold Accent 2 Right:  -0.25&quot;"/>
    <w:basedOn w:val="Normal"/>
    <w:rsid w:val="0034443E"/>
    <w:rPr>
      <w:rFonts w:ascii="Arial" w:eastAsia="Times New Roman" w:hAnsi="Arial"/>
      <w:b/>
      <w:bCs/>
      <w:color w:val="C45911" w:themeColor="accent2" w:themeShade="BF"/>
      <w:szCs w:val="20"/>
    </w:rPr>
  </w:style>
  <w:style w:type="character" w:customStyle="1" w:styleId="StyleLatinArialCustomColorRGB1911430">
    <w:name w:val="Style (Latin) Arial Custom Color(RGB(1911430))"/>
    <w:basedOn w:val="DefaultParagraphFont"/>
    <w:rsid w:val="0034443E"/>
    <w:rPr>
      <w:rFonts w:ascii="Arial" w:hAnsi="Arial"/>
      <w:color w:val="C45911" w:themeColor="accent2" w:themeShade="BF"/>
    </w:rPr>
  </w:style>
  <w:style w:type="character" w:customStyle="1" w:styleId="StyleLatinArialItalicAccent2">
    <w:name w:val="Style (Latin) Arial Italic Accent 2"/>
    <w:basedOn w:val="DefaultParagraphFont"/>
    <w:rsid w:val="0034443E"/>
    <w:rPr>
      <w:rFonts w:ascii="Arial" w:hAnsi="Arial"/>
      <w:b w:val="0"/>
      <w:i w:val="0"/>
      <w:iCs/>
      <w:color w:val="C45911" w:themeColor="accent2" w:themeShade="BF"/>
      <w:sz w:val="24"/>
    </w:rPr>
  </w:style>
  <w:style w:type="paragraph" w:customStyle="1" w:styleId="StyleLatinArialAccent2Right-032">
    <w:name w:val="Style (Latin) Arial Accent 2 Right:  -0.3&quot;2"/>
    <w:basedOn w:val="Normal"/>
    <w:autoRedefine/>
    <w:rsid w:val="0034443E"/>
    <w:rPr>
      <w:rFonts w:ascii="Arial" w:eastAsia="Times New Roman" w:hAnsi="Arial"/>
      <w:color w:val="C45911" w:themeColor="accent2" w:themeShade="BF"/>
      <w:szCs w:val="20"/>
    </w:rPr>
  </w:style>
  <w:style w:type="paragraph" w:customStyle="1" w:styleId="StyleLatinArialLeft125Firstline025">
    <w:name w:val="Style (Latin) Arial Left:  1.25&quot; First line:  0.25&quot;"/>
    <w:basedOn w:val="Normal"/>
    <w:rsid w:val="0034443E"/>
    <w:pPr>
      <w:ind w:firstLine="360"/>
      <w:jc w:val="center"/>
    </w:pPr>
    <w:rPr>
      <w:rFonts w:ascii="Arial" w:eastAsia="Times New Roman" w:hAnsi="Arial"/>
      <w:szCs w:val="20"/>
    </w:rPr>
  </w:style>
  <w:style w:type="character" w:customStyle="1" w:styleId="Style16ptBoldAccent4">
    <w:name w:val="Style 16 pt Bold Accent 4"/>
    <w:basedOn w:val="DefaultParagraphFont"/>
    <w:rsid w:val="002F0131"/>
    <w:rPr>
      <w:b/>
      <w:bCs/>
      <w:color w:val="C45911" w:themeColor="accent2" w:themeShade="BF"/>
      <w:sz w:val="32"/>
    </w:rPr>
  </w:style>
  <w:style w:type="paragraph" w:customStyle="1" w:styleId="StyleAccent2Right-03">
    <w:name w:val="Style Accent 2 Right:  -0.3&quot;"/>
    <w:basedOn w:val="Normal"/>
    <w:autoRedefine/>
    <w:rsid w:val="002F0131"/>
    <w:rPr>
      <w:rFonts w:eastAsia="Times New Roman"/>
      <w:color w:val="C45911" w:themeColor="accent2" w:themeShade="BF"/>
      <w:szCs w:val="20"/>
    </w:rPr>
  </w:style>
  <w:style w:type="character" w:customStyle="1" w:styleId="StyleAccent4">
    <w:name w:val="Style Accent 4"/>
    <w:basedOn w:val="DefaultParagraphFont"/>
    <w:rsid w:val="002F0131"/>
    <w:rPr>
      <w:color w:val="C45911" w:themeColor="accent2" w:themeShade="BF"/>
    </w:rPr>
  </w:style>
  <w:style w:type="numbering" w:customStyle="1" w:styleId="StyleBulletedLatinCourierNewLeft075Hanging025">
    <w:name w:val="Style Bulleted (Latin) Courier New Left:  0.75&quot; Hanging:  0.25&quot;"/>
    <w:basedOn w:val="NoList"/>
    <w:rsid w:val="00873BDE"/>
    <w:pPr>
      <w:numPr>
        <w:numId w:val="13"/>
      </w:numPr>
    </w:pPr>
  </w:style>
  <w:style w:type="paragraph" w:customStyle="1" w:styleId="StyleAccent4Right-03">
    <w:name w:val="Style Accent 4 Right:  -0.3&quot;"/>
    <w:basedOn w:val="Normal"/>
    <w:autoRedefine/>
    <w:rsid w:val="00523FAD"/>
    <w:rPr>
      <w:rFonts w:eastAsia="Times New Roman"/>
      <w:color w:val="C45911" w:themeColor="accent2" w:themeShade="BF"/>
      <w:szCs w:val="20"/>
    </w:rPr>
  </w:style>
  <w:style w:type="character" w:customStyle="1" w:styleId="StyleStyleAccent4Accent2">
    <w:name w:val="Style Style Accent 4 + Accent 2"/>
    <w:basedOn w:val="StyleAccent4"/>
    <w:rsid w:val="00523FAD"/>
    <w:rPr>
      <w:color w:val="C45911" w:themeColor="accent2" w:themeShade="BF"/>
    </w:rPr>
  </w:style>
  <w:style w:type="character" w:customStyle="1" w:styleId="StyleBoldAccent41">
    <w:name w:val="Style Bold Accent 41"/>
    <w:basedOn w:val="DefaultParagraphFont"/>
    <w:rsid w:val="002F0131"/>
    <w:rPr>
      <w:b/>
      <w:bCs/>
      <w:color w:val="C45911" w:themeColor="accent2" w:themeShade="BF"/>
    </w:rPr>
  </w:style>
  <w:style w:type="paragraph" w:customStyle="1" w:styleId="StyleBoldAccent4CenteredRight-03">
    <w:name w:val="Style Bold Accent 4 Centered Right:  -0.3&quot;"/>
    <w:basedOn w:val="Normal"/>
    <w:autoRedefine/>
    <w:rsid w:val="00523FAD"/>
    <w:pPr>
      <w:jc w:val="center"/>
    </w:pPr>
    <w:rPr>
      <w:rFonts w:eastAsia="Times New Roman"/>
      <w:color w:val="C45911" w:themeColor="accent2" w:themeShade="BF"/>
      <w:szCs w:val="20"/>
    </w:rPr>
  </w:style>
  <w:style w:type="paragraph" w:customStyle="1" w:styleId="StyleCenteredLeft01">
    <w:name w:val="Style Centered Left:  0.1&quot;"/>
    <w:basedOn w:val="Normal"/>
    <w:autoRedefine/>
    <w:rsid w:val="002F0131"/>
    <w:pPr>
      <w:jc w:val="center"/>
    </w:pPr>
    <w:rPr>
      <w:rFonts w:eastAsia="Times New Roman"/>
      <w:szCs w:val="20"/>
    </w:rPr>
  </w:style>
  <w:style w:type="paragraph" w:customStyle="1" w:styleId="StyleCenteredLeft011">
    <w:name w:val="Style Centered Left:  0.1&quot;1"/>
    <w:basedOn w:val="Normal"/>
    <w:autoRedefine/>
    <w:rsid w:val="002F0131"/>
    <w:pPr>
      <w:jc w:val="center"/>
    </w:pPr>
    <w:rPr>
      <w:rFonts w:eastAsia="Times New Roman"/>
      <w:szCs w:val="20"/>
    </w:rPr>
  </w:style>
  <w:style w:type="character" w:customStyle="1" w:styleId="StyleBoldAccent2">
    <w:name w:val="Style Bold Accent 2"/>
    <w:basedOn w:val="DefaultParagraphFont"/>
    <w:rsid w:val="009D1579"/>
    <w:rPr>
      <w:b/>
      <w:bCs/>
      <w:color w:val="C45911" w:themeColor="accent2" w:themeShade="BF"/>
    </w:rPr>
  </w:style>
  <w:style w:type="paragraph" w:customStyle="1" w:styleId="StyleCenteredLeft012">
    <w:name w:val="Style Centered Left:  0.1&quot;2"/>
    <w:basedOn w:val="Normal"/>
    <w:autoRedefine/>
    <w:rsid w:val="009D1579"/>
    <w:pPr>
      <w:jc w:val="center"/>
    </w:pPr>
    <w:rPr>
      <w:rFonts w:eastAsia="Times New Roman"/>
      <w:szCs w:val="20"/>
    </w:rPr>
  </w:style>
  <w:style w:type="paragraph" w:customStyle="1" w:styleId="StyleCenteredLeft013">
    <w:name w:val="Style Centered Left:  0.1&quot;3"/>
    <w:basedOn w:val="Normal"/>
    <w:autoRedefine/>
    <w:rsid w:val="009D1579"/>
    <w:pPr>
      <w:jc w:val="center"/>
    </w:pPr>
    <w:rPr>
      <w:rFonts w:eastAsia="Times New Roman"/>
      <w:szCs w:val="20"/>
    </w:rPr>
  </w:style>
  <w:style w:type="paragraph" w:customStyle="1" w:styleId="StyleRight-025">
    <w:name w:val="Style Right:  -0.25&quot;"/>
    <w:basedOn w:val="Normal"/>
    <w:autoRedefine/>
    <w:rsid w:val="00C44724"/>
    <w:rPr>
      <w:rFonts w:eastAsia="Times New Roman"/>
      <w:szCs w:val="20"/>
    </w:rPr>
  </w:style>
  <w:style w:type="paragraph" w:customStyle="1" w:styleId="StyleRight-0251">
    <w:name w:val="Style Right:  -0.25&quot;1"/>
    <w:basedOn w:val="Normal"/>
    <w:rsid w:val="00C44724"/>
    <w:rPr>
      <w:rFonts w:eastAsia="Times New Roman"/>
      <w:szCs w:val="20"/>
    </w:rPr>
  </w:style>
  <w:style w:type="paragraph" w:customStyle="1" w:styleId="Style11ptRight-025">
    <w:name w:val="Style 11 pt Right:  -0.25&quot;"/>
    <w:basedOn w:val="Normal"/>
    <w:rsid w:val="00C44724"/>
    <w:rPr>
      <w:rFonts w:eastAsia="Times New Roman"/>
      <w:sz w:val="22"/>
      <w:szCs w:val="20"/>
    </w:rPr>
  </w:style>
  <w:style w:type="paragraph" w:customStyle="1" w:styleId="Style11ptRight-0251">
    <w:name w:val="Style 11 pt Right:  -0.25&quot;1"/>
    <w:basedOn w:val="Normal"/>
    <w:autoRedefine/>
    <w:rsid w:val="00C44724"/>
    <w:rPr>
      <w:rFonts w:eastAsia="Times New Roman"/>
      <w:sz w:val="22"/>
      <w:szCs w:val="20"/>
    </w:rPr>
  </w:style>
  <w:style w:type="paragraph" w:customStyle="1" w:styleId="StyleCenteredLeft014">
    <w:name w:val="Style Centered Left:  0.1&quot;4"/>
    <w:basedOn w:val="Normal"/>
    <w:autoRedefine/>
    <w:rsid w:val="00C44724"/>
    <w:pPr>
      <w:jc w:val="center"/>
    </w:pPr>
    <w:rPr>
      <w:rFonts w:eastAsia="Times New Roman"/>
      <w:szCs w:val="20"/>
    </w:rPr>
  </w:style>
  <w:style w:type="paragraph" w:customStyle="1" w:styleId="StyleRight-0252">
    <w:name w:val="Style Right:  -0.25&quot;2"/>
    <w:basedOn w:val="Normal"/>
    <w:autoRedefine/>
    <w:rsid w:val="00C44724"/>
    <w:rPr>
      <w:rFonts w:eastAsia="Times New Roman"/>
      <w:szCs w:val="20"/>
    </w:rPr>
  </w:style>
  <w:style w:type="paragraph" w:customStyle="1" w:styleId="Style11ptRight-0252">
    <w:name w:val="Style 11 pt Right:  -0.25&quot;2"/>
    <w:basedOn w:val="Normal"/>
    <w:autoRedefine/>
    <w:rsid w:val="00C44724"/>
    <w:rPr>
      <w:rFonts w:eastAsia="Times New Roman"/>
      <w:sz w:val="22"/>
      <w:szCs w:val="20"/>
    </w:rPr>
  </w:style>
  <w:style w:type="paragraph" w:customStyle="1" w:styleId="StyleCenteredLeft015">
    <w:name w:val="Style Centered Left:  0.1&quot;5"/>
    <w:basedOn w:val="Normal"/>
    <w:autoRedefine/>
    <w:rsid w:val="00C44724"/>
    <w:pPr>
      <w:jc w:val="center"/>
    </w:pPr>
    <w:rPr>
      <w:rFonts w:eastAsia="Times New Roman"/>
      <w:szCs w:val="20"/>
    </w:rPr>
  </w:style>
  <w:style w:type="paragraph" w:customStyle="1" w:styleId="StyleCenteredRight-02">
    <w:name w:val="Style Centered Right:  -0.2&quot;"/>
    <w:basedOn w:val="Normal"/>
    <w:autoRedefine/>
    <w:rsid w:val="00C44724"/>
    <w:pPr>
      <w:jc w:val="center"/>
    </w:pPr>
    <w:rPr>
      <w:rFonts w:eastAsia="Times New Roman"/>
      <w:szCs w:val="20"/>
    </w:rPr>
  </w:style>
  <w:style w:type="paragraph" w:customStyle="1" w:styleId="StyleCenteredLeft016">
    <w:name w:val="Style Centered Left:  0.1&quot;6"/>
    <w:basedOn w:val="Normal"/>
    <w:autoRedefine/>
    <w:rsid w:val="00C44724"/>
    <w:pPr>
      <w:jc w:val="center"/>
    </w:pPr>
    <w:rPr>
      <w:rFonts w:eastAsia="Times New Roman"/>
      <w:szCs w:val="20"/>
    </w:rPr>
  </w:style>
  <w:style w:type="paragraph" w:customStyle="1" w:styleId="StyleRight-0253">
    <w:name w:val="Style Right:  -0.25&quot;3"/>
    <w:basedOn w:val="Normal"/>
    <w:autoRedefine/>
    <w:rsid w:val="00C44724"/>
    <w:rPr>
      <w:rFonts w:eastAsia="Times New Roman"/>
      <w:szCs w:val="20"/>
    </w:rPr>
  </w:style>
  <w:style w:type="character" w:customStyle="1" w:styleId="StyleStyleStyleBoldAccent41NotBoldAccent2Accent2">
    <w:name w:val="Style Style Style Bold Accent 41 + Not Bold Accent 2 + Accent 2"/>
    <w:basedOn w:val="StyleStyleBoldAccent41NotBoldAccent2"/>
    <w:rsid w:val="00523FAD"/>
    <w:rPr>
      <w:b w:val="0"/>
      <w:bCs w:val="0"/>
      <w:color w:val="ED7D31" w:themeColor="accent2"/>
    </w:rPr>
  </w:style>
  <w:style w:type="character" w:customStyle="1" w:styleId="StyleStyleStyleStyleBoldAccent41NotBoldAccent2Accent">
    <w:name w:val="Style Style Style Style Bold Accent 41 + Not Bold Accent 2 + Accent..."/>
    <w:basedOn w:val="StyleStyleStyleBoldAccent41NotBoldAccent2Accent2"/>
    <w:rsid w:val="00523FAD"/>
    <w:rPr>
      <w:rFonts w:ascii="Arial" w:hAnsi="Arial"/>
      <w:b w:val="0"/>
      <w:bCs w:val="0"/>
      <w:color w:val="C45911" w:themeColor="accent2" w:themeShade="BF"/>
    </w:rPr>
  </w:style>
  <w:style w:type="paragraph" w:customStyle="1" w:styleId="instructions">
    <w:name w:val="instructions"/>
    <w:basedOn w:val="Normal"/>
    <w:link w:val="instructionsChar"/>
    <w:autoRedefine/>
    <w:qFormat/>
    <w:rsid w:val="00A83AA3"/>
    <w:rPr>
      <w:rFonts w:ascii="Arial" w:hAnsi="Arial"/>
      <w:bCs/>
      <w:color w:val="C45911" w:themeColor="accent2" w:themeShade="BF"/>
    </w:rPr>
  </w:style>
  <w:style w:type="character" w:customStyle="1" w:styleId="instructionsChar">
    <w:name w:val="instructions Char"/>
    <w:basedOn w:val="DefaultParagraphFont"/>
    <w:link w:val="instructions"/>
    <w:rsid w:val="00A83AA3"/>
    <w:rPr>
      <w:rFonts w:ascii="Arial" w:hAnsi="Arial"/>
      <w:bCs/>
      <w:color w:val="C45911" w:themeColor="accent2"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14102">
      <w:bodyDiv w:val="1"/>
      <w:marLeft w:val="0"/>
      <w:marRight w:val="0"/>
      <w:marTop w:val="0"/>
      <w:marBottom w:val="0"/>
      <w:divBdr>
        <w:top w:val="none" w:sz="0" w:space="0" w:color="auto"/>
        <w:left w:val="none" w:sz="0" w:space="0" w:color="auto"/>
        <w:bottom w:val="none" w:sz="0" w:space="0" w:color="auto"/>
        <w:right w:val="none" w:sz="0" w:space="0" w:color="auto"/>
      </w:divBdr>
    </w:div>
    <w:div w:id="165167910">
      <w:bodyDiv w:val="1"/>
      <w:marLeft w:val="0"/>
      <w:marRight w:val="0"/>
      <w:marTop w:val="0"/>
      <w:marBottom w:val="0"/>
      <w:divBdr>
        <w:top w:val="none" w:sz="0" w:space="0" w:color="auto"/>
        <w:left w:val="none" w:sz="0" w:space="0" w:color="auto"/>
        <w:bottom w:val="none" w:sz="0" w:space="0" w:color="auto"/>
        <w:right w:val="none" w:sz="0" w:space="0" w:color="auto"/>
      </w:divBdr>
      <w:divsChild>
        <w:div w:id="557934139">
          <w:marLeft w:val="0"/>
          <w:marRight w:val="0"/>
          <w:marTop w:val="0"/>
          <w:marBottom w:val="0"/>
          <w:divBdr>
            <w:top w:val="none" w:sz="0" w:space="0" w:color="auto"/>
            <w:left w:val="none" w:sz="0" w:space="0" w:color="auto"/>
            <w:bottom w:val="none" w:sz="0" w:space="0" w:color="auto"/>
            <w:right w:val="none" w:sz="0" w:space="0" w:color="auto"/>
          </w:divBdr>
          <w:divsChild>
            <w:div w:id="2011523010">
              <w:marLeft w:val="0"/>
              <w:marRight w:val="0"/>
              <w:marTop w:val="0"/>
              <w:marBottom w:val="0"/>
              <w:divBdr>
                <w:top w:val="none" w:sz="0" w:space="0" w:color="auto"/>
                <w:left w:val="none" w:sz="0" w:space="0" w:color="auto"/>
                <w:bottom w:val="none" w:sz="0" w:space="0" w:color="auto"/>
                <w:right w:val="none" w:sz="0" w:space="0" w:color="auto"/>
              </w:divBdr>
              <w:divsChild>
                <w:div w:id="72976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5417">
      <w:bodyDiv w:val="1"/>
      <w:marLeft w:val="0"/>
      <w:marRight w:val="0"/>
      <w:marTop w:val="0"/>
      <w:marBottom w:val="0"/>
      <w:divBdr>
        <w:top w:val="none" w:sz="0" w:space="0" w:color="auto"/>
        <w:left w:val="none" w:sz="0" w:space="0" w:color="auto"/>
        <w:bottom w:val="none" w:sz="0" w:space="0" w:color="auto"/>
        <w:right w:val="none" w:sz="0" w:space="0" w:color="auto"/>
      </w:divBdr>
      <w:divsChild>
        <w:div w:id="1439760671">
          <w:marLeft w:val="0"/>
          <w:marRight w:val="0"/>
          <w:marTop w:val="0"/>
          <w:marBottom w:val="0"/>
          <w:divBdr>
            <w:top w:val="none" w:sz="0" w:space="0" w:color="auto"/>
            <w:left w:val="none" w:sz="0" w:space="0" w:color="auto"/>
            <w:bottom w:val="none" w:sz="0" w:space="0" w:color="auto"/>
            <w:right w:val="none" w:sz="0" w:space="0" w:color="auto"/>
          </w:divBdr>
          <w:divsChild>
            <w:div w:id="661470061">
              <w:marLeft w:val="0"/>
              <w:marRight w:val="0"/>
              <w:marTop w:val="0"/>
              <w:marBottom w:val="0"/>
              <w:divBdr>
                <w:top w:val="none" w:sz="0" w:space="0" w:color="auto"/>
                <w:left w:val="none" w:sz="0" w:space="0" w:color="auto"/>
                <w:bottom w:val="none" w:sz="0" w:space="0" w:color="auto"/>
                <w:right w:val="none" w:sz="0" w:space="0" w:color="auto"/>
              </w:divBdr>
              <w:divsChild>
                <w:div w:id="1254897532">
                  <w:marLeft w:val="0"/>
                  <w:marRight w:val="0"/>
                  <w:marTop w:val="0"/>
                  <w:marBottom w:val="0"/>
                  <w:divBdr>
                    <w:top w:val="none" w:sz="0" w:space="0" w:color="auto"/>
                    <w:left w:val="none" w:sz="0" w:space="0" w:color="auto"/>
                    <w:bottom w:val="none" w:sz="0" w:space="0" w:color="auto"/>
                    <w:right w:val="none" w:sz="0" w:space="0" w:color="auto"/>
                  </w:divBdr>
                  <w:divsChild>
                    <w:div w:id="813989482">
                      <w:marLeft w:val="2325"/>
                      <w:marRight w:val="0"/>
                      <w:marTop w:val="0"/>
                      <w:marBottom w:val="0"/>
                      <w:divBdr>
                        <w:top w:val="none" w:sz="0" w:space="0" w:color="auto"/>
                        <w:left w:val="none" w:sz="0" w:space="0" w:color="auto"/>
                        <w:bottom w:val="none" w:sz="0" w:space="0" w:color="auto"/>
                        <w:right w:val="none" w:sz="0" w:space="0" w:color="auto"/>
                      </w:divBdr>
                      <w:divsChild>
                        <w:div w:id="110824353">
                          <w:marLeft w:val="0"/>
                          <w:marRight w:val="0"/>
                          <w:marTop w:val="0"/>
                          <w:marBottom w:val="0"/>
                          <w:divBdr>
                            <w:top w:val="none" w:sz="0" w:space="0" w:color="auto"/>
                            <w:left w:val="none" w:sz="0" w:space="0" w:color="auto"/>
                            <w:bottom w:val="none" w:sz="0" w:space="0" w:color="auto"/>
                            <w:right w:val="none" w:sz="0" w:space="0" w:color="auto"/>
                          </w:divBdr>
                          <w:divsChild>
                            <w:div w:id="321810500">
                              <w:marLeft w:val="0"/>
                              <w:marRight w:val="0"/>
                              <w:marTop w:val="0"/>
                              <w:marBottom w:val="0"/>
                              <w:divBdr>
                                <w:top w:val="none" w:sz="0" w:space="0" w:color="auto"/>
                                <w:left w:val="none" w:sz="0" w:space="0" w:color="auto"/>
                                <w:bottom w:val="none" w:sz="0" w:space="0" w:color="auto"/>
                                <w:right w:val="none" w:sz="0" w:space="0" w:color="auto"/>
                              </w:divBdr>
                              <w:divsChild>
                                <w:div w:id="365373413">
                                  <w:marLeft w:val="0"/>
                                  <w:marRight w:val="0"/>
                                  <w:marTop w:val="0"/>
                                  <w:marBottom w:val="0"/>
                                  <w:divBdr>
                                    <w:top w:val="none" w:sz="0" w:space="0" w:color="auto"/>
                                    <w:left w:val="none" w:sz="0" w:space="0" w:color="auto"/>
                                    <w:bottom w:val="none" w:sz="0" w:space="0" w:color="auto"/>
                                    <w:right w:val="none" w:sz="0" w:space="0" w:color="auto"/>
                                  </w:divBdr>
                                  <w:divsChild>
                                    <w:div w:id="93983973">
                                      <w:marLeft w:val="0"/>
                                      <w:marRight w:val="0"/>
                                      <w:marTop w:val="0"/>
                                      <w:marBottom w:val="0"/>
                                      <w:divBdr>
                                        <w:top w:val="none" w:sz="0" w:space="0" w:color="auto"/>
                                        <w:left w:val="none" w:sz="0" w:space="0" w:color="auto"/>
                                        <w:bottom w:val="none" w:sz="0" w:space="0" w:color="auto"/>
                                        <w:right w:val="none" w:sz="0" w:space="0" w:color="auto"/>
                                      </w:divBdr>
                                      <w:divsChild>
                                        <w:div w:id="783423770">
                                          <w:marLeft w:val="0"/>
                                          <w:marRight w:val="0"/>
                                          <w:marTop w:val="0"/>
                                          <w:marBottom w:val="0"/>
                                          <w:divBdr>
                                            <w:top w:val="none" w:sz="0" w:space="0" w:color="auto"/>
                                            <w:left w:val="none" w:sz="0" w:space="0" w:color="auto"/>
                                            <w:bottom w:val="none" w:sz="0" w:space="0" w:color="auto"/>
                                            <w:right w:val="none" w:sz="0" w:space="0" w:color="auto"/>
                                          </w:divBdr>
                                          <w:divsChild>
                                            <w:div w:id="250282092">
                                              <w:marLeft w:val="0"/>
                                              <w:marRight w:val="0"/>
                                              <w:marTop w:val="0"/>
                                              <w:marBottom w:val="0"/>
                                              <w:divBdr>
                                                <w:top w:val="none" w:sz="0" w:space="0" w:color="auto"/>
                                                <w:left w:val="none" w:sz="0" w:space="0" w:color="auto"/>
                                                <w:bottom w:val="none" w:sz="0" w:space="0" w:color="auto"/>
                                                <w:right w:val="none" w:sz="0" w:space="0" w:color="auto"/>
                                              </w:divBdr>
                                              <w:divsChild>
                                                <w:div w:id="393626529">
                                                  <w:marLeft w:val="0"/>
                                                  <w:marRight w:val="0"/>
                                                  <w:marTop w:val="0"/>
                                                  <w:marBottom w:val="0"/>
                                                  <w:divBdr>
                                                    <w:top w:val="none" w:sz="0" w:space="0" w:color="auto"/>
                                                    <w:left w:val="none" w:sz="0" w:space="0" w:color="auto"/>
                                                    <w:bottom w:val="none" w:sz="0" w:space="0" w:color="auto"/>
                                                    <w:right w:val="none" w:sz="0" w:space="0" w:color="auto"/>
                                                  </w:divBdr>
                                                  <w:divsChild>
                                                    <w:div w:id="1122923900">
                                                      <w:marLeft w:val="0"/>
                                                      <w:marRight w:val="0"/>
                                                      <w:marTop w:val="0"/>
                                                      <w:marBottom w:val="0"/>
                                                      <w:divBdr>
                                                        <w:top w:val="none" w:sz="0" w:space="0" w:color="auto"/>
                                                        <w:left w:val="none" w:sz="0" w:space="0" w:color="auto"/>
                                                        <w:bottom w:val="none" w:sz="0" w:space="0" w:color="auto"/>
                                                        <w:right w:val="none" w:sz="0" w:space="0" w:color="auto"/>
                                                      </w:divBdr>
                                                      <w:divsChild>
                                                        <w:div w:id="1600331169">
                                                          <w:marLeft w:val="15"/>
                                                          <w:marRight w:val="15"/>
                                                          <w:marTop w:val="15"/>
                                                          <w:marBottom w:val="15"/>
                                                          <w:divBdr>
                                                            <w:top w:val="none" w:sz="0" w:space="0" w:color="auto"/>
                                                            <w:left w:val="none" w:sz="0" w:space="0" w:color="auto"/>
                                                            <w:bottom w:val="none" w:sz="0" w:space="0" w:color="auto"/>
                                                            <w:right w:val="none" w:sz="0" w:space="0" w:color="auto"/>
                                                          </w:divBdr>
                                                          <w:divsChild>
                                                            <w:div w:id="1778795450">
                                                              <w:marLeft w:val="0"/>
                                                              <w:marRight w:val="0"/>
                                                              <w:marTop w:val="0"/>
                                                              <w:marBottom w:val="0"/>
                                                              <w:divBdr>
                                                                <w:top w:val="none" w:sz="0" w:space="0" w:color="auto"/>
                                                                <w:left w:val="none" w:sz="0" w:space="0" w:color="auto"/>
                                                                <w:bottom w:val="none" w:sz="0" w:space="0" w:color="auto"/>
                                                                <w:right w:val="none" w:sz="0" w:space="0" w:color="auto"/>
                                                              </w:divBdr>
                                                              <w:divsChild>
                                                                <w:div w:id="59949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43880134">
      <w:bodyDiv w:val="1"/>
      <w:marLeft w:val="0"/>
      <w:marRight w:val="0"/>
      <w:marTop w:val="0"/>
      <w:marBottom w:val="0"/>
      <w:divBdr>
        <w:top w:val="none" w:sz="0" w:space="0" w:color="auto"/>
        <w:left w:val="none" w:sz="0" w:space="0" w:color="auto"/>
        <w:bottom w:val="none" w:sz="0" w:space="0" w:color="auto"/>
        <w:right w:val="none" w:sz="0" w:space="0" w:color="auto"/>
      </w:divBdr>
    </w:div>
    <w:div w:id="287398796">
      <w:bodyDiv w:val="1"/>
      <w:marLeft w:val="0"/>
      <w:marRight w:val="0"/>
      <w:marTop w:val="0"/>
      <w:marBottom w:val="0"/>
      <w:divBdr>
        <w:top w:val="none" w:sz="0" w:space="0" w:color="auto"/>
        <w:left w:val="none" w:sz="0" w:space="0" w:color="auto"/>
        <w:bottom w:val="none" w:sz="0" w:space="0" w:color="auto"/>
        <w:right w:val="none" w:sz="0" w:space="0" w:color="auto"/>
      </w:divBdr>
    </w:div>
    <w:div w:id="347483796">
      <w:bodyDiv w:val="1"/>
      <w:marLeft w:val="0"/>
      <w:marRight w:val="0"/>
      <w:marTop w:val="0"/>
      <w:marBottom w:val="0"/>
      <w:divBdr>
        <w:top w:val="none" w:sz="0" w:space="0" w:color="auto"/>
        <w:left w:val="none" w:sz="0" w:space="0" w:color="auto"/>
        <w:bottom w:val="none" w:sz="0" w:space="0" w:color="auto"/>
        <w:right w:val="none" w:sz="0" w:space="0" w:color="auto"/>
      </w:divBdr>
    </w:div>
    <w:div w:id="385644589">
      <w:bodyDiv w:val="1"/>
      <w:marLeft w:val="0"/>
      <w:marRight w:val="0"/>
      <w:marTop w:val="0"/>
      <w:marBottom w:val="0"/>
      <w:divBdr>
        <w:top w:val="none" w:sz="0" w:space="0" w:color="auto"/>
        <w:left w:val="none" w:sz="0" w:space="0" w:color="auto"/>
        <w:bottom w:val="none" w:sz="0" w:space="0" w:color="auto"/>
        <w:right w:val="none" w:sz="0" w:space="0" w:color="auto"/>
      </w:divBdr>
    </w:div>
    <w:div w:id="449474743">
      <w:bodyDiv w:val="1"/>
      <w:marLeft w:val="0"/>
      <w:marRight w:val="0"/>
      <w:marTop w:val="0"/>
      <w:marBottom w:val="0"/>
      <w:divBdr>
        <w:top w:val="none" w:sz="0" w:space="0" w:color="auto"/>
        <w:left w:val="none" w:sz="0" w:space="0" w:color="auto"/>
        <w:bottom w:val="none" w:sz="0" w:space="0" w:color="auto"/>
        <w:right w:val="none" w:sz="0" w:space="0" w:color="auto"/>
      </w:divBdr>
      <w:divsChild>
        <w:div w:id="1074470151">
          <w:marLeft w:val="0"/>
          <w:marRight w:val="0"/>
          <w:marTop w:val="0"/>
          <w:marBottom w:val="0"/>
          <w:divBdr>
            <w:top w:val="none" w:sz="0" w:space="0" w:color="auto"/>
            <w:left w:val="none" w:sz="0" w:space="0" w:color="auto"/>
            <w:bottom w:val="none" w:sz="0" w:space="0" w:color="auto"/>
            <w:right w:val="none" w:sz="0" w:space="0" w:color="auto"/>
          </w:divBdr>
          <w:divsChild>
            <w:div w:id="1771271201">
              <w:marLeft w:val="0"/>
              <w:marRight w:val="0"/>
              <w:marTop w:val="0"/>
              <w:marBottom w:val="0"/>
              <w:divBdr>
                <w:top w:val="none" w:sz="0" w:space="0" w:color="auto"/>
                <w:left w:val="none" w:sz="0" w:space="0" w:color="auto"/>
                <w:bottom w:val="none" w:sz="0" w:space="0" w:color="auto"/>
                <w:right w:val="none" w:sz="0" w:space="0" w:color="auto"/>
              </w:divBdr>
              <w:divsChild>
                <w:div w:id="1302230557">
                  <w:marLeft w:val="0"/>
                  <w:marRight w:val="0"/>
                  <w:marTop w:val="0"/>
                  <w:marBottom w:val="0"/>
                  <w:divBdr>
                    <w:top w:val="none" w:sz="0" w:space="0" w:color="auto"/>
                    <w:left w:val="none" w:sz="0" w:space="0" w:color="auto"/>
                    <w:bottom w:val="none" w:sz="0" w:space="0" w:color="auto"/>
                    <w:right w:val="none" w:sz="0" w:space="0" w:color="auto"/>
                  </w:divBdr>
                  <w:divsChild>
                    <w:div w:id="202644204">
                      <w:marLeft w:val="2595"/>
                      <w:marRight w:val="0"/>
                      <w:marTop w:val="0"/>
                      <w:marBottom w:val="0"/>
                      <w:divBdr>
                        <w:top w:val="none" w:sz="0" w:space="0" w:color="auto"/>
                        <w:left w:val="none" w:sz="0" w:space="0" w:color="auto"/>
                        <w:bottom w:val="none" w:sz="0" w:space="0" w:color="auto"/>
                        <w:right w:val="none" w:sz="0" w:space="0" w:color="auto"/>
                      </w:divBdr>
                      <w:divsChild>
                        <w:div w:id="687492055">
                          <w:marLeft w:val="0"/>
                          <w:marRight w:val="0"/>
                          <w:marTop w:val="0"/>
                          <w:marBottom w:val="0"/>
                          <w:divBdr>
                            <w:top w:val="none" w:sz="0" w:space="0" w:color="auto"/>
                            <w:left w:val="none" w:sz="0" w:space="0" w:color="auto"/>
                            <w:bottom w:val="none" w:sz="0" w:space="0" w:color="auto"/>
                            <w:right w:val="none" w:sz="0" w:space="0" w:color="auto"/>
                          </w:divBdr>
                          <w:divsChild>
                            <w:div w:id="1343125777">
                              <w:marLeft w:val="0"/>
                              <w:marRight w:val="0"/>
                              <w:marTop w:val="0"/>
                              <w:marBottom w:val="0"/>
                              <w:divBdr>
                                <w:top w:val="none" w:sz="0" w:space="0" w:color="auto"/>
                                <w:left w:val="none" w:sz="0" w:space="0" w:color="auto"/>
                                <w:bottom w:val="none" w:sz="0" w:space="0" w:color="auto"/>
                                <w:right w:val="none" w:sz="0" w:space="0" w:color="auto"/>
                              </w:divBdr>
                              <w:divsChild>
                                <w:div w:id="1496845101">
                                  <w:marLeft w:val="0"/>
                                  <w:marRight w:val="0"/>
                                  <w:marTop w:val="0"/>
                                  <w:marBottom w:val="0"/>
                                  <w:divBdr>
                                    <w:top w:val="none" w:sz="0" w:space="0" w:color="auto"/>
                                    <w:left w:val="none" w:sz="0" w:space="0" w:color="auto"/>
                                    <w:bottom w:val="none" w:sz="0" w:space="0" w:color="auto"/>
                                    <w:right w:val="none" w:sz="0" w:space="0" w:color="auto"/>
                                  </w:divBdr>
                                  <w:divsChild>
                                    <w:div w:id="706030170">
                                      <w:marLeft w:val="0"/>
                                      <w:marRight w:val="0"/>
                                      <w:marTop w:val="0"/>
                                      <w:marBottom w:val="0"/>
                                      <w:divBdr>
                                        <w:top w:val="none" w:sz="0" w:space="0" w:color="auto"/>
                                        <w:left w:val="none" w:sz="0" w:space="0" w:color="auto"/>
                                        <w:bottom w:val="none" w:sz="0" w:space="0" w:color="auto"/>
                                        <w:right w:val="none" w:sz="0" w:space="0" w:color="auto"/>
                                      </w:divBdr>
                                      <w:divsChild>
                                        <w:div w:id="1480808813">
                                          <w:marLeft w:val="0"/>
                                          <w:marRight w:val="0"/>
                                          <w:marTop w:val="0"/>
                                          <w:marBottom w:val="0"/>
                                          <w:divBdr>
                                            <w:top w:val="none" w:sz="0" w:space="0" w:color="auto"/>
                                            <w:left w:val="none" w:sz="0" w:space="0" w:color="auto"/>
                                            <w:bottom w:val="none" w:sz="0" w:space="0" w:color="auto"/>
                                            <w:right w:val="none" w:sz="0" w:space="0" w:color="auto"/>
                                          </w:divBdr>
                                        </w:div>
                                        <w:div w:id="1483349979">
                                          <w:marLeft w:val="0"/>
                                          <w:marRight w:val="0"/>
                                          <w:marTop w:val="0"/>
                                          <w:marBottom w:val="0"/>
                                          <w:divBdr>
                                            <w:top w:val="none" w:sz="0" w:space="0" w:color="auto"/>
                                            <w:left w:val="none" w:sz="0" w:space="0" w:color="auto"/>
                                            <w:bottom w:val="none" w:sz="0" w:space="0" w:color="auto"/>
                                            <w:right w:val="none" w:sz="0" w:space="0" w:color="auto"/>
                                          </w:divBdr>
                                          <w:divsChild>
                                            <w:div w:id="709568917">
                                              <w:marLeft w:val="0"/>
                                              <w:marRight w:val="0"/>
                                              <w:marTop w:val="0"/>
                                              <w:marBottom w:val="0"/>
                                              <w:divBdr>
                                                <w:top w:val="none" w:sz="0" w:space="0" w:color="auto"/>
                                                <w:left w:val="none" w:sz="0" w:space="0" w:color="auto"/>
                                                <w:bottom w:val="none" w:sz="0" w:space="0" w:color="auto"/>
                                                <w:right w:val="none" w:sz="0" w:space="0" w:color="auto"/>
                                              </w:divBdr>
                                              <w:divsChild>
                                                <w:div w:id="1104228998">
                                                  <w:marLeft w:val="0"/>
                                                  <w:marRight w:val="0"/>
                                                  <w:marTop w:val="0"/>
                                                  <w:marBottom w:val="0"/>
                                                  <w:divBdr>
                                                    <w:top w:val="none" w:sz="0" w:space="0" w:color="auto"/>
                                                    <w:left w:val="none" w:sz="0" w:space="0" w:color="auto"/>
                                                    <w:bottom w:val="none" w:sz="0" w:space="0" w:color="auto"/>
                                                    <w:right w:val="none" w:sz="0" w:space="0" w:color="auto"/>
                                                  </w:divBdr>
                                                </w:div>
                                                <w:div w:id="1473599979">
                                                  <w:marLeft w:val="0"/>
                                                  <w:marRight w:val="0"/>
                                                  <w:marTop w:val="0"/>
                                                  <w:marBottom w:val="0"/>
                                                  <w:divBdr>
                                                    <w:top w:val="none" w:sz="0" w:space="0" w:color="auto"/>
                                                    <w:left w:val="none" w:sz="0" w:space="0" w:color="auto"/>
                                                    <w:bottom w:val="none" w:sz="0" w:space="0" w:color="auto"/>
                                                    <w:right w:val="none" w:sz="0" w:space="0" w:color="auto"/>
                                                  </w:divBdr>
                                                </w:div>
                                                <w:div w:id="157825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4590458">
      <w:bodyDiv w:val="1"/>
      <w:marLeft w:val="0"/>
      <w:marRight w:val="0"/>
      <w:marTop w:val="0"/>
      <w:marBottom w:val="0"/>
      <w:divBdr>
        <w:top w:val="none" w:sz="0" w:space="0" w:color="auto"/>
        <w:left w:val="none" w:sz="0" w:space="0" w:color="auto"/>
        <w:bottom w:val="none" w:sz="0" w:space="0" w:color="auto"/>
        <w:right w:val="none" w:sz="0" w:space="0" w:color="auto"/>
      </w:divBdr>
    </w:div>
    <w:div w:id="615597728">
      <w:bodyDiv w:val="1"/>
      <w:marLeft w:val="0"/>
      <w:marRight w:val="0"/>
      <w:marTop w:val="0"/>
      <w:marBottom w:val="0"/>
      <w:divBdr>
        <w:top w:val="none" w:sz="0" w:space="0" w:color="auto"/>
        <w:left w:val="none" w:sz="0" w:space="0" w:color="auto"/>
        <w:bottom w:val="none" w:sz="0" w:space="0" w:color="auto"/>
        <w:right w:val="none" w:sz="0" w:space="0" w:color="auto"/>
      </w:divBdr>
    </w:div>
    <w:div w:id="630474185">
      <w:bodyDiv w:val="1"/>
      <w:marLeft w:val="0"/>
      <w:marRight w:val="0"/>
      <w:marTop w:val="0"/>
      <w:marBottom w:val="0"/>
      <w:divBdr>
        <w:top w:val="none" w:sz="0" w:space="0" w:color="auto"/>
        <w:left w:val="none" w:sz="0" w:space="0" w:color="auto"/>
        <w:bottom w:val="none" w:sz="0" w:space="0" w:color="auto"/>
        <w:right w:val="none" w:sz="0" w:space="0" w:color="auto"/>
      </w:divBdr>
    </w:div>
    <w:div w:id="630526264">
      <w:bodyDiv w:val="1"/>
      <w:marLeft w:val="0"/>
      <w:marRight w:val="0"/>
      <w:marTop w:val="0"/>
      <w:marBottom w:val="0"/>
      <w:divBdr>
        <w:top w:val="none" w:sz="0" w:space="0" w:color="auto"/>
        <w:left w:val="none" w:sz="0" w:space="0" w:color="auto"/>
        <w:bottom w:val="none" w:sz="0" w:space="0" w:color="auto"/>
        <w:right w:val="none" w:sz="0" w:space="0" w:color="auto"/>
      </w:divBdr>
    </w:div>
    <w:div w:id="733815134">
      <w:bodyDiv w:val="1"/>
      <w:marLeft w:val="0"/>
      <w:marRight w:val="0"/>
      <w:marTop w:val="0"/>
      <w:marBottom w:val="0"/>
      <w:divBdr>
        <w:top w:val="none" w:sz="0" w:space="0" w:color="auto"/>
        <w:left w:val="none" w:sz="0" w:space="0" w:color="auto"/>
        <w:bottom w:val="none" w:sz="0" w:space="0" w:color="auto"/>
        <w:right w:val="none" w:sz="0" w:space="0" w:color="auto"/>
      </w:divBdr>
    </w:div>
    <w:div w:id="882985602">
      <w:bodyDiv w:val="1"/>
      <w:marLeft w:val="0"/>
      <w:marRight w:val="0"/>
      <w:marTop w:val="0"/>
      <w:marBottom w:val="0"/>
      <w:divBdr>
        <w:top w:val="none" w:sz="0" w:space="0" w:color="auto"/>
        <w:left w:val="none" w:sz="0" w:space="0" w:color="auto"/>
        <w:bottom w:val="none" w:sz="0" w:space="0" w:color="auto"/>
        <w:right w:val="none" w:sz="0" w:space="0" w:color="auto"/>
      </w:divBdr>
    </w:div>
    <w:div w:id="906643817">
      <w:bodyDiv w:val="1"/>
      <w:marLeft w:val="0"/>
      <w:marRight w:val="0"/>
      <w:marTop w:val="0"/>
      <w:marBottom w:val="0"/>
      <w:divBdr>
        <w:top w:val="none" w:sz="0" w:space="0" w:color="auto"/>
        <w:left w:val="none" w:sz="0" w:space="0" w:color="auto"/>
        <w:bottom w:val="none" w:sz="0" w:space="0" w:color="auto"/>
        <w:right w:val="none" w:sz="0" w:space="0" w:color="auto"/>
      </w:divBdr>
      <w:divsChild>
        <w:div w:id="241260141">
          <w:marLeft w:val="0"/>
          <w:marRight w:val="0"/>
          <w:marTop w:val="0"/>
          <w:marBottom w:val="0"/>
          <w:divBdr>
            <w:top w:val="none" w:sz="0" w:space="0" w:color="auto"/>
            <w:left w:val="none" w:sz="0" w:space="0" w:color="auto"/>
            <w:bottom w:val="none" w:sz="0" w:space="0" w:color="auto"/>
            <w:right w:val="none" w:sz="0" w:space="0" w:color="auto"/>
          </w:divBdr>
          <w:divsChild>
            <w:div w:id="1563979157">
              <w:marLeft w:val="0"/>
              <w:marRight w:val="0"/>
              <w:marTop w:val="0"/>
              <w:marBottom w:val="0"/>
              <w:divBdr>
                <w:top w:val="none" w:sz="0" w:space="0" w:color="auto"/>
                <w:left w:val="none" w:sz="0" w:space="0" w:color="auto"/>
                <w:bottom w:val="none" w:sz="0" w:space="0" w:color="auto"/>
                <w:right w:val="none" w:sz="0" w:space="0" w:color="auto"/>
              </w:divBdr>
              <w:divsChild>
                <w:div w:id="853693215">
                  <w:marLeft w:val="0"/>
                  <w:marRight w:val="0"/>
                  <w:marTop w:val="0"/>
                  <w:marBottom w:val="0"/>
                  <w:divBdr>
                    <w:top w:val="none" w:sz="0" w:space="0" w:color="auto"/>
                    <w:left w:val="none" w:sz="0" w:space="0" w:color="auto"/>
                    <w:bottom w:val="none" w:sz="0" w:space="0" w:color="auto"/>
                    <w:right w:val="none" w:sz="0" w:space="0" w:color="auto"/>
                  </w:divBdr>
                  <w:divsChild>
                    <w:div w:id="1704942736">
                      <w:marLeft w:val="0"/>
                      <w:marRight w:val="0"/>
                      <w:marTop w:val="0"/>
                      <w:marBottom w:val="0"/>
                      <w:divBdr>
                        <w:top w:val="none" w:sz="0" w:space="0" w:color="auto"/>
                        <w:left w:val="none" w:sz="0" w:space="0" w:color="auto"/>
                        <w:bottom w:val="none" w:sz="0" w:space="0" w:color="auto"/>
                        <w:right w:val="none" w:sz="0" w:space="0" w:color="auto"/>
                      </w:divBdr>
                      <w:divsChild>
                        <w:div w:id="2120444067">
                          <w:marLeft w:val="0"/>
                          <w:marRight w:val="0"/>
                          <w:marTop w:val="0"/>
                          <w:marBottom w:val="0"/>
                          <w:divBdr>
                            <w:top w:val="none" w:sz="0" w:space="0" w:color="auto"/>
                            <w:left w:val="none" w:sz="0" w:space="0" w:color="auto"/>
                            <w:bottom w:val="none" w:sz="0" w:space="0" w:color="auto"/>
                            <w:right w:val="none" w:sz="0" w:space="0" w:color="auto"/>
                          </w:divBdr>
                          <w:divsChild>
                            <w:div w:id="1001590432">
                              <w:marLeft w:val="0"/>
                              <w:marRight w:val="0"/>
                              <w:marTop w:val="0"/>
                              <w:marBottom w:val="0"/>
                              <w:divBdr>
                                <w:top w:val="none" w:sz="0" w:space="0" w:color="auto"/>
                                <w:left w:val="none" w:sz="0" w:space="0" w:color="auto"/>
                                <w:bottom w:val="none" w:sz="0" w:space="0" w:color="auto"/>
                                <w:right w:val="none" w:sz="0" w:space="0" w:color="auto"/>
                              </w:divBdr>
                            </w:div>
                            <w:div w:id="81313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97194">
      <w:bodyDiv w:val="1"/>
      <w:marLeft w:val="0"/>
      <w:marRight w:val="0"/>
      <w:marTop w:val="0"/>
      <w:marBottom w:val="0"/>
      <w:divBdr>
        <w:top w:val="none" w:sz="0" w:space="0" w:color="auto"/>
        <w:left w:val="none" w:sz="0" w:space="0" w:color="auto"/>
        <w:bottom w:val="none" w:sz="0" w:space="0" w:color="auto"/>
        <w:right w:val="none" w:sz="0" w:space="0" w:color="auto"/>
      </w:divBdr>
    </w:div>
    <w:div w:id="1015108294">
      <w:bodyDiv w:val="1"/>
      <w:marLeft w:val="0"/>
      <w:marRight w:val="0"/>
      <w:marTop w:val="0"/>
      <w:marBottom w:val="0"/>
      <w:divBdr>
        <w:top w:val="none" w:sz="0" w:space="0" w:color="auto"/>
        <w:left w:val="none" w:sz="0" w:space="0" w:color="auto"/>
        <w:bottom w:val="none" w:sz="0" w:space="0" w:color="auto"/>
        <w:right w:val="none" w:sz="0" w:space="0" w:color="auto"/>
      </w:divBdr>
    </w:div>
    <w:div w:id="1229729796">
      <w:bodyDiv w:val="1"/>
      <w:marLeft w:val="0"/>
      <w:marRight w:val="0"/>
      <w:marTop w:val="0"/>
      <w:marBottom w:val="0"/>
      <w:divBdr>
        <w:top w:val="none" w:sz="0" w:space="0" w:color="auto"/>
        <w:left w:val="none" w:sz="0" w:space="0" w:color="auto"/>
        <w:bottom w:val="none" w:sz="0" w:space="0" w:color="auto"/>
        <w:right w:val="none" w:sz="0" w:space="0" w:color="auto"/>
      </w:divBdr>
    </w:div>
    <w:div w:id="1302417003">
      <w:bodyDiv w:val="1"/>
      <w:marLeft w:val="0"/>
      <w:marRight w:val="0"/>
      <w:marTop w:val="0"/>
      <w:marBottom w:val="0"/>
      <w:divBdr>
        <w:top w:val="none" w:sz="0" w:space="0" w:color="auto"/>
        <w:left w:val="none" w:sz="0" w:space="0" w:color="auto"/>
        <w:bottom w:val="none" w:sz="0" w:space="0" w:color="auto"/>
        <w:right w:val="none" w:sz="0" w:space="0" w:color="auto"/>
      </w:divBdr>
      <w:divsChild>
        <w:div w:id="968588172">
          <w:marLeft w:val="2"/>
          <w:marRight w:val="0"/>
          <w:marTop w:val="0"/>
          <w:marBottom w:val="0"/>
          <w:divBdr>
            <w:top w:val="none" w:sz="0" w:space="0" w:color="auto"/>
            <w:left w:val="none" w:sz="0" w:space="0" w:color="auto"/>
            <w:bottom w:val="none" w:sz="0" w:space="0" w:color="auto"/>
            <w:right w:val="none" w:sz="0" w:space="0" w:color="auto"/>
          </w:divBdr>
          <w:divsChild>
            <w:div w:id="894701133">
              <w:marLeft w:val="1"/>
              <w:marRight w:val="1"/>
              <w:marTop w:val="0"/>
              <w:marBottom w:val="0"/>
              <w:divBdr>
                <w:top w:val="none" w:sz="0" w:space="0" w:color="auto"/>
                <w:left w:val="none" w:sz="0" w:space="0" w:color="auto"/>
                <w:bottom w:val="none" w:sz="0" w:space="0" w:color="auto"/>
                <w:right w:val="none" w:sz="0" w:space="0" w:color="auto"/>
              </w:divBdr>
              <w:divsChild>
                <w:div w:id="470681685">
                  <w:marLeft w:val="1"/>
                  <w:marRight w:val="1"/>
                  <w:marTop w:val="0"/>
                  <w:marBottom w:val="0"/>
                  <w:divBdr>
                    <w:top w:val="none" w:sz="0" w:space="0" w:color="auto"/>
                    <w:left w:val="none" w:sz="0" w:space="0" w:color="auto"/>
                    <w:bottom w:val="none" w:sz="0" w:space="0" w:color="auto"/>
                    <w:right w:val="none" w:sz="0" w:space="0" w:color="auto"/>
                  </w:divBdr>
                  <w:divsChild>
                    <w:div w:id="2102333618">
                      <w:marLeft w:val="0"/>
                      <w:marRight w:val="0"/>
                      <w:marTop w:val="0"/>
                      <w:marBottom w:val="0"/>
                      <w:divBdr>
                        <w:top w:val="none" w:sz="0" w:space="0" w:color="auto"/>
                        <w:left w:val="none" w:sz="0" w:space="0" w:color="auto"/>
                        <w:bottom w:val="none" w:sz="0" w:space="0" w:color="auto"/>
                        <w:right w:val="none" w:sz="0" w:space="0" w:color="auto"/>
                      </w:divBdr>
                      <w:divsChild>
                        <w:div w:id="140240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6221010">
      <w:bodyDiv w:val="1"/>
      <w:marLeft w:val="0"/>
      <w:marRight w:val="0"/>
      <w:marTop w:val="0"/>
      <w:marBottom w:val="0"/>
      <w:divBdr>
        <w:top w:val="none" w:sz="0" w:space="0" w:color="auto"/>
        <w:left w:val="none" w:sz="0" w:space="0" w:color="auto"/>
        <w:bottom w:val="none" w:sz="0" w:space="0" w:color="auto"/>
        <w:right w:val="none" w:sz="0" w:space="0" w:color="auto"/>
      </w:divBdr>
    </w:div>
    <w:div w:id="1511482148">
      <w:bodyDiv w:val="1"/>
      <w:marLeft w:val="0"/>
      <w:marRight w:val="0"/>
      <w:marTop w:val="0"/>
      <w:marBottom w:val="0"/>
      <w:divBdr>
        <w:top w:val="none" w:sz="0" w:space="0" w:color="auto"/>
        <w:left w:val="none" w:sz="0" w:space="0" w:color="auto"/>
        <w:bottom w:val="none" w:sz="0" w:space="0" w:color="auto"/>
        <w:right w:val="none" w:sz="0" w:space="0" w:color="auto"/>
      </w:divBdr>
    </w:div>
    <w:div w:id="1538346818">
      <w:bodyDiv w:val="1"/>
      <w:marLeft w:val="0"/>
      <w:marRight w:val="0"/>
      <w:marTop w:val="0"/>
      <w:marBottom w:val="0"/>
      <w:divBdr>
        <w:top w:val="none" w:sz="0" w:space="0" w:color="auto"/>
        <w:left w:val="none" w:sz="0" w:space="0" w:color="auto"/>
        <w:bottom w:val="none" w:sz="0" w:space="0" w:color="auto"/>
        <w:right w:val="none" w:sz="0" w:space="0" w:color="auto"/>
      </w:divBdr>
    </w:div>
    <w:div w:id="1702854450">
      <w:bodyDiv w:val="1"/>
      <w:marLeft w:val="0"/>
      <w:marRight w:val="0"/>
      <w:marTop w:val="0"/>
      <w:marBottom w:val="0"/>
      <w:divBdr>
        <w:top w:val="none" w:sz="0" w:space="0" w:color="auto"/>
        <w:left w:val="none" w:sz="0" w:space="0" w:color="auto"/>
        <w:bottom w:val="none" w:sz="0" w:space="0" w:color="auto"/>
        <w:right w:val="none" w:sz="0" w:space="0" w:color="auto"/>
      </w:divBdr>
    </w:div>
    <w:div w:id="1858420060">
      <w:bodyDiv w:val="1"/>
      <w:marLeft w:val="0"/>
      <w:marRight w:val="0"/>
      <w:marTop w:val="0"/>
      <w:marBottom w:val="0"/>
      <w:divBdr>
        <w:top w:val="none" w:sz="0" w:space="0" w:color="auto"/>
        <w:left w:val="none" w:sz="0" w:space="0" w:color="auto"/>
        <w:bottom w:val="none" w:sz="0" w:space="0" w:color="auto"/>
        <w:right w:val="none" w:sz="0" w:space="0" w:color="auto"/>
      </w:divBdr>
    </w:div>
    <w:div w:id="1917327174">
      <w:bodyDiv w:val="1"/>
      <w:marLeft w:val="0"/>
      <w:marRight w:val="0"/>
      <w:marTop w:val="0"/>
      <w:marBottom w:val="0"/>
      <w:divBdr>
        <w:top w:val="none" w:sz="0" w:space="0" w:color="auto"/>
        <w:left w:val="none" w:sz="0" w:space="0" w:color="auto"/>
        <w:bottom w:val="none" w:sz="0" w:space="0" w:color="auto"/>
        <w:right w:val="none" w:sz="0" w:space="0" w:color="auto"/>
      </w:divBdr>
    </w:div>
    <w:div w:id="1946037861">
      <w:bodyDiv w:val="1"/>
      <w:marLeft w:val="0"/>
      <w:marRight w:val="0"/>
      <w:marTop w:val="0"/>
      <w:marBottom w:val="0"/>
      <w:divBdr>
        <w:top w:val="none" w:sz="0" w:space="0" w:color="auto"/>
        <w:left w:val="none" w:sz="0" w:space="0" w:color="auto"/>
        <w:bottom w:val="none" w:sz="0" w:space="0" w:color="auto"/>
        <w:right w:val="none" w:sz="0" w:space="0" w:color="auto"/>
      </w:divBdr>
    </w:div>
    <w:div w:id="1955667286">
      <w:bodyDiv w:val="1"/>
      <w:marLeft w:val="0"/>
      <w:marRight w:val="0"/>
      <w:marTop w:val="0"/>
      <w:marBottom w:val="0"/>
      <w:divBdr>
        <w:top w:val="none" w:sz="0" w:space="0" w:color="auto"/>
        <w:left w:val="none" w:sz="0" w:space="0" w:color="auto"/>
        <w:bottom w:val="none" w:sz="0" w:space="0" w:color="auto"/>
        <w:right w:val="none" w:sz="0" w:space="0" w:color="auto"/>
      </w:divBdr>
    </w:div>
    <w:div w:id="2045864392">
      <w:bodyDiv w:val="1"/>
      <w:marLeft w:val="0"/>
      <w:marRight w:val="0"/>
      <w:marTop w:val="0"/>
      <w:marBottom w:val="0"/>
      <w:divBdr>
        <w:top w:val="none" w:sz="0" w:space="0" w:color="auto"/>
        <w:left w:val="none" w:sz="0" w:space="0" w:color="auto"/>
        <w:bottom w:val="none" w:sz="0" w:space="0" w:color="auto"/>
        <w:right w:val="none" w:sz="0" w:space="0" w:color="auto"/>
      </w:divBdr>
    </w:div>
    <w:div w:id="2046446302">
      <w:bodyDiv w:val="1"/>
      <w:marLeft w:val="0"/>
      <w:marRight w:val="0"/>
      <w:marTop w:val="0"/>
      <w:marBottom w:val="0"/>
      <w:divBdr>
        <w:top w:val="none" w:sz="0" w:space="0" w:color="auto"/>
        <w:left w:val="none" w:sz="0" w:space="0" w:color="auto"/>
        <w:bottom w:val="none" w:sz="0" w:space="0" w:color="auto"/>
        <w:right w:val="none" w:sz="0" w:space="0" w:color="auto"/>
      </w:divBdr>
    </w:div>
    <w:div w:id="2067145100">
      <w:bodyDiv w:val="1"/>
      <w:marLeft w:val="0"/>
      <w:marRight w:val="0"/>
      <w:marTop w:val="0"/>
      <w:marBottom w:val="0"/>
      <w:divBdr>
        <w:top w:val="none" w:sz="0" w:space="0" w:color="auto"/>
        <w:left w:val="none" w:sz="0" w:space="0" w:color="auto"/>
        <w:bottom w:val="none" w:sz="0" w:space="0" w:color="auto"/>
        <w:right w:val="none" w:sz="0" w:space="0" w:color="auto"/>
      </w:divBdr>
    </w:div>
    <w:div w:id="2095123469">
      <w:bodyDiv w:val="1"/>
      <w:marLeft w:val="0"/>
      <w:marRight w:val="0"/>
      <w:marTop w:val="0"/>
      <w:marBottom w:val="0"/>
      <w:divBdr>
        <w:top w:val="none" w:sz="0" w:space="0" w:color="auto"/>
        <w:left w:val="none" w:sz="0" w:space="0" w:color="auto"/>
        <w:bottom w:val="none" w:sz="0" w:space="0" w:color="auto"/>
        <w:right w:val="none" w:sz="0" w:space="0" w:color="auto"/>
      </w:divBdr>
      <w:divsChild>
        <w:div w:id="701054323">
          <w:marLeft w:val="0"/>
          <w:marRight w:val="0"/>
          <w:marTop w:val="0"/>
          <w:marBottom w:val="0"/>
          <w:divBdr>
            <w:top w:val="none" w:sz="0" w:space="0" w:color="auto"/>
            <w:left w:val="none" w:sz="0" w:space="0" w:color="auto"/>
            <w:bottom w:val="none" w:sz="0" w:space="0" w:color="auto"/>
            <w:right w:val="none" w:sz="0" w:space="0" w:color="auto"/>
          </w:divBdr>
          <w:divsChild>
            <w:div w:id="1096513262">
              <w:marLeft w:val="0"/>
              <w:marRight w:val="0"/>
              <w:marTop w:val="0"/>
              <w:marBottom w:val="0"/>
              <w:divBdr>
                <w:top w:val="none" w:sz="0" w:space="0" w:color="auto"/>
                <w:left w:val="none" w:sz="0" w:space="0" w:color="auto"/>
                <w:bottom w:val="none" w:sz="0" w:space="0" w:color="auto"/>
                <w:right w:val="none" w:sz="0" w:space="0" w:color="auto"/>
              </w:divBdr>
              <w:divsChild>
                <w:div w:id="153388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168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https://olis.leg.state.or.us/liz/2019R1/Downloads/MeasureAnalysisDocument/51322"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hyperlink" Target="https://www.oregon.gov/deq/Regulations/rulemaking/Pages/rhot2019.aspx"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hyperlink" Target="https://olis.leg.state.or.us/liz/2019R1/Downloads/MeasureAnalysisDocument/44918" TargetMode="External"/><Relationship Id="rId33" Type="http://schemas.openxmlformats.org/officeDocument/2006/relationships/hyperlink" Target="http://www.oregon.gov/deq/Get-Involved/Pages/Calendar.aspx"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4.xml"/><Relationship Id="rId29" Type="http://schemas.openxmlformats.org/officeDocument/2006/relationships/hyperlink" Target="http://www.oregon.gov/deq/Get-Involved/Pages/Calendar.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eqsps/programs/rulemaking/SitePages/Rulemaking%20Resources.aspx" TargetMode="External"/><Relationship Id="rId24" Type="http://schemas.openxmlformats.org/officeDocument/2006/relationships/hyperlink" Target="https://olis.leg.state.or.us/liz/2019R1/Downloads/MeasureAnalysisDocument/44526" TargetMode="External"/><Relationship Id="rId32" Type="http://schemas.openxmlformats.org/officeDocument/2006/relationships/hyperlink" Target="https://www.oregonlaws.org/ors/183.335" TargetMode="External"/><Relationship Id="rId37" Type="http://schemas.openxmlformats.org/officeDocument/2006/relationships/hyperlink" Target="mailto:deqinfo@deq.state.or.us"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olis.leg.state.or.us/liz/2019R1/Downloads/MeasureAnalysisDocument/44412" TargetMode="External"/><Relationship Id="rId28" Type="http://schemas.openxmlformats.org/officeDocument/2006/relationships/hyperlink" Target="https://www.oregon.gov/deq/Regulations/rulemaking/Pages/rhot2019.aspx" TargetMode="External"/><Relationship Id="rId36"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https://www.oregon.gov/deq/Regulations/rulemaking/Pages/rhot2019.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olis.leg.state.or.us/liz/2019R1/Measures/Overview/SB40" TargetMode="External"/><Relationship Id="rId27" Type="http://schemas.openxmlformats.org/officeDocument/2006/relationships/hyperlink" Target="https://olis.leg.state.or.us/liz/2019R1/Downloads/CommitteeMeetingDocument/201740" TargetMode="External"/><Relationship Id="rId30" Type="http://schemas.openxmlformats.org/officeDocument/2006/relationships/hyperlink" Target="https://www.oregon.gov/deq/Regulations/rulemaking/Pages/rhot2019.aspx" TargetMode="External"/><Relationship Id="rId35" Type="http://schemas.openxmlformats.org/officeDocument/2006/relationships/hyperlink" Target="https://www.oregon.gov/deq/Get-Involved/Pages/Calendar.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opic xmlns="$ListId:docs;">F - EQC Preparation</Topic>
    <Subtopic xmlns="$ListId:docs;"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589E122ADD50E4BAB41275941B81369" ma:contentTypeVersion="" ma:contentTypeDescription="Create a new document." ma:contentTypeScope="" ma:versionID="5aa29e35e5b773206bb3c8e601c01a42">
  <xsd:schema xmlns:xsd="http://www.w3.org/2001/XMLSchema" xmlns:xs="http://www.w3.org/2001/XMLSchema" xmlns:p="http://schemas.microsoft.com/office/2006/metadata/properties" xmlns:ns2="$ListId:docs;" targetNamespace="http://schemas.microsoft.com/office/2006/metadata/properties" ma:root="true" ma:fieldsID="001150d0fd4e043abff2eb1471db209c" ns2:_="">
    <xsd:import namespace="$ListId:docs;"/>
    <xsd:element name="properties">
      <xsd:complexType>
        <xsd:sequence>
          <xsd:element name="documentManagement">
            <xsd:complexType>
              <xsd:all>
                <xsd:element ref="ns2:Topic" minOccurs="0"/>
                <xsd:element ref="ns2:Sub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cs;" elementFormDefault="qualified">
    <xsd:import namespace="http://schemas.microsoft.com/office/2006/documentManagement/types"/>
    <xsd:import namespace="http://schemas.microsoft.com/office/infopath/2007/PartnerControls"/>
    <xsd:element name="Topic" ma:index="8" nillable="true" ma:displayName="Topic" ma:default="Select..." ma:format="Dropdown" ma:internalName="Topic">
      <xsd:simpleType>
        <xsd:restriction base="dms:Choice">
          <xsd:enumeration value="Select..."/>
          <xsd:enumeration value="A - Rules"/>
          <xsd:enumeration value="B - Planning"/>
          <xsd:enumeration value="C - Stakeholder Involvement"/>
          <xsd:enumeration value="D - Fee Approval"/>
          <xsd:enumeration value="E - Public Notice"/>
          <xsd:enumeration value="F - EQC Preparation"/>
          <xsd:enumeration value="G - Supporting Documents"/>
        </xsd:restriction>
      </xsd:simpleType>
    </xsd:element>
    <xsd:element name="Subtopic" ma:index="9" nillable="true" ma:displayName="Subtopic" ma:internalName="Subtopic">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5E40AD-E2ED-4556-8D8E-A6BF4859B8EC}">
  <ds:schemaRefs>
    <ds:schemaRef ds:uri="http://schemas.microsoft.com/office/infopath/2007/PartnerControls"/>
    <ds:schemaRef ds:uri="http://purl.org/dc/elements/1.1/"/>
    <ds:schemaRef ds:uri="http://schemas.microsoft.com/office/2006/metadata/properties"/>
    <ds:schemaRef ds:uri="$ListId:doc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8DB0A328-AE88-4B6E-9C7C-3C2E5AA152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c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ECCC32-2E68-4A2B-B86B-174D068D10D6}">
  <ds:schemaRefs>
    <ds:schemaRef ds:uri="http://schemas.microsoft.com/sharepoint/v3/contenttype/forms"/>
  </ds:schemaRefs>
</ds:datastoreItem>
</file>

<file path=customXml/itemProps4.xml><?xml version="1.0" encoding="utf-8"?>
<ds:datastoreItem xmlns:ds="http://schemas.openxmlformats.org/officeDocument/2006/customXml" ds:itemID="{4EB72CD6-8E90-46FE-A2A4-735B3111E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33</Pages>
  <Words>6771</Words>
  <Characters>38597</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State of Oregon Department of Environmental Quality</Company>
  <LinksUpToDate>false</LinksUpToDate>
  <CharactersWithSpaces>45278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GOLDSTEIN Meyer</dc:creator>
  <cp:lastModifiedBy>COHEN Jessika</cp:lastModifiedBy>
  <cp:revision>12</cp:revision>
  <cp:lastPrinted>2013-02-28T21:12:00Z</cp:lastPrinted>
  <dcterms:created xsi:type="dcterms:W3CDTF">2019-03-21T16:05:00Z</dcterms:created>
  <dcterms:modified xsi:type="dcterms:W3CDTF">2019-09-09T22:34:00Z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0x0101001589E122ADD50E4BAB41275941B81369</vt:lpwstr>
  </property>
</Properties>
</file>