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lang w:val="en-ZW" w:eastAsia="en-ZW"/>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lang w:val="en-ZW" w:eastAsia="en-ZW"/>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B65478">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lang w:val="en-ZW" w:eastAsia="en-ZW"/>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lang w:val="en-ZW" w:eastAsia="en-ZW"/>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7" w:name="_Toc3988348"/>
      <w:bookmarkStart w:id="8" w:name="_Toc4051280"/>
      <w:r w:rsidRPr="003C26EE">
        <w:lastRenderedPageBreak/>
        <w:t>Rules affected, authorities, supporting documents</w:t>
      </w:r>
      <w:bookmarkEnd w:id="7"/>
      <w:bookmarkEnd w:id="8"/>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lang w:val="en-ZW" w:eastAsia="en-ZW"/>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9" w:name="_Toc15883578"/>
      <w:bookmarkStart w:id="10" w:name="SupportingDocuments"/>
      <w:r w:rsidRPr="00F43D69">
        <w:rPr>
          <w:rStyle w:val="Heading1Char"/>
          <w:rFonts w:cstheme="majorBidi"/>
          <w:b/>
          <w:bCs/>
          <w:sz w:val="32"/>
          <w:szCs w:val="26"/>
        </w:rPr>
        <w:t>Documents relied on for rulemaking</w:t>
      </w:r>
      <w:bookmarkEnd w:id="9"/>
      <w:bookmarkEnd w:id="10"/>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lang w:val="en-ZW" w:eastAsia="en-ZW"/>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B65478"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B65478"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4" w:name="_Toc3988350"/>
      <w:bookmarkStart w:id="15" w:name="_Toc4051282"/>
      <w:r>
        <w:lastRenderedPageBreak/>
        <w:t>Statement of F</w:t>
      </w:r>
      <w:r w:rsidR="002F2F6F" w:rsidRPr="003C26EE">
        <w:t xml:space="preserve">iscal and </w:t>
      </w:r>
      <w:r>
        <w:t>Economic I</w:t>
      </w:r>
      <w:r w:rsidR="002F2F6F" w:rsidRPr="003C26EE">
        <w:t>mpact</w:t>
      </w:r>
      <w:bookmarkEnd w:id="14"/>
      <w:bookmarkEnd w:id="15"/>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lang w:val="en-ZW" w:eastAsia="en-ZW"/>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6" w:name="_Toc3985804"/>
      <w:r w:rsidRPr="00B65827">
        <w:rPr>
          <w:rFonts w:ascii="Arial" w:hAnsi="Arial" w:cstheme="minorHAnsi"/>
          <w:b/>
          <w:bCs/>
          <w:sz w:val="44"/>
          <w:szCs w:val="20"/>
        </w:rPr>
        <w:t>Housing cost</w:t>
      </w:r>
      <w:bookmarkEnd w:id="16"/>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7" w:name="_Toc3988351"/>
      <w:bookmarkStart w:id="18" w:name="_Toc4051283"/>
      <w:r w:rsidRPr="003C26EE">
        <w:lastRenderedPageBreak/>
        <w:t>Federal relationship</w:t>
      </w:r>
      <w:bookmarkEnd w:id="17"/>
      <w:bookmarkEnd w:id="18"/>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lang w:val="en-ZW" w:eastAsia="en-ZW"/>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19" w:name="_Toc3988352"/>
      <w:bookmarkStart w:id="20" w:name="_Toc4051284"/>
      <w:r w:rsidRPr="003C26EE">
        <w:lastRenderedPageBreak/>
        <w:t>Land use</w:t>
      </w:r>
      <w:bookmarkEnd w:id="19"/>
      <w:bookmarkEnd w:id="20"/>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lang w:val="en-ZW" w:eastAsia="en-ZW"/>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1" w:name="_Toc3988353"/>
      <w:bookmarkStart w:id="22" w:name="_Toc4051285"/>
      <w:r w:rsidRPr="003C26EE">
        <w:lastRenderedPageBreak/>
        <w:t>EQC Prior Involvement</w:t>
      </w:r>
      <w:bookmarkEnd w:id="21"/>
      <w:bookmarkEnd w:id="22"/>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lang w:val="en-ZW" w:eastAsia="en-ZW"/>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3" w:name="_Toc3988354"/>
      <w:bookmarkStart w:id="24" w:name="_Toc4051286"/>
      <w:r w:rsidRPr="003C26EE">
        <w:lastRenderedPageBreak/>
        <w:t>Advisory Committee</w:t>
      </w:r>
      <w:bookmarkEnd w:id="23"/>
      <w:bookmarkEnd w:id="24"/>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lang w:val="en-ZW" w:eastAsia="en-ZW"/>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5" w:name="_Toc3988355"/>
      <w:bookmarkStart w:id="26" w:name="_Toc4051287"/>
      <w:r w:rsidRPr="003C26EE">
        <w:lastRenderedPageBreak/>
        <w:t>Public Engagement</w:t>
      </w:r>
      <w:bookmarkEnd w:id="25"/>
      <w:bookmarkEnd w:id="26"/>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lang w:val="en-ZW" w:eastAsia="en-ZW"/>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A00219" w:rsidRPr="001A4DE1" w:rsidRDefault="00A00219"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A00219" w:rsidRDefault="00A00219"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7" w:name="_Toc3988356"/>
      <w:bookmarkStart w:id="28" w:name="_Toc4051288"/>
      <w:r>
        <w:lastRenderedPageBreak/>
        <w:t>Public Hearing</w:t>
      </w:r>
      <w:bookmarkEnd w:id="27"/>
      <w:bookmarkEnd w:id="28"/>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29F51FB9"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7C7225">
              <w:rPr>
                <w:rFonts w:ascii="Arial" w:hAnsi="Arial" w:cs="Arial"/>
                <w:highlight w:val="yellow"/>
              </w:rPr>
              <w:t>Ending Time</w:t>
            </w:r>
          </w:p>
        </w:tc>
        <w:tc>
          <w:tcPr>
            <w:tcW w:w="6817" w:type="dxa"/>
          </w:tcPr>
          <w:p w14:paraId="33BD6383" w14:textId="77777777" w:rsidR="007C7225" w:rsidRDefault="007C7225" w:rsidP="002F2F6F"/>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29" w:name="_Toc2850647"/>
      <w:bookmarkStart w:id="30" w:name="_Toc3988357"/>
      <w:bookmarkStart w:id="31" w:name="_Toc4051289"/>
      <w:r w:rsidRPr="001404B0">
        <w:lastRenderedPageBreak/>
        <w:t>Summary of Public Comments and DEQ Responses</w:t>
      </w:r>
      <w:bookmarkEnd w:id="29"/>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5E8D2684" w14:textId="77777777" w:rsidR="00B65478" w:rsidRDefault="00B65478" w:rsidP="00B65478"/>
    <w:p w14:paraId="2281FAB8" w14:textId="350A1324" w:rsidR="00B65478" w:rsidRDefault="00B65478" w:rsidP="00B65478">
      <w:r w:rsidRPr="00B65478">
        <w:rPr>
          <w:highlight w:val="yellow"/>
        </w:rPr>
        <w:t xml:space="preserve">The existing program continued by these fee increases identifies and requires cleanup of </w:t>
      </w:r>
      <w:proofErr w:type="gramStart"/>
      <w:r w:rsidRPr="00B65478">
        <w:rPr>
          <w:highlight w:val="yellow"/>
        </w:rPr>
        <w:t>high risk</w:t>
      </w:r>
      <w:proofErr w:type="gramEnd"/>
      <w:r w:rsidRPr="00B65478">
        <w:rPr>
          <w:highlight w:val="yellow"/>
        </w:rPr>
        <w:t xml:space="preserve"> incidents. Without the </w:t>
      </w:r>
      <w:proofErr w:type="gramStart"/>
      <w:r w:rsidRPr="00B65478">
        <w:rPr>
          <w:highlight w:val="yellow"/>
        </w:rPr>
        <w:t>increase</w:t>
      </w:r>
      <w:proofErr w:type="gramEnd"/>
      <w:r w:rsidRPr="00B65478">
        <w:rPr>
          <w:highlight w:val="yellow"/>
        </w:rPr>
        <w:t xml:space="preserve"> these activities would be dramatically reduced.</w:t>
      </w:r>
    </w:p>
    <w:p w14:paraId="6D86308B" w14:textId="77777777" w:rsidR="002F2F6F" w:rsidRPr="001404B0" w:rsidRDefault="002F2F6F" w:rsidP="002F2F6F">
      <w:r w:rsidRPr="001404B0">
        <w:tab/>
      </w:r>
    </w:p>
    <w:p w14:paraId="5001236E" w14:textId="77777777" w:rsidR="002F2F6F" w:rsidRPr="001404B0" w:rsidRDefault="002F2F6F" w:rsidP="002F2F6F">
      <w:bookmarkStart w:id="32" w:name="_GoBack"/>
      <w:bookmarkEnd w:id="32"/>
    </w:p>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7BCE632F" w14:textId="0192D059" w:rsidR="00B65478" w:rsidRDefault="00B65478" w:rsidP="00B65478">
      <w:r w:rsidRPr="00B65478">
        <w:rPr>
          <w:highlight w:val="yellow"/>
        </w:rPr>
        <w:t xml:space="preserve">Oregon had a heating oil cleanup and decommissioning grant program in the </w:t>
      </w:r>
      <w:proofErr w:type="gramStart"/>
      <w:r w:rsidRPr="00B65478">
        <w:rPr>
          <w:highlight w:val="yellow"/>
        </w:rPr>
        <w:t>1990’s</w:t>
      </w:r>
      <w:proofErr w:type="gramEnd"/>
      <w:r w:rsidRPr="00B65478">
        <w:rPr>
          <w:highlight w:val="yellow"/>
        </w:rPr>
        <w:t xml:space="preserve"> funded by a tax on heating oil. It became insolvent due to increasing tank leaks and declining oil use and </w:t>
      </w:r>
      <w:proofErr w:type="gramStart"/>
      <w:r w:rsidRPr="00B65478">
        <w:rPr>
          <w:highlight w:val="yellow"/>
        </w:rPr>
        <w:t>was terminated</w:t>
      </w:r>
      <w:proofErr w:type="gramEnd"/>
      <w:r w:rsidRPr="00B65478">
        <w:rPr>
          <w:highlight w:val="yellow"/>
        </w:rPr>
        <w:t xml:space="preserve"> by the Oregon Legislature in 1999.  Because tank identification is most </w:t>
      </w:r>
      <w:r w:rsidRPr="00B65478">
        <w:rPr>
          <w:highlight w:val="yellow"/>
        </w:rPr>
        <w:lastRenderedPageBreak/>
        <w:t xml:space="preserve">commonly triggered by real estate transactions rural </w:t>
      </w:r>
      <w:proofErr w:type="gramStart"/>
      <w:r w:rsidRPr="00B65478">
        <w:rPr>
          <w:highlight w:val="yellow"/>
        </w:rPr>
        <w:t>underground</w:t>
      </w:r>
      <w:proofErr w:type="gramEnd"/>
      <w:r w:rsidRPr="00B65478">
        <w:rPr>
          <w:highlight w:val="yellow"/>
        </w:rPr>
        <w:t xml:space="preserve"> tank identification is disproportionally delayed. DEQ anticipates ongoing policy review of high risk heating oil tank situations and intends to carry this concern into that work.</w:t>
      </w:r>
    </w:p>
    <w:p w14:paraId="69FFDF6D" w14:textId="77777777" w:rsidR="002F2F6F" w:rsidRPr="001404B0" w:rsidRDefault="002F2F6F" w:rsidP="002F2F6F"/>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lastRenderedPageBreak/>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3" w:name="_Toc3988358"/>
      <w:bookmarkStart w:id="34" w:name="_Toc4051290"/>
      <w:r>
        <w:lastRenderedPageBreak/>
        <w:t>Implementation</w:t>
      </w:r>
      <w:bookmarkEnd w:id="33"/>
      <w:bookmarkEnd w:id="34"/>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5207D30A" w14:textId="208C99C9" w:rsidR="0074326F" w:rsidRDefault="00AD5AB2" w:rsidP="0074326F">
      <w:r>
        <w:t xml:space="preserve">The proposed rule amendments, if approved by the commission, </w:t>
      </w:r>
      <w:proofErr w:type="gramStart"/>
      <w:r>
        <w:t>would be filed</w:t>
      </w:r>
      <w:proofErr w:type="gramEnd"/>
      <w:r>
        <w:t xml:space="preserve"> with the Secretary of State and effective Jan. 1, 2020.</w:t>
      </w:r>
      <w:r w:rsidR="0074326F" w:rsidRPr="0074326F">
        <w:t xml:space="preserve"> </w:t>
      </w:r>
      <w:r w:rsidR="0074326F" w:rsidRPr="0074326F">
        <w:rPr>
          <w:highlight w:val="yellow"/>
        </w:rPr>
        <w:t>This rule action updates existing rules to match legislatively adopted fees. Technical requirements for heating oil tank decommissioning, cleanup and licenses are not changing.</w:t>
      </w:r>
    </w:p>
    <w:p w14:paraId="33333789" w14:textId="72F3DB96" w:rsidR="00AD5AB2" w:rsidRDefault="00AD5AB2" w:rsidP="002F2F6F"/>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2B684160" w:rsidR="002F2F6F" w:rsidRPr="00707CB9" w:rsidRDefault="00865460" w:rsidP="002F2F6F">
      <w:pPr>
        <w:rPr>
          <w:highlight w:val="yellow"/>
        </w:rPr>
      </w:pPr>
      <w:r>
        <w:rPr>
          <w:highlight w:val="yellow"/>
        </w:rPr>
        <w:t xml:space="preserve">Affected parties – Communications send to fee payers to date, and additional communication described below </w:t>
      </w:r>
      <w:proofErr w:type="gramStart"/>
      <w:r>
        <w:rPr>
          <w:highlight w:val="yellow"/>
        </w:rPr>
        <w:t>address fee payer compliance</w:t>
      </w:r>
      <w:proofErr w:type="gramEnd"/>
      <w:r>
        <w:rPr>
          <w:highlight w:val="yellow"/>
        </w:rPr>
        <w:t xml:space="preserve">. </w:t>
      </w:r>
      <w:r w:rsidR="009A7D20">
        <w:rPr>
          <w:highlight w:val="yellow"/>
        </w:rPr>
        <w:t xml:space="preserve"> </w:t>
      </w:r>
    </w:p>
    <w:p w14:paraId="5D15A19F" w14:textId="0FCA7C81" w:rsidR="002F2F6F" w:rsidRPr="001404B0" w:rsidRDefault="002F2F6F" w:rsidP="002F2F6F">
      <w:r w:rsidRPr="00707CB9">
        <w:rPr>
          <w:highlight w:val="yellow"/>
        </w:rPr>
        <w:t xml:space="preserve">DEQ staff </w:t>
      </w:r>
      <w:r w:rsidR="00A00219">
        <w:rPr>
          <w:highlight w:val="yellow"/>
        </w:rPr>
        <w:t>–</w:t>
      </w:r>
      <w:r w:rsidRPr="00707CB9">
        <w:rPr>
          <w:highlight w:val="yellow"/>
        </w:rPr>
        <w:t xml:space="preserve"> </w:t>
      </w:r>
      <w:r w:rsidR="00A00219">
        <w:rPr>
          <w:highlight w:val="yellow"/>
        </w:rPr>
        <w:t>Existing procedure</w:t>
      </w:r>
      <w:r w:rsidR="00865460">
        <w:rPr>
          <w:highlight w:val="yellow"/>
        </w:rPr>
        <w:t xml:space="preserve">s address improper fee payment. Procedure changes </w:t>
      </w:r>
      <w:proofErr w:type="gramStart"/>
      <w:r w:rsidR="00865460">
        <w:rPr>
          <w:highlight w:val="yellow"/>
        </w:rPr>
        <w:t>are not needed</w:t>
      </w:r>
      <w:proofErr w:type="gramEnd"/>
      <w:r w:rsidR="00865460">
        <w:rPr>
          <w:highlight w:val="yellow"/>
        </w:rPr>
        <w:t>.</w:t>
      </w:r>
      <w:r w:rsidR="00A00219">
        <w:rPr>
          <w:highlight w:val="yellow"/>
        </w:rPr>
        <w:t xml:space="preserve"> </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3891EB52" w:rsidR="002F2F6F" w:rsidRPr="00707CB9" w:rsidRDefault="009A7D20" w:rsidP="002F2F6F">
      <w:pPr>
        <w:rPr>
          <w:highlight w:val="yellow"/>
        </w:rPr>
      </w:pPr>
      <w:r>
        <w:rPr>
          <w:highlight w:val="yellow"/>
        </w:rPr>
        <w:t xml:space="preserve">Affected parties – No technical changes </w:t>
      </w:r>
      <w:proofErr w:type="gramStart"/>
      <w:r>
        <w:rPr>
          <w:highlight w:val="yellow"/>
        </w:rPr>
        <w:t>are being made</w:t>
      </w:r>
      <w:proofErr w:type="gramEnd"/>
      <w:r>
        <w:rPr>
          <w:highlight w:val="yellow"/>
        </w:rPr>
        <w:t xml:space="preserve"> so measurement is not needed.</w:t>
      </w:r>
    </w:p>
    <w:p w14:paraId="55DD9EFE" w14:textId="47B7952C" w:rsidR="002F2F6F" w:rsidRPr="001404B0" w:rsidRDefault="009A7D20" w:rsidP="002F2F6F">
      <w:r>
        <w:rPr>
          <w:highlight w:val="yellow"/>
        </w:rPr>
        <w:t>DEQ staff –</w:t>
      </w:r>
      <w:r w:rsidR="00865460">
        <w:rPr>
          <w:highlight w:val="yellow"/>
        </w:rPr>
        <w:t xml:space="preserve"> This is a fiscal change. Existing budget processes will monitor revenue and sufficiency of the fee change</w:t>
      </w:r>
      <w:r w:rsidRPr="009A7D20">
        <w:rPr>
          <w:highlight w:val="yellow"/>
        </w:rPr>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3D7427D9" w:rsidR="002F2F6F" w:rsidRPr="00707CB9" w:rsidRDefault="009A7D20" w:rsidP="002F2F6F">
      <w:pPr>
        <w:rPr>
          <w:highlight w:val="yellow"/>
        </w:rPr>
      </w:pPr>
      <w:r>
        <w:rPr>
          <w:highlight w:val="yellow"/>
        </w:rPr>
        <w:t xml:space="preserve">Website – The website will be updated November </w:t>
      </w:r>
      <w:proofErr w:type="gramStart"/>
      <w:r>
        <w:rPr>
          <w:highlight w:val="yellow"/>
        </w:rPr>
        <w:t>15th</w:t>
      </w:r>
      <w:proofErr w:type="gramEnd"/>
      <w:r>
        <w:rPr>
          <w:highlight w:val="yellow"/>
        </w:rPr>
        <w:t xml:space="preserve"> listing the pending fee changes alongside current fees. On January </w:t>
      </w:r>
      <w:proofErr w:type="gramStart"/>
      <w:r>
        <w:rPr>
          <w:highlight w:val="yellow"/>
        </w:rPr>
        <w:t>2</w:t>
      </w:r>
      <w:r w:rsidRPr="009A7D20">
        <w:rPr>
          <w:highlight w:val="yellow"/>
          <w:vertAlign w:val="superscript"/>
        </w:rPr>
        <w:t>nd</w:t>
      </w:r>
      <w:proofErr w:type="gramEnd"/>
      <w:r>
        <w:rPr>
          <w:highlight w:val="yellow"/>
        </w:rPr>
        <w:t xml:space="preserve"> a final website update will remove the superseded fee information</w:t>
      </w:r>
      <w:r w:rsidR="00865460">
        <w:rPr>
          <w:highlight w:val="yellow"/>
        </w:rPr>
        <w:t xml:space="preserve">. Project registration instructions and license applications for use in 2020 will be posted by December </w:t>
      </w:r>
      <w:proofErr w:type="gramStart"/>
      <w:r w:rsidR="00865460">
        <w:rPr>
          <w:highlight w:val="yellow"/>
        </w:rPr>
        <w:t>1</w:t>
      </w:r>
      <w:r w:rsidR="00865460" w:rsidRPr="00865460">
        <w:rPr>
          <w:highlight w:val="yellow"/>
          <w:vertAlign w:val="superscript"/>
        </w:rPr>
        <w:t>st</w:t>
      </w:r>
      <w:proofErr w:type="gramEnd"/>
      <w:r w:rsidR="00865460">
        <w:rPr>
          <w:highlight w:val="yellow"/>
        </w:rPr>
        <w:t>, 2019</w:t>
      </w:r>
      <w:r>
        <w:rPr>
          <w:highlight w:val="yellow"/>
        </w:rPr>
        <w:t>.</w:t>
      </w:r>
      <w:r w:rsidR="00865460">
        <w:rPr>
          <w:highlight w:val="yellow"/>
        </w:rPr>
        <w:t xml:space="preserve"> Old instructions and application forms will be removed December </w:t>
      </w:r>
      <w:proofErr w:type="gramStart"/>
      <w:r w:rsidR="00865460">
        <w:rPr>
          <w:highlight w:val="yellow"/>
        </w:rPr>
        <w:t>31</w:t>
      </w:r>
      <w:r w:rsidR="00865460" w:rsidRPr="00865460">
        <w:rPr>
          <w:highlight w:val="yellow"/>
          <w:vertAlign w:val="superscript"/>
        </w:rPr>
        <w:t>st</w:t>
      </w:r>
      <w:proofErr w:type="gramEnd"/>
      <w:r w:rsidR="00865460">
        <w:rPr>
          <w:highlight w:val="yellow"/>
        </w:rPr>
        <w:t>, 2019.</w:t>
      </w:r>
      <w:r>
        <w:rPr>
          <w:highlight w:val="yellow"/>
        </w:rPr>
        <w:t xml:space="preserve">  </w:t>
      </w:r>
    </w:p>
    <w:p w14:paraId="0CBC141B" w14:textId="56A37BEB" w:rsidR="002F2F6F" w:rsidRPr="00707CB9" w:rsidRDefault="009A7D20" w:rsidP="002F2F6F">
      <w:pPr>
        <w:rPr>
          <w:highlight w:val="yellow"/>
        </w:rPr>
      </w:pPr>
      <w:r>
        <w:rPr>
          <w:highlight w:val="yellow"/>
        </w:rPr>
        <w:t xml:space="preserve">Database – No database changes are necessary. Actual amounts paid </w:t>
      </w:r>
      <w:proofErr w:type="gramStart"/>
      <w:r>
        <w:rPr>
          <w:highlight w:val="yellow"/>
        </w:rPr>
        <w:t>are recorded</w:t>
      </w:r>
      <w:proofErr w:type="gramEnd"/>
      <w:r>
        <w:rPr>
          <w:highlight w:val="yellow"/>
        </w:rPr>
        <w:t xml:space="preserve"> regardless of fee amount.</w:t>
      </w:r>
    </w:p>
    <w:p w14:paraId="265BFA72" w14:textId="5886EBE2" w:rsidR="002F2F6F" w:rsidRPr="001404B0" w:rsidRDefault="002F2F6F" w:rsidP="002F2F6F">
      <w:r w:rsidRPr="00707CB9">
        <w:rPr>
          <w:highlight w:val="yellow"/>
        </w:rPr>
        <w:t xml:space="preserve">Invoicing </w:t>
      </w:r>
      <w:r w:rsidR="009A7D20">
        <w:rPr>
          <w:highlight w:val="yellow"/>
        </w:rPr>
        <w:t>–</w:t>
      </w:r>
      <w:r w:rsidRPr="00707CB9">
        <w:rPr>
          <w:highlight w:val="yellow"/>
        </w:rPr>
        <w:t xml:space="preserve"> </w:t>
      </w:r>
      <w:r w:rsidR="009A7D20">
        <w:rPr>
          <w:highlight w:val="yellow"/>
        </w:rPr>
        <w:t xml:space="preserve">No invoicing occurs. Fee payers submit payment </w:t>
      </w:r>
      <w:r w:rsidR="009A7D20" w:rsidRPr="009A7D20">
        <w:rPr>
          <w:highlight w:val="yellow"/>
        </w:rPr>
        <w:t>with registration or 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47D7E581" w:rsidR="002F2F6F" w:rsidRPr="0074326F" w:rsidRDefault="009A7D20" w:rsidP="0074326F">
      <w:pPr>
        <w:spacing w:after="160" w:line="259" w:lineRule="auto"/>
        <w:outlineLvl w:val="9"/>
      </w:pPr>
      <w:r w:rsidRPr="0074326F">
        <w:rPr>
          <w:highlight w:val="yellow"/>
        </w:rPr>
        <w:t xml:space="preserve">Affected parties – Service Provider Bulletin confirming new fees </w:t>
      </w:r>
      <w:proofErr w:type="gramStart"/>
      <w:r w:rsidRPr="0074326F">
        <w:rPr>
          <w:highlight w:val="yellow"/>
        </w:rPr>
        <w:t>will be issued</w:t>
      </w:r>
      <w:proofErr w:type="gramEnd"/>
      <w:r w:rsidRPr="0074326F">
        <w:rPr>
          <w:highlight w:val="yellow"/>
        </w:rPr>
        <w:t xml:space="preserve"> by December 1, 2020</w:t>
      </w:r>
      <w:r w:rsidR="0074326F" w:rsidRPr="0074326F">
        <w:rPr>
          <w:highlight w:val="yellow"/>
        </w:rPr>
        <w:t xml:space="preserve">. </w:t>
      </w:r>
      <w:r w:rsidR="001B7258">
        <w:rPr>
          <w:highlight w:val="yellow"/>
        </w:rPr>
        <w:t>A bulletin was already sent January 28</w:t>
      </w:r>
      <w:r w:rsidR="001B7258" w:rsidRPr="001B7258">
        <w:rPr>
          <w:highlight w:val="yellow"/>
          <w:vertAlign w:val="superscript"/>
        </w:rPr>
        <w:t>th</w:t>
      </w:r>
      <w:r w:rsidR="001B7258">
        <w:rPr>
          <w:highlight w:val="yellow"/>
        </w:rPr>
        <w:t>, 2019</w:t>
      </w:r>
      <w:r w:rsidR="0074326F" w:rsidRPr="0074326F">
        <w:rPr>
          <w:highlight w:val="yellow"/>
        </w:rPr>
        <w:t xml:space="preserve"> </w:t>
      </w:r>
      <w:proofErr w:type="gramStart"/>
      <w:r w:rsidR="0074326F" w:rsidRPr="0074326F">
        <w:rPr>
          <w:highlight w:val="yellow"/>
        </w:rPr>
        <w:t>and</w:t>
      </w:r>
      <w:r w:rsidR="001B7258">
        <w:rPr>
          <w:highlight w:val="yellow"/>
        </w:rPr>
        <w:t xml:space="preserve"> </w:t>
      </w:r>
      <w:r w:rsidR="0074326F" w:rsidRPr="0074326F">
        <w:rPr>
          <w:highlight w:val="yellow"/>
        </w:rPr>
        <w:t xml:space="preserve"> </w:t>
      </w:r>
      <w:r w:rsidR="00063F44">
        <w:rPr>
          <w:highlight w:val="yellow"/>
        </w:rPr>
        <w:t>legislative</w:t>
      </w:r>
      <w:proofErr w:type="gramEnd"/>
      <w:r w:rsidR="00063F44">
        <w:rPr>
          <w:highlight w:val="yellow"/>
        </w:rPr>
        <w:t xml:space="preserve"> proceedings included notices and hearings in early 2019</w:t>
      </w:r>
      <w:r w:rsidR="0074326F" w:rsidRPr="0074326F">
        <w:rPr>
          <w:highlight w:val="yellow"/>
        </w:rPr>
        <w:t xml:space="preserve">. </w:t>
      </w:r>
    </w:p>
    <w:p w14:paraId="5875845E" w14:textId="122E5E09" w:rsidR="002F2F6F" w:rsidRPr="001404B0" w:rsidRDefault="009A7D20" w:rsidP="002F2F6F">
      <w:r>
        <w:rPr>
          <w:highlight w:val="yellow"/>
        </w:rPr>
        <w:t xml:space="preserve">DEQ staff – No </w:t>
      </w:r>
      <w:r w:rsidRPr="009A7D20">
        <w:rPr>
          <w:highlight w:val="yellow"/>
        </w:rPr>
        <w:t>staff training is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5" w:name="_Toc3988359"/>
      <w:bookmarkStart w:id="36" w:name="_Toc4051291"/>
      <w:r>
        <w:lastRenderedPageBreak/>
        <w:t>Five Year Review</w:t>
      </w:r>
      <w:bookmarkEnd w:id="35"/>
      <w:bookmarkEnd w:id="36"/>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7" w:name="_Toc3988360"/>
      <w:bookmarkStart w:id="38" w:name="_Toc4051292"/>
      <w:r w:rsidRPr="003C26EE">
        <w:lastRenderedPageBreak/>
        <w:t>Accessibility Information</w:t>
      </w:r>
      <w:bookmarkEnd w:id="37"/>
      <w:bookmarkEnd w:id="38"/>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A00219" w:rsidRDefault="00A00219" w:rsidP="002D6C99">
      <w:r>
        <w:separator/>
      </w:r>
    </w:p>
  </w:endnote>
  <w:endnote w:type="continuationSeparator" w:id="0">
    <w:p w14:paraId="47DA94DE" w14:textId="77777777" w:rsidR="00A00219" w:rsidRDefault="00A0021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A00219" w:rsidRDefault="00A00219">
    <w:pPr>
      <w:pStyle w:val="Footer"/>
      <w:jc w:val="right"/>
    </w:pPr>
  </w:p>
  <w:p w14:paraId="7EEEA86C" w14:textId="77777777" w:rsidR="00A00219" w:rsidRDefault="00A0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A00219" w:rsidRDefault="00A00219">
    <w:pPr>
      <w:pStyle w:val="Footer"/>
      <w:jc w:val="right"/>
    </w:pPr>
  </w:p>
  <w:p w14:paraId="2A0357D7" w14:textId="77777777" w:rsidR="00A00219" w:rsidRDefault="00A00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2C06FFDF" w:rsidR="00A00219" w:rsidRDefault="00A00219">
        <w:pPr>
          <w:pStyle w:val="Footer"/>
          <w:jc w:val="right"/>
        </w:pPr>
        <w:r>
          <w:fldChar w:fldCharType="begin"/>
        </w:r>
        <w:r>
          <w:instrText xml:space="preserve"> PAGE   \* MERGEFORMAT </w:instrText>
        </w:r>
        <w:r>
          <w:fldChar w:fldCharType="separate"/>
        </w:r>
        <w:r w:rsidR="00B65478">
          <w:rPr>
            <w:noProof/>
          </w:rPr>
          <w:t>17</w:t>
        </w:r>
        <w:r>
          <w:rPr>
            <w:noProof/>
          </w:rPr>
          <w:fldChar w:fldCharType="end"/>
        </w:r>
      </w:p>
    </w:sdtContent>
  </w:sdt>
  <w:p w14:paraId="6F2543F2" w14:textId="77777777" w:rsidR="00A00219" w:rsidRDefault="00A002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A00219" w:rsidRDefault="00A002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A00219" w:rsidRDefault="00A002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47F0303A" w:rsidR="00A00219" w:rsidRDefault="00A00219">
        <w:pPr>
          <w:pStyle w:val="Footer"/>
          <w:jc w:val="right"/>
        </w:pPr>
        <w:r>
          <w:fldChar w:fldCharType="begin"/>
        </w:r>
        <w:r>
          <w:instrText xml:space="preserve"> PAGE   \* MERGEFORMAT </w:instrText>
        </w:r>
        <w:r>
          <w:fldChar w:fldCharType="separate"/>
        </w:r>
        <w:r w:rsidR="00B65478">
          <w:rPr>
            <w:noProof/>
          </w:rPr>
          <w:t>1</w:t>
        </w:r>
        <w:r>
          <w:rPr>
            <w:noProof/>
          </w:rPr>
          <w:fldChar w:fldCharType="end"/>
        </w:r>
      </w:p>
    </w:sdtContent>
  </w:sdt>
  <w:p w14:paraId="536ED34F" w14:textId="77777777" w:rsidR="00A00219" w:rsidRDefault="00A002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0417A1D1" w14:textId="3DCC1910" w:rsidR="00A00219" w:rsidRPr="000F6EE6" w:rsidRDefault="00A00219" w:rsidP="00A112DA">
        <w:pPr>
          <w:pStyle w:val="Footer"/>
        </w:pPr>
        <w:r w:rsidRPr="000F6EE6">
          <w:fldChar w:fldCharType="begin"/>
        </w:r>
        <w:r w:rsidRPr="000F6EE6">
          <w:instrText xml:space="preserve"> PAGE   \* MERGEFORMAT </w:instrText>
        </w:r>
        <w:r w:rsidRPr="000F6EE6">
          <w:fldChar w:fldCharType="separate"/>
        </w:r>
        <w:r w:rsidR="00B65478">
          <w:rPr>
            <w:noProof/>
          </w:rPr>
          <w:t>26</w:t>
        </w:r>
        <w:r w:rsidRPr="000F6EE6">
          <w:fldChar w:fldCharType="end"/>
        </w:r>
      </w:p>
    </w:sdtContent>
  </w:sdt>
  <w:p w14:paraId="19A777C4" w14:textId="77777777" w:rsidR="00A00219" w:rsidRDefault="00A0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A00219" w:rsidRDefault="00A00219" w:rsidP="002D6C99">
      <w:r>
        <w:separator/>
      </w:r>
    </w:p>
  </w:footnote>
  <w:footnote w:type="continuationSeparator" w:id="0">
    <w:p w14:paraId="1EF53730" w14:textId="77777777" w:rsidR="00A00219" w:rsidRDefault="00A00219"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A00219" w:rsidRDefault="00A00219"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A00219" w:rsidRPr="00F72D05" w:rsidRDefault="00A00219"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A00219" w:rsidRDefault="00A00219"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645"/>
    <w:multiLevelType w:val="multilevel"/>
    <w:tmpl w:val="1CC876B8"/>
    <w:numStyleLink w:val="StyleBulletedLatinCourierNewLeft075Hanging025"/>
  </w:abstractNum>
  <w:abstractNum w:abstractNumId="12"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D0AB5"/>
    <w:multiLevelType w:val="multilevel"/>
    <w:tmpl w:val="1CC876B8"/>
    <w:numStyleLink w:val="StyleBulletedLatinCourierNewLeft075Hanging025"/>
  </w:abstractNum>
  <w:abstractNum w:abstractNumId="16" w15:restartNumberingAfterBreak="0">
    <w:nsid w:val="455E793F"/>
    <w:multiLevelType w:val="multilevel"/>
    <w:tmpl w:val="1CC876B8"/>
    <w:numStyleLink w:val="StyleBulletedLatinCourierNewLeft075Hanging025"/>
  </w:abstractNum>
  <w:abstractNum w:abstractNumId="17"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C8E5623"/>
    <w:multiLevelType w:val="multilevel"/>
    <w:tmpl w:val="1CC876B8"/>
    <w:numStyleLink w:val="StyleBulletedLatinCourierNewLeft075Hanging025"/>
  </w:abstractNum>
  <w:abstractNum w:abstractNumId="2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12"/>
  </w:num>
  <w:num w:numId="4">
    <w:abstractNumId w:val="10"/>
  </w:num>
  <w:num w:numId="5">
    <w:abstractNumId w:val="7"/>
  </w:num>
  <w:num w:numId="6">
    <w:abstractNumId w:val="0"/>
  </w:num>
  <w:num w:numId="7">
    <w:abstractNumId w:val="9"/>
  </w:num>
  <w:num w:numId="8">
    <w:abstractNumId w:val="13"/>
  </w:num>
  <w:num w:numId="9">
    <w:abstractNumId w:val="24"/>
  </w:num>
  <w:num w:numId="10">
    <w:abstractNumId w:val="18"/>
  </w:num>
  <w:num w:numId="11">
    <w:abstractNumId w:val="20"/>
  </w:num>
  <w:num w:numId="12">
    <w:abstractNumId w:val="29"/>
  </w:num>
  <w:num w:numId="13">
    <w:abstractNumId w:val="2"/>
  </w:num>
  <w:num w:numId="14">
    <w:abstractNumId w:val="4"/>
  </w:num>
  <w:num w:numId="15">
    <w:abstractNumId w:val="23"/>
  </w:num>
  <w:num w:numId="16">
    <w:abstractNumId w:val="27"/>
  </w:num>
  <w:num w:numId="17">
    <w:abstractNumId w:val="15"/>
  </w:num>
  <w:num w:numId="18">
    <w:abstractNumId w:val="28"/>
  </w:num>
  <w:num w:numId="19">
    <w:abstractNumId w:val="11"/>
  </w:num>
  <w:num w:numId="20">
    <w:abstractNumId w:val="25"/>
  </w:num>
  <w:num w:numId="21">
    <w:abstractNumId w:val="16"/>
  </w:num>
  <w:num w:numId="22">
    <w:abstractNumId w:val="3"/>
  </w:num>
  <w:num w:numId="23">
    <w:abstractNumId w:val="14"/>
  </w:num>
  <w:num w:numId="24">
    <w:abstractNumId w:val="17"/>
  </w:num>
  <w:num w:numId="25">
    <w:abstractNumId w:val="31"/>
  </w:num>
  <w:num w:numId="26">
    <w:abstractNumId w:val="8"/>
  </w:num>
  <w:num w:numId="27">
    <w:abstractNumId w:val="19"/>
  </w:num>
  <w:num w:numId="28">
    <w:abstractNumId w:val="6"/>
  </w:num>
  <w:num w:numId="29">
    <w:abstractNumId w:val="22"/>
  </w:num>
  <w:num w:numId="30">
    <w:abstractNumId w:val="26"/>
  </w:num>
  <w:num w:numId="31">
    <w:abstractNumId w:val="30"/>
  </w:num>
  <w:num w:numId="32">
    <w:abstractNumId w:val="21"/>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107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5460"/>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2DCA1A3-E688-4421-9A07-064A13BA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34</Pages>
  <Words>7069</Words>
  <Characters>40296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KORTENHOF Mike</cp:lastModifiedBy>
  <cp:revision>16</cp:revision>
  <cp:lastPrinted>2013-02-28T21:12:00Z</cp:lastPrinted>
  <dcterms:created xsi:type="dcterms:W3CDTF">2019-03-21T16:05:00Z</dcterms:created>
  <dcterms:modified xsi:type="dcterms:W3CDTF">2019-09-20T15:18:00Z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