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2"/>
        <w:gridCol w:w="1374"/>
        <w:gridCol w:w="1372"/>
        <w:gridCol w:w="1372"/>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CFC0975" w:rsidR="00B845D8" w:rsidRPr="003C26EE" w:rsidRDefault="00205722" w:rsidP="001274E4">
            <w:r>
              <w:t>Michael Zollitsch</w:t>
            </w:r>
          </w:p>
        </w:tc>
        <w:tc>
          <w:tcPr>
            <w:tcW w:w="1375" w:type="dxa"/>
            <w:vAlign w:val="center"/>
          </w:tcPr>
          <w:p w14:paraId="1C8ACBB3" w14:textId="63B4A1D2" w:rsidR="00B845D8" w:rsidRPr="003C26EE" w:rsidRDefault="00540B67" w:rsidP="001274E4">
            <w:r>
              <w:t>9/23/</w:t>
            </w:r>
            <w:r w:rsidR="00205722">
              <w:t>2019</w:t>
            </w:r>
          </w:p>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688850CF" w:rsidR="00B845D8" w:rsidRPr="003C26EE" w:rsidRDefault="00180307" w:rsidP="001274E4">
            <w:r>
              <w:t>Lydia Emer</w:t>
            </w:r>
          </w:p>
        </w:tc>
        <w:tc>
          <w:tcPr>
            <w:tcW w:w="1375" w:type="dxa"/>
            <w:vAlign w:val="center"/>
          </w:tcPr>
          <w:p w14:paraId="74278E8A" w14:textId="60DE24B8" w:rsidR="00B845D8" w:rsidRPr="003C26EE" w:rsidRDefault="00180307" w:rsidP="001274E4">
            <w:r>
              <w:t>9/25/19</w:t>
            </w:r>
            <w:bookmarkStart w:id="0" w:name="_GoBack"/>
            <w:bookmarkEnd w:id="0"/>
          </w:p>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55C122A" w14:textId="1BA81ACB" w:rsidR="00B845D8" w:rsidRDefault="00B845D8" w:rsidP="008C16CE">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F09B0F9" w14:textId="20757A9B" w:rsidR="00AA51B2"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20127282" w:history="1">
        <w:r w:rsidR="00AA51B2" w:rsidRPr="007E240B">
          <w:rPr>
            <w:rStyle w:val="Hyperlink"/>
            <w:noProof/>
          </w:rPr>
          <w:t>DEQ Recommendation to the EQC</w:t>
        </w:r>
        <w:r w:rsidR="00AA51B2">
          <w:rPr>
            <w:noProof/>
            <w:webHidden/>
          </w:rPr>
          <w:tab/>
        </w:r>
        <w:r w:rsidR="00AA51B2">
          <w:rPr>
            <w:noProof/>
            <w:webHidden/>
          </w:rPr>
          <w:fldChar w:fldCharType="begin"/>
        </w:r>
        <w:r w:rsidR="00AA51B2">
          <w:rPr>
            <w:noProof/>
            <w:webHidden/>
          </w:rPr>
          <w:instrText xml:space="preserve"> PAGEREF _Toc20127282 \h </w:instrText>
        </w:r>
        <w:r w:rsidR="00AA51B2">
          <w:rPr>
            <w:noProof/>
            <w:webHidden/>
          </w:rPr>
        </w:r>
        <w:r w:rsidR="00AA51B2">
          <w:rPr>
            <w:noProof/>
            <w:webHidden/>
          </w:rPr>
          <w:fldChar w:fldCharType="separate"/>
        </w:r>
        <w:r w:rsidR="008C16CE">
          <w:rPr>
            <w:noProof/>
            <w:webHidden/>
          </w:rPr>
          <w:t>1</w:t>
        </w:r>
        <w:r w:rsidR="00AA51B2">
          <w:rPr>
            <w:noProof/>
            <w:webHidden/>
          </w:rPr>
          <w:fldChar w:fldCharType="end"/>
        </w:r>
      </w:hyperlink>
    </w:p>
    <w:p w14:paraId="51D70DEF" w14:textId="0C6F5445"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83" w:history="1">
        <w:r w:rsidR="00AA51B2" w:rsidRPr="007E240B">
          <w:rPr>
            <w:rStyle w:val="Hyperlink"/>
            <w:noProof/>
          </w:rPr>
          <w:t>Introduction</w:t>
        </w:r>
        <w:r w:rsidR="00AA51B2">
          <w:rPr>
            <w:noProof/>
            <w:webHidden/>
          </w:rPr>
          <w:tab/>
        </w:r>
        <w:r w:rsidR="00AA51B2">
          <w:rPr>
            <w:noProof/>
            <w:webHidden/>
          </w:rPr>
          <w:fldChar w:fldCharType="begin"/>
        </w:r>
        <w:r w:rsidR="00AA51B2">
          <w:rPr>
            <w:noProof/>
            <w:webHidden/>
          </w:rPr>
          <w:instrText xml:space="preserve"> PAGEREF _Toc20127283 \h </w:instrText>
        </w:r>
        <w:r w:rsidR="00AA51B2">
          <w:rPr>
            <w:noProof/>
            <w:webHidden/>
          </w:rPr>
        </w:r>
        <w:r w:rsidR="00AA51B2">
          <w:rPr>
            <w:noProof/>
            <w:webHidden/>
          </w:rPr>
          <w:fldChar w:fldCharType="separate"/>
        </w:r>
        <w:r w:rsidR="008C16CE">
          <w:rPr>
            <w:noProof/>
            <w:webHidden/>
          </w:rPr>
          <w:t>2</w:t>
        </w:r>
        <w:r w:rsidR="00AA51B2">
          <w:rPr>
            <w:noProof/>
            <w:webHidden/>
          </w:rPr>
          <w:fldChar w:fldCharType="end"/>
        </w:r>
      </w:hyperlink>
    </w:p>
    <w:p w14:paraId="423E6B02" w14:textId="7DBFA3CB"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84" w:history="1">
        <w:r w:rsidR="00AA51B2" w:rsidRPr="007E240B">
          <w:rPr>
            <w:rStyle w:val="Hyperlink"/>
            <w:noProof/>
          </w:rPr>
          <w:t>Statement of need</w:t>
        </w:r>
        <w:r w:rsidR="00AA51B2">
          <w:rPr>
            <w:noProof/>
            <w:webHidden/>
          </w:rPr>
          <w:tab/>
        </w:r>
        <w:r w:rsidR="00AA51B2">
          <w:rPr>
            <w:noProof/>
            <w:webHidden/>
          </w:rPr>
          <w:fldChar w:fldCharType="begin"/>
        </w:r>
        <w:r w:rsidR="00AA51B2">
          <w:rPr>
            <w:noProof/>
            <w:webHidden/>
          </w:rPr>
          <w:instrText xml:space="preserve"> PAGEREF _Toc20127284 \h </w:instrText>
        </w:r>
        <w:r w:rsidR="00AA51B2">
          <w:rPr>
            <w:noProof/>
            <w:webHidden/>
          </w:rPr>
        </w:r>
        <w:r w:rsidR="00AA51B2">
          <w:rPr>
            <w:noProof/>
            <w:webHidden/>
          </w:rPr>
          <w:fldChar w:fldCharType="separate"/>
        </w:r>
        <w:r w:rsidR="008C16CE">
          <w:rPr>
            <w:noProof/>
            <w:webHidden/>
          </w:rPr>
          <w:t>3</w:t>
        </w:r>
        <w:r w:rsidR="00AA51B2">
          <w:rPr>
            <w:noProof/>
            <w:webHidden/>
          </w:rPr>
          <w:fldChar w:fldCharType="end"/>
        </w:r>
      </w:hyperlink>
    </w:p>
    <w:p w14:paraId="6F9BF5C1" w14:textId="41872080"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85" w:history="1">
        <w:r w:rsidR="00AA51B2" w:rsidRPr="007E240B">
          <w:rPr>
            <w:rStyle w:val="Hyperlink"/>
            <w:noProof/>
          </w:rPr>
          <w:t>Rules affected, authorities, supporting documents</w:t>
        </w:r>
        <w:r w:rsidR="00AA51B2">
          <w:rPr>
            <w:noProof/>
            <w:webHidden/>
          </w:rPr>
          <w:tab/>
        </w:r>
        <w:r w:rsidR="00AA51B2">
          <w:rPr>
            <w:noProof/>
            <w:webHidden/>
          </w:rPr>
          <w:fldChar w:fldCharType="begin"/>
        </w:r>
        <w:r w:rsidR="00AA51B2">
          <w:rPr>
            <w:noProof/>
            <w:webHidden/>
          </w:rPr>
          <w:instrText xml:space="preserve"> PAGEREF _Toc20127285 \h </w:instrText>
        </w:r>
        <w:r w:rsidR="00AA51B2">
          <w:rPr>
            <w:noProof/>
            <w:webHidden/>
          </w:rPr>
        </w:r>
        <w:r w:rsidR="00AA51B2">
          <w:rPr>
            <w:noProof/>
            <w:webHidden/>
          </w:rPr>
          <w:fldChar w:fldCharType="separate"/>
        </w:r>
        <w:r w:rsidR="008C16CE">
          <w:rPr>
            <w:noProof/>
            <w:webHidden/>
          </w:rPr>
          <w:t>4</w:t>
        </w:r>
        <w:r w:rsidR="00AA51B2">
          <w:rPr>
            <w:noProof/>
            <w:webHidden/>
          </w:rPr>
          <w:fldChar w:fldCharType="end"/>
        </w:r>
      </w:hyperlink>
    </w:p>
    <w:p w14:paraId="4D2FD8A3" w14:textId="4F0367FD"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86" w:history="1">
        <w:r w:rsidR="00AA51B2" w:rsidRPr="007E240B">
          <w:rPr>
            <w:rStyle w:val="Hyperlink"/>
            <w:rFonts w:cstheme="majorBidi"/>
            <w:noProof/>
          </w:rPr>
          <w:t>Documents relied on for rulemaking</w:t>
        </w:r>
        <w:r w:rsidR="00AA51B2">
          <w:rPr>
            <w:noProof/>
            <w:webHidden/>
          </w:rPr>
          <w:tab/>
        </w:r>
        <w:r w:rsidR="00AA51B2">
          <w:rPr>
            <w:noProof/>
            <w:webHidden/>
          </w:rPr>
          <w:fldChar w:fldCharType="begin"/>
        </w:r>
        <w:r w:rsidR="00AA51B2">
          <w:rPr>
            <w:noProof/>
            <w:webHidden/>
          </w:rPr>
          <w:instrText xml:space="preserve"> PAGEREF _Toc20127286 \h </w:instrText>
        </w:r>
        <w:r w:rsidR="00AA51B2">
          <w:rPr>
            <w:noProof/>
            <w:webHidden/>
          </w:rPr>
        </w:r>
        <w:r w:rsidR="00AA51B2">
          <w:rPr>
            <w:noProof/>
            <w:webHidden/>
          </w:rPr>
          <w:fldChar w:fldCharType="separate"/>
        </w:r>
        <w:r w:rsidR="008C16CE">
          <w:rPr>
            <w:noProof/>
            <w:webHidden/>
          </w:rPr>
          <w:t>4</w:t>
        </w:r>
        <w:r w:rsidR="00AA51B2">
          <w:rPr>
            <w:noProof/>
            <w:webHidden/>
          </w:rPr>
          <w:fldChar w:fldCharType="end"/>
        </w:r>
      </w:hyperlink>
    </w:p>
    <w:p w14:paraId="3F96B1DE" w14:textId="6D2077F4"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87" w:history="1">
        <w:r w:rsidR="00AA51B2" w:rsidRPr="007E240B">
          <w:rPr>
            <w:rStyle w:val="Hyperlink"/>
            <w:noProof/>
          </w:rPr>
          <w:t>Fee Analysis</w:t>
        </w:r>
        <w:r w:rsidR="00AA51B2">
          <w:rPr>
            <w:noProof/>
            <w:webHidden/>
          </w:rPr>
          <w:tab/>
        </w:r>
        <w:r w:rsidR="00AA51B2">
          <w:rPr>
            <w:noProof/>
            <w:webHidden/>
          </w:rPr>
          <w:fldChar w:fldCharType="begin"/>
        </w:r>
        <w:r w:rsidR="00AA51B2">
          <w:rPr>
            <w:noProof/>
            <w:webHidden/>
          </w:rPr>
          <w:instrText xml:space="preserve"> PAGEREF _Toc20127287 \h </w:instrText>
        </w:r>
        <w:r w:rsidR="00AA51B2">
          <w:rPr>
            <w:noProof/>
            <w:webHidden/>
          </w:rPr>
        </w:r>
        <w:r w:rsidR="00AA51B2">
          <w:rPr>
            <w:noProof/>
            <w:webHidden/>
          </w:rPr>
          <w:fldChar w:fldCharType="separate"/>
        </w:r>
        <w:r w:rsidR="008C16CE">
          <w:rPr>
            <w:noProof/>
            <w:webHidden/>
          </w:rPr>
          <w:t>6</w:t>
        </w:r>
        <w:r w:rsidR="00AA51B2">
          <w:rPr>
            <w:noProof/>
            <w:webHidden/>
          </w:rPr>
          <w:fldChar w:fldCharType="end"/>
        </w:r>
      </w:hyperlink>
    </w:p>
    <w:p w14:paraId="13326486" w14:textId="420D2716"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88" w:history="1">
        <w:r w:rsidR="00AA51B2" w:rsidRPr="007E240B">
          <w:rPr>
            <w:rStyle w:val="Hyperlink"/>
            <w:noProof/>
          </w:rPr>
          <w:t>Statement of Fiscal and Economic Impact</w:t>
        </w:r>
        <w:r w:rsidR="00AA51B2">
          <w:rPr>
            <w:noProof/>
            <w:webHidden/>
          </w:rPr>
          <w:tab/>
        </w:r>
        <w:r w:rsidR="00AA51B2">
          <w:rPr>
            <w:noProof/>
            <w:webHidden/>
          </w:rPr>
          <w:fldChar w:fldCharType="begin"/>
        </w:r>
        <w:r w:rsidR="00AA51B2">
          <w:rPr>
            <w:noProof/>
            <w:webHidden/>
          </w:rPr>
          <w:instrText xml:space="preserve"> PAGEREF _Toc20127288 \h </w:instrText>
        </w:r>
        <w:r w:rsidR="00AA51B2">
          <w:rPr>
            <w:noProof/>
            <w:webHidden/>
          </w:rPr>
        </w:r>
        <w:r w:rsidR="00AA51B2">
          <w:rPr>
            <w:noProof/>
            <w:webHidden/>
          </w:rPr>
          <w:fldChar w:fldCharType="separate"/>
        </w:r>
        <w:r w:rsidR="008C16CE">
          <w:rPr>
            <w:noProof/>
            <w:webHidden/>
          </w:rPr>
          <w:t>13</w:t>
        </w:r>
        <w:r w:rsidR="00AA51B2">
          <w:rPr>
            <w:noProof/>
            <w:webHidden/>
          </w:rPr>
          <w:fldChar w:fldCharType="end"/>
        </w:r>
      </w:hyperlink>
    </w:p>
    <w:p w14:paraId="0F47181D" w14:textId="7E37091C"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89" w:history="1">
        <w:r w:rsidR="00AA51B2" w:rsidRPr="007E240B">
          <w:rPr>
            <w:rStyle w:val="Hyperlink"/>
            <w:noProof/>
          </w:rPr>
          <w:t>Federal relationship</w:t>
        </w:r>
        <w:r w:rsidR="00AA51B2">
          <w:rPr>
            <w:noProof/>
            <w:webHidden/>
          </w:rPr>
          <w:tab/>
        </w:r>
        <w:r w:rsidR="00AA51B2">
          <w:rPr>
            <w:noProof/>
            <w:webHidden/>
          </w:rPr>
          <w:fldChar w:fldCharType="begin"/>
        </w:r>
        <w:r w:rsidR="00AA51B2">
          <w:rPr>
            <w:noProof/>
            <w:webHidden/>
          </w:rPr>
          <w:instrText xml:space="preserve"> PAGEREF _Toc20127289 \h </w:instrText>
        </w:r>
        <w:r w:rsidR="00AA51B2">
          <w:rPr>
            <w:noProof/>
            <w:webHidden/>
          </w:rPr>
        </w:r>
        <w:r w:rsidR="00AA51B2">
          <w:rPr>
            <w:noProof/>
            <w:webHidden/>
          </w:rPr>
          <w:fldChar w:fldCharType="separate"/>
        </w:r>
        <w:r w:rsidR="008C16CE">
          <w:rPr>
            <w:noProof/>
            <w:webHidden/>
          </w:rPr>
          <w:t>17</w:t>
        </w:r>
        <w:r w:rsidR="00AA51B2">
          <w:rPr>
            <w:noProof/>
            <w:webHidden/>
          </w:rPr>
          <w:fldChar w:fldCharType="end"/>
        </w:r>
      </w:hyperlink>
    </w:p>
    <w:p w14:paraId="3574C330" w14:textId="71593BC2"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90" w:history="1">
        <w:r w:rsidR="00AA51B2" w:rsidRPr="007E240B">
          <w:rPr>
            <w:rStyle w:val="Hyperlink"/>
            <w:noProof/>
          </w:rPr>
          <w:t>Land use</w:t>
        </w:r>
        <w:r w:rsidR="00AA51B2">
          <w:rPr>
            <w:noProof/>
            <w:webHidden/>
          </w:rPr>
          <w:tab/>
        </w:r>
        <w:r w:rsidR="00AA51B2">
          <w:rPr>
            <w:noProof/>
            <w:webHidden/>
          </w:rPr>
          <w:fldChar w:fldCharType="begin"/>
        </w:r>
        <w:r w:rsidR="00AA51B2">
          <w:rPr>
            <w:noProof/>
            <w:webHidden/>
          </w:rPr>
          <w:instrText xml:space="preserve"> PAGEREF _Toc20127290 \h </w:instrText>
        </w:r>
        <w:r w:rsidR="00AA51B2">
          <w:rPr>
            <w:noProof/>
            <w:webHidden/>
          </w:rPr>
        </w:r>
        <w:r w:rsidR="00AA51B2">
          <w:rPr>
            <w:noProof/>
            <w:webHidden/>
          </w:rPr>
          <w:fldChar w:fldCharType="separate"/>
        </w:r>
        <w:r w:rsidR="008C16CE">
          <w:rPr>
            <w:noProof/>
            <w:webHidden/>
          </w:rPr>
          <w:t>18</w:t>
        </w:r>
        <w:r w:rsidR="00AA51B2">
          <w:rPr>
            <w:noProof/>
            <w:webHidden/>
          </w:rPr>
          <w:fldChar w:fldCharType="end"/>
        </w:r>
      </w:hyperlink>
    </w:p>
    <w:p w14:paraId="5B70DA2F" w14:textId="1A277FA7"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91" w:history="1">
        <w:r w:rsidR="00AA51B2" w:rsidRPr="007E240B">
          <w:rPr>
            <w:rStyle w:val="Hyperlink"/>
            <w:noProof/>
          </w:rPr>
          <w:t>EQC Prior Involvement</w:t>
        </w:r>
        <w:r w:rsidR="00AA51B2">
          <w:rPr>
            <w:noProof/>
            <w:webHidden/>
          </w:rPr>
          <w:tab/>
        </w:r>
        <w:r w:rsidR="00AA51B2">
          <w:rPr>
            <w:noProof/>
            <w:webHidden/>
          </w:rPr>
          <w:fldChar w:fldCharType="begin"/>
        </w:r>
        <w:r w:rsidR="00AA51B2">
          <w:rPr>
            <w:noProof/>
            <w:webHidden/>
          </w:rPr>
          <w:instrText xml:space="preserve"> PAGEREF _Toc20127291 \h </w:instrText>
        </w:r>
        <w:r w:rsidR="00AA51B2">
          <w:rPr>
            <w:noProof/>
            <w:webHidden/>
          </w:rPr>
        </w:r>
        <w:r w:rsidR="00AA51B2">
          <w:rPr>
            <w:noProof/>
            <w:webHidden/>
          </w:rPr>
          <w:fldChar w:fldCharType="separate"/>
        </w:r>
        <w:r w:rsidR="008C16CE">
          <w:rPr>
            <w:noProof/>
            <w:webHidden/>
          </w:rPr>
          <w:t>20</w:t>
        </w:r>
        <w:r w:rsidR="00AA51B2">
          <w:rPr>
            <w:noProof/>
            <w:webHidden/>
          </w:rPr>
          <w:fldChar w:fldCharType="end"/>
        </w:r>
      </w:hyperlink>
    </w:p>
    <w:p w14:paraId="136F1D6F" w14:textId="03E0C95A"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92" w:history="1">
        <w:r w:rsidR="00AA51B2" w:rsidRPr="007E240B">
          <w:rPr>
            <w:rStyle w:val="Hyperlink"/>
            <w:noProof/>
          </w:rPr>
          <w:t>Advisory Committee</w:t>
        </w:r>
        <w:r w:rsidR="00AA51B2">
          <w:rPr>
            <w:noProof/>
            <w:webHidden/>
          </w:rPr>
          <w:tab/>
        </w:r>
        <w:r w:rsidR="00AA51B2">
          <w:rPr>
            <w:noProof/>
            <w:webHidden/>
          </w:rPr>
          <w:fldChar w:fldCharType="begin"/>
        </w:r>
        <w:r w:rsidR="00AA51B2">
          <w:rPr>
            <w:noProof/>
            <w:webHidden/>
          </w:rPr>
          <w:instrText xml:space="preserve"> PAGEREF _Toc20127292 \h </w:instrText>
        </w:r>
        <w:r w:rsidR="00AA51B2">
          <w:rPr>
            <w:noProof/>
            <w:webHidden/>
          </w:rPr>
        </w:r>
        <w:r w:rsidR="00AA51B2">
          <w:rPr>
            <w:noProof/>
            <w:webHidden/>
          </w:rPr>
          <w:fldChar w:fldCharType="separate"/>
        </w:r>
        <w:r w:rsidR="008C16CE">
          <w:rPr>
            <w:noProof/>
            <w:webHidden/>
          </w:rPr>
          <w:t>21</w:t>
        </w:r>
        <w:r w:rsidR="00AA51B2">
          <w:rPr>
            <w:noProof/>
            <w:webHidden/>
          </w:rPr>
          <w:fldChar w:fldCharType="end"/>
        </w:r>
      </w:hyperlink>
    </w:p>
    <w:p w14:paraId="28C8F56E" w14:textId="4BBC8020"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93" w:history="1">
        <w:r w:rsidR="00AA51B2" w:rsidRPr="007E240B">
          <w:rPr>
            <w:rStyle w:val="Hyperlink"/>
            <w:noProof/>
          </w:rPr>
          <w:t>Public Engagement</w:t>
        </w:r>
        <w:r w:rsidR="00AA51B2">
          <w:rPr>
            <w:noProof/>
            <w:webHidden/>
          </w:rPr>
          <w:tab/>
        </w:r>
        <w:r w:rsidR="00AA51B2">
          <w:rPr>
            <w:noProof/>
            <w:webHidden/>
          </w:rPr>
          <w:fldChar w:fldCharType="begin"/>
        </w:r>
        <w:r w:rsidR="00AA51B2">
          <w:rPr>
            <w:noProof/>
            <w:webHidden/>
          </w:rPr>
          <w:instrText xml:space="preserve"> PAGEREF _Toc20127293 \h </w:instrText>
        </w:r>
        <w:r w:rsidR="00AA51B2">
          <w:rPr>
            <w:noProof/>
            <w:webHidden/>
          </w:rPr>
        </w:r>
        <w:r w:rsidR="00AA51B2">
          <w:rPr>
            <w:noProof/>
            <w:webHidden/>
          </w:rPr>
          <w:fldChar w:fldCharType="separate"/>
        </w:r>
        <w:r w:rsidR="008C16CE">
          <w:rPr>
            <w:noProof/>
            <w:webHidden/>
          </w:rPr>
          <w:t>23</w:t>
        </w:r>
        <w:r w:rsidR="00AA51B2">
          <w:rPr>
            <w:noProof/>
            <w:webHidden/>
          </w:rPr>
          <w:fldChar w:fldCharType="end"/>
        </w:r>
      </w:hyperlink>
    </w:p>
    <w:p w14:paraId="407C4917" w14:textId="2F7DA3CD"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94" w:history="1">
        <w:r w:rsidR="00AA51B2" w:rsidRPr="007E240B">
          <w:rPr>
            <w:rStyle w:val="Hyperlink"/>
            <w:noProof/>
          </w:rPr>
          <w:t>Implementation</w:t>
        </w:r>
        <w:r w:rsidR="00AA51B2">
          <w:rPr>
            <w:noProof/>
            <w:webHidden/>
          </w:rPr>
          <w:tab/>
        </w:r>
        <w:r w:rsidR="00AA51B2">
          <w:rPr>
            <w:noProof/>
            <w:webHidden/>
          </w:rPr>
          <w:fldChar w:fldCharType="begin"/>
        </w:r>
        <w:r w:rsidR="00AA51B2">
          <w:rPr>
            <w:noProof/>
            <w:webHidden/>
          </w:rPr>
          <w:instrText xml:space="preserve"> PAGEREF _Toc20127294 \h </w:instrText>
        </w:r>
        <w:r w:rsidR="00AA51B2">
          <w:rPr>
            <w:noProof/>
            <w:webHidden/>
          </w:rPr>
        </w:r>
        <w:r w:rsidR="00AA51B2">
          <w:rPr>
            <w:noProof/>
            <w:webHidden/>
          </w:rPr>
          <w:fldChar w:fldCharType="separate"/>
        </w:r>
        <w:r w:rsidR="008C16CE">
          <w:rPr>
            <w:noProof/>
            <w:webHidden/>
          </w:rPr>
          <w:t>27</w:t>
        </w:r>
        <w:r w:rsidR="00AA51B2">
          <w:rPr>
            <w:noProof/>
            <w:webHidden/>
          </w:rPr>
          <w:fldChar w:fldCharType="end"/>
        </w:r>
      </w:hyperlink>
    </w:p>
    <w:p w14:paraId="7B0CBFCF" w14:textId="18D71C46"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95" w:history="1">
        <w:r w:rsidR="00AA51B2" w:rsidRPr="007E240B">
          <w:rPr>
            <w:rStyle w:val="Hyperlink"/>
            <w:noProof/>
          </w:rPr>
          <w:t>Five Year Review</w:t>
        </w:r>
        <w:r w:rsidR="00AA51B2">
          <w:rPr>
            <w:noProof/>
            <w:webHidden/>
          </w:rPr>
          <w:tab/>
        </w:r>
        <w:r w:rsidR="00AA51B2">
          <w:rPr>
            <w:noProof/>
            <w:webHidden/>
          </w:rPr>
          <w:fldChar w:fldCharType="begin"/>
        </w:r>
        <w:r w:rsidR="00AA51B2">
          <w:rPr>
            <w:noProof/>
            <w:webHidden/>
          </w:rPr>
          <w:instrText xml:space="preserve"> PAGEREF _Toc20127295 \h </w:instrText>
        </w:r>
        <w:r w:rsidR="00AA51B2">
          <w:rPr>
            <w:noProof/>
            <w:webHidden/>
          </w:rPr>
        </w:r>
        <w:r w:rsidR="00AA51B2">
          <w:rPr>
            <w:noProof/>
            <w:webHidden/>
          </w:rPr>
          <w:fldChar w:fldCharType="separate"/>
        </w:r>
        <w:r w:rsidR="008C16CE">
          <w:rPr>
            <w:noProof/>
            <w:webHidden/>
          </w:rPr>
          <w:t>29</w:t>
        </w:r>
        <w:r w:rsidR="00AA51B2">
          <w:rPr>
            <w:noProof/>
            <w:webHidden/>
          </w:rPr>
          <w:fldChar w:fldCharType="end"/>
        </w:r>
      </w:hyperlink>
    </w:p>
    <w:p w14:paraId="33275AD7" w14:textId="18C013C9" w:rsidR="00AA51B2" w:rsidRDefault="00180307">
      <w:pPr>
        <w:pStyle w:val="TOC1"/>
        <w:tabs>
          <w:tab w:val="right" w:leader="dot" w:pos="9350"/>
        </w:tabs>
        <w:rPr>
          <w:rFonts w:asciiTheme="minorHAnsi" w:eastAsiaTheme="minorEastAsia" w:hAnsiTheme="minorHAnsi" w:cstheme="minorBidi"/>
          <w:bCs w:val="0"/>
          <w:noProof/>
          <w:color w:val="auto"/>
          <w:sz w:val="22"/>
          <w:szCs w:val="22"/>
        </w:rPr>
      </w:pPr>
      <w:hyperlink w:anchor="_Toc20127296" w:history="1">
        <w:r w:rsidR="00AA51B2" w:rsidRPr="007E240B">
          <w:rPr>
            <w:rStyle w:val="Hyperlink"/>
            <w:noProof/>
          </w:rPr>
          <w:t>Accessibility Information</w:t>
        </w:r>
        <w:r w:rsidR="00AA51B2">
          <w:rPr>
            <w:noProof/>
            <w:webHidden/>
          </w:rPr>
          <w:tab/>
        </w:r>
        <w:r w:rsidR="00AA51B2">
          <w:rPr>
            <w:noProof/>
            <w:webHidden/>
          </w:rPr>
          <w:fldChar w:fldCharType="begin"/>
        </w:r>
        <w:r w:rsidR="00AA51B2">
          <w:rPr>
            <w:noProof/>
            <w:webHidden/>
          </w:rPr>
          <w:instrText xml:space="preserve"> PAGEREF _Toc20127296 \h </w:instrText>
        </w:r>
        <w:r w:rsidR="00AA51B2">
          <w:rPr>
            <w:noProof/>
            <w:webHidden/>
          </w:rPr>
        </w:r>
        <w:r w:rsidR="00AA51B2">
          <w:rPr>
            <w:noProof/>
            <w:webHidden/>
          </w:rPr>
          <w:fldChar w:fldCharType="separate"/>
        </w:r>
        <w:r w:rsidR="008C16CE">
          <w:rPr>
            <w:noProof/>
            <w:webHidden/>
          </w:rPr>
          <w:t>30</w:t>
        </w:r>
        <w:r w:rsidR="00AA51B2">
          <w:rPr>
            <w:noProof/>
            <w:webHidden/>
          </w:rPr>
          <w:fldChar w:fldCharType="end"/>
        </w:r>
      </w:hyperlink>
    </w:p>
    <w:p w14:paraId="3C567DC1" w14:textId="00678944"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1" w:name="_Toc2849069"/>
    </w:p>
    <w:p w14:paraId="5D232FDA" w14:textId="77777777" w:rsidR="002F2F6F" w:rsidRDefault="002F2F6F" w:rsidP="002F2F6F">
      <w:pPr>
        <w:pStyle w:val="Heading1"/>
      </w:pPr>
      <w:bookmarkStart w:id="2" w:name="_Toc3988344"/>
      <w:bookmarkStart w:id="3" w:name="_Toc20127282"/>
      <w:bookmarkEnd w:id="1"/>
      <w:r>
        <w:lastRenderedPageBreak/>
        <w:t>DEQ Recommendation to the EQC</w:t>
      </w:r>
      <w:bookmarkEnd w:id="2"/>
      <w:bookmarkEnd w:id="3"/>
    </w:p>
    <w:p w14:paraId="67778523" w14:textId="77777777" w:rsidR="002F2F6F" w:rsidRDefault="002F2F6F" w:rsidP="00A83AA3">
      <w:pPr>
        <w:pStyle w:val="instructions"/>
      </w:pPr>
    </w:p>
    <w:p w14:paraId="6F3B88CC" w14:textId="4C539A62" w:rsidR="002F2F6F" w:rsidRDefault="00DA761D" w:rsidP="002F2F6F">
      <w:r>
        <w:t xml:space="preserve">DEQ recommends </w:t>
      </w:r>
      <w:r w:rsidR="002F2F6F" w:rsidRPr="001404B0">
        <w:t>the Environmental Quality Commission adopt the proposed rules in Attachment A as part of Chapter 340 of the Oregon Administrative Rules.</w:t>
      </w:r>
    </w:p>
    <w:p w14:paraId="3E566DD7" w14:textId="07624CD3" w:rsidR="00DB67D2" w:rsidRDefault="00DB67D2" w:rsidP="002F2F6F"/>
    <w:p w14:paraId="6129F89E" w14:textId="71A77B38" w:rsidR="00DB67D2" w:rsidRPr="00DB67D2" w:rsidRDefault="00DB67D2" w:rsidP="00DB67D2">
      <w:pPr>
        <w:pStyle w:val="Heading2"/>
      </w:pPr>
      <w:r w:rsidRPr="00DB67D2">
        <w:t>Proposed EQC Motion:</w:t>
      </w:r>
    </w:p>
    <w:p w14:paraId="412F157F" w14:textId="791050B6" w:rsidR="00DB67D2" w:rsidRDefault="00DB67D2" w:rsidP="002F2F6F"/>
    <w:p w14:paraId="01F53EB9" w14:textId="13B37DC5" w:rsidR="00DB67D2" w:rsidRPr="00DB67D2" w:rsidRDefault="00DB67D2" w:rsidP="002F2F6F">
      <w:pPr>
        <w:rPr>
          <w:i/>
        </w:rPr>
      </w:pPr>
      <w:r>
        <w:rPr>
          <w:i/>
        </w:rPr>
        <w:t>I move that the commission adopt the proposed rule amendments, presented in Attachment A of this staff report, as part of Chapter 340 of the Oregon Administrative Rules, Divisions 163 and 177.</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4" w:name="_Toc3988345"/>
      <w:bookmarkStart w:id="5" w:name="_Toc20127283"/>
      <w:r>
        <w:lastRenderedPageBreak/>
        <w:t>Introduction</w:t>
      </w:r>
      <w:bookmarkEnd w:id="4"/>
      <w:bookmarkEnd w:id="5"/>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53487B56">
                <wp:extent cx="5029200" cy="771276"/>
                <wp:effectExtent l="0" t="0" r="19050"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396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gVNQwIAAIgEAAAOAAAAZHJzL2Uyb0RvYy54bWysVNtu2zAMfR+wfxD0vjgJmqQx4hRdug4D&#10;ugvQ7gNkWbaF6TZKiZ19/SgpTdPtbdiLIVLU4eEh6c3NqBU5CPDSmorOJlNKhOG2kaar6Pen+3fX&#10;lPjATMOUNaKiR+Hpzfbtm83gSjG3vVWNAIIgxpeDq2gfgiuLwvNeaOYn1gmDl60FzQKa0BUNsAHR&#10;tSrm0+myGCw0DiwX3qP3Ll/SbcJvW8HD17b1IhBVUeQW0hfSt47fYrthZQfM9ZKfaLB/YKGZNJj0&#10;DHXHAiN7kH9BacnBetuGCbe6sG0ruUg1YDWz6R/VPPbMiVQLiuPdWSb//2D5l8M3ILKp6JISwzS2&#10;6EmMgby3I5lFdQbnSwx6dBgWRnRjl1Ol3j1Y/sMTY3c9M524BbBDL1iD7NLL4uJpxvERpB4+2wbT&#10;sH2wCWhsQUfpUAyC6Nil47kzkQpH52I6X2O7KeF4t1rN5qtlJFew8vm1Ax8+CqtJPFQUsPMJnR0e&#10;fMihzyExmbdKNvdSqWTEaRM7BeTAcE7qLleo9hqpZt/1Yorp07SgG2cqu5MLWaR5jQiJ0ytwZchQ&#10;0fVivsiyvUoMXX1OiwlOOSLgZZiWAZdESV3R63MQK6PYH0yTSAUmVT7jY2WQRlQ/Cp6lD2M9YmB0&#10;1rY5Yh/A5mXA5cVDb+EXJQMuQkX9zz0DQYn6ZLCX69nVVdycSwMujfrSYIYjVEV5AEqysQt53/YO&#10;ZNdjrqyusbc4Aa1MzXnhdWKO456kPK1m3KdLO0W9/EC2vwEAAP//AwBQSwMEFAAGAAgAAAAhAC+f&#10;1svZAAAABQEAAA8AAABkcnMvZG93bnJldi54bWxMj0FLxDAQhe+C/yGM4M1Nt6CutemyCPYouF3w&#10;mm2mTbGZlCS77frrHb3oZeDxHm++V24XN4ozhjh4UrBeZSCQWm8G6hUcmte7DYiYNBk9ekIFF4yw&#10;ra6vSl0YP9M7nvepF1xCsdAKbEpTIWVsLTodV35CYq/zwenEMvTSBD1zuRtlnmUP0umB+IPVE75Y&#10;bD/3J6cgXcLHvHy9dVNXO+s2u6aum0ap25tl9wwi4ZL+wvCDz+hQMdPRn8hEMSrgIen3svf4lLM8&#10;cihf34OsSvmfvvoGAAD//wMAUEsBAi0AFAAGAAgAAAAhALaDOJL+AAAA4QEAABMAAAAAAAAAAAAA&#10;AAAAAAAAAFtDb250ZW50X1R5cGVzXS54bWxQSwECLQAUAAYACAAAACEAOP0h/9YAAACUAQAACwAA&#10;AAAAAAAAAAAAAAAvAQAAX3JlbHMvLnJlbHNQSwECLQAUAAYACAAAACEA1u4FTUMCAACIBAAADgAA&#10;AAAAAAAAAAAAAAAuAgAAZHJzL2Uyb0RvYy54bWxQSwECLQAUAAYACAAAACEAL5/Wy9kAAAAFAQAA&#10;DwAAAAAAAAAAAAAAAACdBAAAZHJzL2Rvd25yZXYueG1sUEsFBgAAAAAEAAQA8wAAAKMFAAAAAA==&#10;" fillcolor="#d8d8d8 [2732]">
                <v:textbox inset=",7.2pt,,7.2pt">
                  <w:txbxContent>
                    <w:p w14:paraId="45E9E54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6F569D7" w14:textId="46F350CE"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project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32C12073" w14:textId="77777777" w:rsidR="002F2F6F" w:rsidRPr="003C26EE" w:rsidRDefault="002F2F6F" w:rsidP="002F2F6F">
      <w:pPr>
        <w:pStyle w:val="Heading1"/>
      </w:pPr>
      <w:bookmarkStart w:id="6" w:name="_Toc3988347"/>
      <w:bookmarkStart w:id="7" w:name="_Toc20127284"/>
      <w:r w:rsidRPr="003C26EE">
        <w:lastRenderedPageBreak/>
        <w:t>Statement of need</w:t>
      </w:r>
      <w:bookmarkEnd w:id="6"/>
      <w:bookmarkEnd w:id="7"/>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1D840EBA"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8" w:name="_Toc3988348"/>
      <w:bookmarkStart w:id="9" w:name="_Toc20127285"/>
      <w:r w:rsidRPr="003C26EE">
        <w:lastRenderedPageBreak/>
        <w:t>Rules affected, authorities, supporting documents</w:t>
      </w:r>
      <w:bookmarkEnd w:id="8"/>
      <w:bookmarkEnd w:id="9"/>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1BB4FEE2"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74609F40" w14:textId="26EF972F" w:rsidR="00164DC2" w:rsidRPr="00762E9F" w:rsidRDefault="00164DC2" w:rsidP="00164DC2"/>
    <w:p w14:paraId="39CA3E94" w14:textId="77777777" w:rsidR="00164DC2" w:rsidRDefault="00164DC2" w:rsidP="00164DC2">
      <w:pPr>
        <w:pStyle w:val="Heading2"/>
      </w:pPr>
      <w:bookmarkStart w:id="10" w:name="_Toc15883578"/>
      <w:bookmarkStart w:id="11" w:name="SupportingDocuments"/>
      <w:bookmarkStart w:id="12" w:name="_Toc20127286"/>
      <w:r w:rsidRPr="00F43D69">
        <w:rPr>
          <w:rStyle w:val="Heading1Char"/>
          <w:rFonts w:cstheme="majorBidi"/>
          <w:b/>
          <w:bCs/>
          <w:sz w:val="32"/>
          <w:szCs w:val="26"/>
        </w:rPr>
        <w:t>Documents relied on for rulemaking</w:t>
      </w:r>
      <w:bookmarkEnd w:id="10"/>
      <w:bookmarkEnd w:id="11"/>
      <w:bookmarkEnd w:id="12"/>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4192C96B" w14:textId="1D09FD41" w:rsidR="002F2F6F" w:rsidRPr="00A33FE4" w:rsidRDefault="002F2F6F" w:rsidP="00A33FE4">
      <w:pPr>
        <w:tabs>
          <w:tab w:val="left" w:pos="3488"/>
        </w:tabs>
        <w:sectPr w:rsidR="002F2F6F" w:rsidRPr="00A33FE4" w:rsidSect="00A33FE4">
          <w:type w:val="continuous"/>
          <w:pgSz w:w="12240" w:h="15840" w:code="1"/>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3" w:name="_Toc3988349"/>
      <w:bookmarkStart w:id="14" w:name="_Toc20127287"/>
      <w:r w:rsidRPr="003C26EE">
        <w:lastRenderedPageBreak/>
        <w:t>Fee Analysis</w:t>
      </w:r>
      <w:bookmarkEnd w:id="13"/>
      <w:bookmarkEnd w:id="14"/>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3AC16233"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5" w:name="RANGE!A226:B243"/>
      <w:bookmarkEnd w:id="15"/>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lastRenderedPageBreak/>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DEQ contacted homeowners who had a heating oil tank cleaned up or decommissioned within the last 12 months. The homeowners received a survey to evaluate their experiences with service providers and DEQ’s program. In September 2018, DEQ began to include 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043C74CE" w:rsid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1E59C659" w14:textId="77777777" w:rsidR="00AA51B2" w:rsidRPr="00164DC2" w:rsidRDefault="00AA51B2" w:rsidP="00164DC2"/>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1DE25616" w14:textId="60918766"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180307" w:rsidP="00164DC2">
      <w:hyperlink r:id="rId21" w:history="1">
        <w:r w:rsidR="00164DC2"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2"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3"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180307" w:rsidP="00164DC2">
      <w:hyperlink r:id="rId24" w:history="1">
        <w:r w:rsidR="00164DC2"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5"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6"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r w:rsidRPr="00164DC2">
              <w:t>Fee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16" w:name="_Toc3988350"/>
      <w:bookmarkStart w:id="17" w:name="_Toc20127288"/>
      <w:r>
        <w:lastRenderedPageBreak/>
        <w:t>Statement of F</w:t>
      </w:r>
      <w:r w:rsidR="002F2F6F" w:rsidRPr="003C26EE">
        <w:t xml:space="preserve">iscal and </w:t>
      </w:r>
      <w:r>
        <w:t>Economic I</w:t>
      </w:r>
      <w:r w:rsidR="002F2F6F" w:rsidRPr="003C26EE">
        <w:t>mpact</w:t>
      </w:r>
      <w:bookmarkEnd w:id="16"/>
      <w:bookmarkEnd w:id="17"/>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41FB46F"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18" w:name="_Toc3985804"/>
      <w:r w:rsidRPr="00B65827">
        <w:rPr>
          <w:rFonts w:ascii="Arial" w:hAnsi="Arial" w:cstheme="minorHAnsi"/>
          <w:b/>
          <w:bCs/>
          <w:sz w:val="44"/>
          <w:szCs w:val="20"/>
        </w:rPr>
        <w:t>Housing cost</w:t>
      </w:r>
      <w:bookmarkEnd w:id="18"/>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19" w:name="_Toc3988351"/>
      <w:bookmarkStart w:id="20" w:name="_Toc20127289"/>
      <w:r w:rsidRPr="003C26EE">
        <w:lastRenderedPageBreak/>
        <w:t>Federal relationship</w:t>
      </w:r>
      <w:bookmarkEnd w:id="19"/>
      <w:bookmarkEnd w:id="20"/>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4F25ABC"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1" w:name="_Toc3988352"/>
      <w:bookmarkStart w:id="22" w:name="_Toc20127290"/>
      <w:r w:rsidRPr="003C26EE">
        <w:lastRenderedPageBreak/>
        <w:t>Land use</w:t>
      </w:r>
      <w:bookmarkEnd w:id="21"/>
      <w:bookmarkEnd w:id="22"/>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3B06F647"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3" w:name="_Toc3988353"/>
      <w:bookmarkStart w:id="24" w:name="_Toc20127291"/>
      <w:r w:rsidRPr="003C26EE">
        <w:lastRenderedPageBreak/>
        <w:t>EQC Prior Involvement</w:t>
      </w:r>
      <w:bookmarkEnd w:id="23"/>
      <w:bookmarkEnd w:id="24"/>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75ED4C90"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324912E4" w14:textId="648E70DF" w:rsidR="002F2F6F" w:rsidRDefault="002F2F6F" w:rsidP="00AA51B2">
      <w:pPr>
        <w:pStyle w:val="Heading1"/>
      </w:pPr>
      <w:bookmarkStart w:id="25" w:name="_Toc3988354"/>
      <w:bookmarkStart w:id="26" w:name="_Toc20127292"/>
      <w:r w:rsidRPr="003C26EE">
        <w:lastRenderedPageBreak/>
        <w:t>Advisory Committee</w:t>
      </w:r>
      <w:bookmarkEnd w:id="25"/>
      <w:bookmarkEnd w:id="26"/>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85257B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7"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DA761D">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DA761D">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Jenny Pakula</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DA761D">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DA761D">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Phil Backman</w:t>
            </w:r>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8"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29"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27" w:name="_Toc3988355"/>
      <w:bookmarkStart w:id="28" w:name="_Toc20127293"/>
      <w:r w:rsidRPr="003C26EE">
        <w:lastRenderedPageBreak/>
        <w:t>Public Engagement</w:t>
      </w:r>
      <w:bookmarkEnd w:id="27"/>
      <w:bookmarkEnd w:id="28"/>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0A3D9A0E" w14:textId="77777777" w:rsidR="000138DE" w:rsidRPr="001A4DE1" w:rsidRDefault="000138DE"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0138DE" w:rsidRDefault="000138DE"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0"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1"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Michael Dembrow,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E. Werner Reschke,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2"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29" w:name="_Toc3988356"/>
      <w:r>
        <w:lastRenderedPageBreak/>
        <w:t>Public Hearing</w:t>
      </w:r>
      <w:bookmarkEnd w:id="29"/>
    </w:p>
    <w:p w14:paraId="55FB36E3" w14:textId="77777777" w:rsidR="002F2F6F" w:rsidRDefault="002F2F6F" w:rsidP="002F2F6F"/>
    <w:p w14:paraId="21759183" w14:textId="4E51ACE7" w:rsidR="002F2F6F" w:rsidRPr="001404B0" w:rsidRDefault="002F2F6F" w:rsidP="00844838">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DEQ received</w:t>
      </w:r>
      <w:r w:rsidR="00844838">
        <w:t xml:space="preserve"> zero </w:t>
      </w:r>
      <w:r w:rsidRPr="001404B0">
        <w:t>comments at the hearing. Later sections of this document include a summary of the</w:t>
      </w:r>
      <w:r w:rsidR="00844838">
        <w:t xml:space="preserve"> two </w:t>
      </w:r>
      <w:r w:rsidRPr="001404B0">
        <w:t>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8C5E7F9" w:rsidR="002F2F6F" w:rsidRPr="001404B0" w:rsidRDefault="007C7225" w:rsidP="001F7800">
      <w:pPr>
        <w:pStyle w:val="Heading4"/>
      </w:pPr>
      <w:r>
        <w:t xml:space="preserve">Hearing </w:t>
      </w:r>
    </w:p>
    <w:p w14:paraId="727947BC" w14:textId="77777777" w:rsidR="002F2F6F" w:rsidRPr="001404B0" w:rsidRDefault="002F2F6F" w:rsidP="002F2F6F"/>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37"/>
        <w:gridCol w:w="6817"/>
      </w:tblGrid>
      <w:tr w:rsidR="007C7225" w14:paraId="0AA99A53" w14:textId="77777777" w:rsidTr="007C7225">
        <w:tc>
          <w:tcPr>
            <w:tcW w:w="2137" w:type="dxa"/>
          </w:tcPr>
          <w:p w14:paraId="09649182" w14:textId="5A270978" w:rsidR="007C7225" w:rsidRPr="007C7225" w:rsidRDefault="007C7225" w:rsidP="002F2F6F">
            <w:pPr>
              <w:rPr>
                <w:rFonts w:ascii="Arial" w:hAnsi="Arial" w:cs="Arial"/>
              </w:rPr>
            </w:pPr>
            <w:r w:rsidRPr="007C7225">
              <w:rPr>
                <w:rFonts w:ascii="Arial" w:hAnsi="Arial" w:cs="Arial"/>
              </w:rPr>
              <w:t>Date</w:t>
            </w:r>
          </w:p>
        </w:tc>
        <w:tc>
          <w:tcPr>
            <w:tcW w:w="6817" w:type="dxa"/>
          </w:tcPr>
          <w:p w14:paraId="722EDB8D" w14:textId="07FFABEA" w:rsidR="007C7225" w:rsidRDefault="007C7225" w:rsidP="002F2F6F">
            <w:r>
              <w:t>Sept. 18, 2019</w:t>
            </w:r>
          </w:p>
        </w:tc>
      </w:tr>
      <w:tr w:rsidR="007C7225" w14:paraId="563969E9" w14:textId="77777777" w:rsidTr="007C7225">
        <w:tc>
          <w:tcPr>
            <w:tcW w:w="2137" w:type="dxa"/>
          </w:tcPr>
          <w:p w14:paraId="27921D6C" w14:textId="7FD2F7C9" w:rsidR="007C7225" w:rsidRPr="007C7225" w:rsidRDefault="007C7225" w:rsidP="002F2F6F">
            <w:pPr>
              <w:rPr>
                <w:rFonts w:ascii="Arial" w:hAnsi="Arial" w:cs="Arial"/>
              </w:rPr>
            </w:pPr>
            <w:r w:rsidRPr="007C7225">
              <w:rPr>
                <w:rFonts w:ascii="Arial" w:hAnsi="Arial" w:cs="Arial"/>
              </w:rPr>
              <w:t>Place</w:t>
            </w:r>
          </w:p>
        </w:tc>
        <w:tc>
          <w:tcPr>
            <w:tcW w:w="6817" w:type="dxa"/>
          </w:tcPr>
          <w:p w14:paraId="5891C4D2" w14:textId="77777777" w:rsidR="007C7225" w:rsidRDefault="007C7225" w:rsidP="002F2F6F">
            <w:r>
              <w:t>Oregon DEQ</w:t>
            </w:r>
          </w:p>
          <w:p w14:paraId="2931BCB4" w14:textId="77777777" w:rsidR="007C7225" w:rsidRDefault="007C7225" w:rsidP="002F2F6F">
            <w:r>
              <w:t>700 NE Multnomah St., Suite 600</w:t>
            </w:r>
          </w:p>
          <w:p w14:paraId="2B7F85B6" w14:textId="1674CEC5" w:rsidR="007C7225" w:rsidRDefault="007C7225" w:rsidP="002F2F6F">
            <w:r>
              <w:t>Portland, OR 97232-1400</w:t>
            </w:r>
          </w:p>
        </w:tc>
      </w:tr>
      <w:tr w:rsidR="007C7225" w14:paraId="45756566" w14:textId="77777777" w:rsidTr="007C7225">
        <w:tc>
          <w:tcPr>
            <w:tcW w:w="2137" w:type="dxa"/>
          </w:tcPr>
          <w:p w14:paraId="73A104D4" w14:textId="6A7630EA" w:rsidR="007C7225" w:rsidRPr="007C7225" w:rsidRDefault="007C7225" w:rsidP="002F2F6F">
            <w:pPr>
              <w:rPr>
                <w:rFonts w:ascii="Arial" w:hAnsi="Arial" w:cs="Arial"/>
              </w:rPr>
            </w:pPr>
            <w:r w:rsidRPr="007C7225">
              <w:rPr>
                <w:rFonts w:ascii="Arial" w:hAnsi="Arial" w:cs="Arial"/>
              </w:rPr>
              <w:t>Start Time</w:t>
            </w:r>
          </w:p>
        </w:tc>
        <w:tc>
          <w:tcPr>
            <w:tcW w:w="6817" w:type="dxa"/>
          </w:tcPr>
          <w:p w14:paraId="03433C85" w14:textId="50396F1B" w:rsidR="007C7225" w:rsidRDefault="007C7225" w:rsidP="002F2F6F">
            <w:r>
              <w:t>6 p.m.</w:t>
            </w:r>
          </w:p>
        </w:tc>
      </w:tr>
      <w:tr w:rsidR="007C7225" w14:paraId="039F5A28" w14:textId="77777777" w:rsidTr="007C7225">
        <w:tc>
          <w:tcPr>
            <w:tcW w:w="2137" w:type="dxa"/>
          </w:tcPr>
          <w:p w14:paraId="43BFE4E8" w14:textId="588E48CA" w:rsidR="007C7225" w:rsidRPr="007C7225" w:rsidRDefault="007C7225" w:rsidP="002F2F6F">
            <w:pPr>
              <w:rPr>
                <w:rFonts w:ascii="Arial" w:hAnsi="Arial" w:cs="Arial"/>
              </w:rPr>
            </w:pPr>
            <w:r w:rsidRPr="00690D04">
              <w:rPr>
                <w:rFonts w:ascii="Arial" w:hAnsi="Arial" w:cs="Arial"/>
              </w:rPr>
              <w:t>Ending Time</w:t>
            </w:r>
          </w:p>
        </w:tc>
        <w:tc>
          <w:tcPr>
            <w:tcW w:w="6817" w:type="dxa"/>
          </w:tcPr>
          <w:p w14:paraId="33BD6383" w14:textId="3FD2519B" w:rsidR="007C7225" w:rsidRDefault="00690D04" w:rsidP="002F2F6F">
            <w:r>
              <w:t>6:37 p.m.</w:t>
            </w:r>
          </w:p>
        </w:tc>
      </w:tr>
      <w:tr w:rsidR="007C7225" w14:paraId="45C4E60D" w14:textId="77777777" w:rsidTr="007C7225">
        <w:tc>
          <w:tcPr>
            <w:tcW w:w="2137" w:type="dxa"/>
          </w:tcPr>
          <w:p w14:paraId="1352618A" w14:textId="25572036" w:rsidR="007C7225" w:rsidRPr="007C7225" w:rsidRDefault="007C7225" w:rsidP="002F2F6F">
            <w:pPr>
              <w:rPr>
                <w:rFonts w:ascii="Arial" w:hAnsi="Arial" w:cs="Arial"/>
              </w:rPr>
            </w:pPr>
            <w:r w:rsidRPr="007C7225">
              <w:rPr>
                <w:rFonts w:ascii="Arial" w:hAnsi="Arial" w:cs="Arial"/>
              </w:rPr>
              <w:t>Presiding Officer</w:t>
            </w:r>
          </w:p>
        </w:tc>
        <w:tc>
          <w:tcPr>
            <w:tcW w:w="6817" w:type="dxa"/>
          </w:tcPr>
          <w:p w14:paraId="5A7496AA" w14:textId="4EDFE33D" w:rsidR="007C7225" w:rsidRDefault="007C7225" w:rsidP="002F2F6F">
            <w: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03D942B8" w14:textId="46F044F7" w:rsidR="002F2F6F" w:rsidRDefault="002F2F6F" w:rsidP="00844838">
      <w:pPr>
        <w:tabs>
          <w:tab w:val="left" w:pos="-1440"/>
          <w:tab w:val="left" w:pos="-720"/>
        </w:tabs>
        <w:suppressAutoHyphens/>
      </w:pPr>
      <w:r w:rsidRPr="001404B0">
        <w:t xml:space="preserve">The presiding officer convened the hearing, summarized procedures for the hearing, and explained that DEQ was recording the hearing. </w:t>
      </w:r>
      <w:r w:rsidR="00844838">
        <w:t xml:space="preserve">Nobody from the public attended the hearing in person and no one attended by teleconference. </w:t>
      </w:r>
      <w:r w:rsidRPr="001404B0">
        <w:t>No person presented any oral testimony or written comments</w:t>
      </w:r>
      <w:r w:rsidR="00844838">
        <w:t xml:space="preserve"> during the hearing</w:t>
      </w:r>
      <w:r w:rsidRPr="001404B0">
        <w:t xml:space="preserve">. </w:t>
      </w:r>
      <w:r w:rsidR="00844838">
        <w:t>After waiting at least thirty minutes to pass, the presiding officer ended the hearing.</w:t>
      </w:r>
      <w:r>
        <w:br w:type="page"/>
      </w:r>
    </w:p>
    <w:p w14:paraId="40E14A49" w14:textId="77777777" w:rsidR="002F2F6F" w:rsidRPr="001404B0" w:rsidRDefault="002F2F6F" w:rsidP="001F7800">
      <w:pPr>
        <w:pStyle w:val="Heading2"/>
      </w:pPr>
      <w:bookmarkStart w:id="30" w:name="_Toc2850647"/>
      <w:bookmarkStart w:id="31" w:name="_Toc3988357"/>
      <w:r w:rsidRPr="001404B0">
        <w:lastRenderedPageBreak/>
        <w:t>Summary of Public Comments and DEQ Responses</w:t>
      </w:r>
      <w:bookmarkEnd w:id="30"/>
      <w:bookmarkEnd w:id="31"/>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56FCA70E" w:rsidR="002F2F6F" w:rsidRPr="00794AF3" w:rsidRDefault="002F2F6F" w:rsidP="007C7225">
      <w:r w:rsidRPr="00794AF3">
        <w:t xml:space="preserve">DEQ accepted public comment on the proposed rulemaking </w:t>
      </w:r>
      <w:r w:rsidRPr="008E7003">
        <w:t>from</w:t>
      </w:r>
      <w:r w:rsidR="007C7225" w:rsidRPr="008E7003">
        <w:t xml:space="preserve"> </w:t>
      </w:r>
      <w:r w:rsidR="008E7003">
        <w:t>Aug. 15, 2019</w:t>
      </w:r>
      <w:r w:rsidRPr="008E7003">
        <w:t xml:space="preserve"> until</w:t>
      </w:r>
      <w:r w:rsidR="00AA51B2">
        <w:t xml:space="preserve"> 4 p.m., </w:t>
      </w:r>
      <w:r w:rsidR="008E7003">
        <w:t>Friday, Sept. 20, 2019</w:t>
      </w:r>
      <w:r w:rsidRPr="008E7003">
        <w:t>.</w:t>
      </w:r>
    </w:p>
    <w:p w14:paraId="00005B5A" w14:textId="09371465" w:rsidR="002F2F6F" w:rsidRDefault="002F2F6F" w:rsidP="002F2F6F"/>
    <w:p w14:paraId="33257C32" w14:textId="00407EC8" w:rsidR="002F2F6F" w:rsidRPr="001404B0" w:rsidRDefault="00527969" w:rsidP="002F2F6F">
      <w:r>
        <w:t xml:space="preserve">DEQ received two public comments by the close of the public comment period. </w:t>
      </w:r>
      <w:r w:rsidR="00B82761">
        <w:t xml:space="preserve">The comments and associated commenters are listed below with DEQ’s responses. </w:t>
      </w:r>
      <w:r w:rsidR="008C16CE" w:rsidRPr="008C16CE">
        <w:t xml:space="preserve">Original comments are on file with DEQ. </w:t>
      </w:r>
      <w:r w:rsidR="002F2F6F" w:rsidRPr="001404B0">
        <w:t>DEQ d</w:t>
      </w:r>
      <w:r w:rsidR="008C16CE">
        <w:t>id not change the proposed rule amendments</w:t>
      </w:r>
      <w:r w:rsidR="002F2F6F" w:rsidRPr="001404B0">
        <w:t xml:space="preserve"> in response to comments.</w:t>
      </w:r>
    </w:p>
    <w:p w14:paraId="39464BB7" w14:textId="35712134"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788FB1DE" w14:textId="5D4857E6" w:rsidR="002F2F6F" w:rsidRPr="001404B0" w:rsidRDefault="002F2F6F" w:rsidP="002F2F6F"/>
    <w:p w14:paraId="3BA785B7" w14:textId="09C5B640" w:rsidR="002F2F6F" w:rsidRPr="001404B0" w:rsidRDefault="002F2F6F" w:rsidP="001F7800">
      <w:pPr>
        <w:pStyle w:val="Heading4"/>
      </w:pPr>
      <w:r w:rsidRPr="001F7800">
        <w:t>Commenter 1</w:t>
      </w:r>
      <w:r w:rsidR="00D709A9">
        <w:t>: Del Riesenhuber</w:t>
      </w:r>
      <w:r w:rsidRPr="001F7800">
        <w:tab/>
      </w:r>
    </w:p>
    <w:p w14:paraId="2E2DE09F" w14:textId="024A041D" w:rsidR="002F2F6F" w:rsidRPr="00D709A9" w:rsidRDefault="002F2F6F" w:rsidP="00D709A9">
      <w:pPr>
        <w:rPr>
          <w:rFonts w:ascii="Arial" w:hAnsi="Arial" w:cs="Arial"/>
        </w:rPr>
      </w:pPr>
      <w:r w:rsidRPr="00D709A9">
        <w:rPr>
          <w:rFonts w:ascii="Arial" w:hAnsi="Arial" w:cs="Arial"/>
          <w:b/>
        </w:rPr>
        <w:t>Affiliation</w:t>
      </w:r>
      <w:r w:rsidR="00D709A9" w:rsidRPr="00D709A9">
        <w:rPr>
          <w:rFonts w:ascii="Arial" w:hAnsi="Arial" w:cs="Arial"/>
          <w:b/>
        </w:rPr>
        <w:t xml:space="preserve">: </w:t>
      </w:r>
      <w:r w:rsidR="00D709A9" w:rsidRPr="00D709A9">
        <w:t>Not Provided</w:t>
      </w:r>
    </w:p>
    <w:p w14:paraId="2C5500AA" w14:textId="77777777" w:rsidR="007451F0" w:rsidRDefault="007451F0" w:rsidP="002F2F6F">
      <w:pPr>
        <w:rPr>
          <w:rFonts w:ascii="Arial" w:hAnsi="Arial" w:cs="Arial"/>
          <w:b/>
        </w:rPr>
      </w:pPr>
    </w:p>
    <w:p w14:paraId="77A00503" w14:textId="07075D03" w:rsidR="002B3AEE" w:rsidRDefault="00D709A9" w:rsidP="00473D97">
      <w:pPr>
        <w:spacing w:line="360" w:lineRule="auto"/>
        <w:rPr>
          <w:rFonts w:ascii="Arial" w:hAnsi="Arial" w:cs="Arial"/>
        </w:rPr>
      </w:pPr>
      <w:r w:rsidRPr="00D709A9">
        <w:rPr>
          <w:rFonts w:ascii="Arial" w:hAnsi="Arial" w:cs="Arial"/>
          <w:b/>
        </w:rPr>
        <w:t>Comment:</w:t>
      </w:r>
      <w:r>
        <w:rPr>
          <w:rFonts w:ascii="Arial" w:hAnsi="Arial" w:cs="Arial"/>
        </w:rPr>
        <w:t xml:space="preserve"> </w:t>
      </w:r>
    </w:p>
    <w:p w14:paraId="310F0DE7" w14:textId="03308662" w:rsidR="002F2F6F" w:rsidRPr="00D709A9" w:rsidRDefault="00D709A9" w:rsidP="002F2F6F">
      <w:pPr>
        <w:rPr>
          <w:rFonts w:ascii="Arial" w:hAnsi="Arial" w:cs="Arial"/>
        </w:rPr>
      </w:pPr>
      <w:r w:rsidRPr="00D709A9">
        <w:rPr>
          <w:i/>
        </w:rPr>
        <w:t>I am opposed to this rule change? It does not appear to have any purpose relative to environmental protection and only increase unnecessary fees.</w:t>
      </w:r>
    </w:p>
    <w:p w14:paraId="04ECC90C" w14:textId="71CD12FC" w:rsidR="00B82761" w:rsidRDefault="00B82761" w:rsidP="002F2F6F"/>
    <w:p w14:paraId="1AA6E1E2" w14:textId="7700DE6B" w:rsidR="00B82761" w:rsidRDefault="00B82761" w:rsidP="00473D97">
      <w:pPr>
        <w:pStyle w:val="Heading4"/>
        <w:spacing w:line="360" w:lineRule="auto"/>
      </w:pPr>
      <w:r w:rsidRPr="001404B0">
        <w:t>Response</w:t>
      </w:r>
      <w:r w:rsidR="00240A95">
        <w:t>:</w:t>
      </w:r>
    </w:p>
    <w:p w14:paraId="1BCE8060" w14:textId="4276BBBB" w:rsidR="002B3AEE" w:rsidRDefault="002B3AEE" w:rsidP="002F2F6F">
      <w:r>
        <w:t xml:space="preserve">Heating oil contains harmful chemicals that may cause cancer and other illnesses. </w:t>
      </w:r>
      <w:r w:rsidR="00397672">
        <w:t xml:space="preserve">Most heating oil tanks were installed underground at pre-1960 residential and commercial properties. These tanks are usually made of steel that corrodes and weakens over time. </w:t>
      </w:r>
      <w:r>
        <w:t>Leaking underground tanks can release harmful vapors into buildings and pollute groundwater. Leaks are often discovered during heati</w:t>
      </w:r>
      <w:r w:rsidR="00FF1A80">
        <w:t>ng oil tank decommissioning work, thus it is important that this work and any cleanup actions are</w:t>
      </w:r>
      <w:r w:rsidR="004764C0">
        <w:t xml:space="preserve"> adequately performed. </w:t>
      </w:r>
      <w:r w:rsidR="00FF1A80">
        <w:t xml:space="preserve"> </w:t>
      </w:r>
    </w:p>
    <w:p w14:paraId="5B64F6DE" w14:textId="5E8997F1" w:rsidR="00FF1A80" w:rsidRDefault="00FF1A80" w:rsidP="002F2F6F"/>
    <w:p w14:paraId="29951E1A" w14:textId="7CED9392" w:rsidR="002F2F6F" w:rsidRDefault="00FF1A80" w:rsidP="002F2F6F">
      <w:r>
        <w:t>Th</w:t>
      </w:r>
      <w:r w:rsidR="006E0764">
        <w:t>e DEQ Heating Oil Tank Program serves as a thir</w:t>
      </w:r>
      <w:r w:rsidR="00F27252">
        <w:t xml:space="preserve">d-party certification system to help ensure that decommissioning work is properly conducted. </w:t>
      </w:r>
      <w:r w:rsidR="008014C0">
        <w:t xml:space="preserve">This program is maintained by the service provider licensure and report filing fees, which have not been adjusted in over ten years. </w:t>
      </w:r>
      <w:r w:rsidR="00F27252">
        <w:t xml:space="preserve">Additional funds will help sustain the program and provide DEQ the resources to provide technical assistance to homeowners and service providers, and conduct direct inspections of work to ensure compliance with environmental regulations and protect homeowners from the risk of fraud. </w:t>
      </w:r>
      <w:r w:rsidR="00B82761" w:rsidRPr="00240A95">
        <w:t>Without the</w:t>
      </w:r>
      <w:r w:rsidR="00F27252">
        <w:t xml:space="preserve"> fee</w:t>
      </w:r>
      <w:r w:rsidR="00B82761" w:rsidRPr="00240A95">
        <w:t xml:space="preserve"> increase </w:t>
      </w:r>
      <w:r w:rsidR="007E4D25">
        <w:t>oversight</w:t>
      </w:r>
      <w:r w:rsidR="00B82761" w:rsidRPr="00240A95">
        <w:t xml:space="preserve"> activities would be dramatically reduced.</w:t>
      </w:r>
    </w:p>
    <w:p w14:paraId="2B94092E" w14:textId="19D2957B" w:rsidR="008C16CE" w:rsidRPr="001404B0" w:rsidRDefault="008C16CE" w:rsidP="002F2F6F"/>
    <w:p w14:paraId="58B09459" w14:textId="27F90E0B" w:rsidR="002F2F6F" w:rsidRPr="001404B0" w:rsidRDefault="002F2F6F" w:rsidP="002F2F6F">
      <w:r w:rsidRPr="001F7800">
        <w:rPr>
          <w:rStyle w:val="Heading4Char"/>
        </w:rPr>
        <w:t xml:space="preserve">Commenter </w:t>
      </w:r>
      <w:r w:rsidR="007451F0">
        <w:rPr>
          <w:rStyle w:val="Heading4Char"/>
        </w:rPr>
        <w:t>2: Zaph Mann</w:t>
      </w:r>
    </w:p>
    <w:p w14:paraId="7C42B662" w14:textId="77777777" w:rsidR="002F2F6F" w:rsidRPr="007451F0" w:rsidRDefault="002F2F6F" w:rsidP="007451F0">
      <w:pPr>
        <w:rPr>
          <w:rFonts w:ascii="Arial" w:hAnsi="Arial" w:cs="Arial"/>
        </w:rPr>
      </w:pPr>
      <w:r w:rsidRPr="007451F0">
        <w:rPr>
          <w:rFonts w:ascii="Arial" w:hAnsi="Arial" w:cs="Arial"/>
          <w:b/>
        </w:rPr>
        <w:t>Affiliation</w:t>
      </w:r>
      <w:r w:rsidR="00D709A9" w:rsidRPr="007451F0">
        <w:rPr>
          <w:rFonts w:ascii="Arial" w:hAnsi="Arial" w:cs="Arial"/>
          <w:b/>
        </w:rPr>
        <w:t xml:space="preserve">: </w:t>
      </w:r>
      <w:r w:rsidR="00D709A9" w:rsidRPr="007451F0">
        <w:t>Not Provided</w:t>
      </w:r>
    </w:p>
    <w:p w14:paraId="0E7A9428" w14:textId="77777777" w:rsidR="007451F0" w:rsidRDefault="007451F0" w:rsidP="007451F0">
      <w:pPr>
        <w:rPr>
          <w:rFonts w:ascii="Arial" w:hAnsi="Arial" w:cs="Arial"/>
          <w:b/>
        </w:rPr>
      </w:pPr>
    </w:p>
    <w:p w14:paraId="508DB033" w14:textId="68BFA204" w:rsidR="002F2F6F" w:rsidRPr="00473D97" w:rsidRDefault="007451F0" w:rsidP="00473D97">
      <w:pPr>
        <w:spacing w:line="360" w:lineRule="auto"/>
        <w:rPr>
          <w:rFonts w:ascii="Arial" w:hAnsi="Arial" w:cs="Arial"/>
        </w:rPr>
      </w:pPr>
      <w:r w:rsidRPr="007451F0">
        <w:rPr>
          <w:rFonts w:ascii="Arial" w:hAnsi="Arial" w:cs="Arial"/>
          <w:b/>
        </w:rPr>
        <w:t>Comment:</w:t>
      </w:r>
      <w:r w:rsidRPr="007451F0">
        <w:rPr>
          <w:rFonts w:ascii="Arial" w:hAnsi="Arial" w:cs="Arial"/>
        </w:rPr>
        <w:t xml:space="preserve"> </w:t>
      </w:r>
    </w:p>
    <w:p w14:paraId="46B2B33A" w14:textId="36CCE0A3" w:rsidR="007451F0" w:rsidRPr="007451F0" w:rsidRDefault="007451F0" w:rsidP="007451F0">
      <w:pPr>
        <w:rPr>
          <w:i/>
        </w:rPr>
      </w:pPr>
      <w:r w:rsidRPr="007451F0">
        <w:rPr>
          <w:i/>
        </w:rPr>
        <w:t xml:space="preserve">I note with interest the proposal to increase fees related to companies/contractors decommissioning Heating Oil Tanks. I did not see any attention (here) given to programs to </w:t>
      </w:r>
      <w:r w:rsidRPr="007451F0">
        <w:rPr>
          <w:i/>
        </w:rPr>
        <w:lastRenderedPageBreak/>
        <w:t>help homeowne</w:t>
      </w:r>
      <w:r>
        <w:rPr>
          <w:i/>
        </w:rPr>
        <w:t>rs with the costs of replacing </w:t>
      </w:r>
      <w:r w:rsidRPr="007451F0">
        <w:rPr>
          <w:i/>
        </w:rPr>
        <w:t>Heating Oil Tanks and the systems with more modern solutions. </w:t>
      </w:r>
    </w:p>
    <w:p w14:paraId="50929DF9" w14:textId="77777777" w:rsidR="007451F0" w:rsidRPr="007451F0" w:rsidRDefault="007451F0" w:rsidP="007451F0">
      <w:pPr>
        <w:rPr>
          <w:i/>
        </w:rPr>
      </w:pPr>
    </w:p>
    <w:p w14:paraId="166C57F3" w14:textId="0A763BE7" w:rsidR="007451F0" w:rsidRPr="007451F0" w:rsidRDefault="007451F0" w:rsidP="002F2F6F">
      <w:r w:rsidRPr="007451F0">
        <w:rPr>
          <w:i/>
        </w:rPr>
        <w:t>Are there, or will there be, any substantive incentive programs? If not I fear the DIY and un-inspected practices of rural homeowners unable to afford expensive contractors, will continue.</w:t>
      </w:r>
    </w:p>
    <w:p w14:paraId="165DBC5F" w14:textId="77777777" w:rsidR="00B82761" w:rsidRPr="001404B0" w:rsidRDefault="00B82761" w:rsidP="00B82761">
      <w:pPr>
        <w:pStyle w:val="instructions"/>
      </w:pPr>
    </w:p>
    <w:p w14:paraId="0E657FBD" w14:textId="79749341" w:rsidR="007451F0" w:rsidRPr="007451F0" w:rsidRDefault="00B82761" w:rsidP="00473D97">
      <w:pPr>
        <w:pStyle w:val="Heading4"/>
        <w:spacing w:line="360" w:lineRule="auto"/>
      </w:pPr>
      <w:r w:rsidRPr="001404B0">
        <w:t>Response</w:t>
      </w:r>
      <w:r w:rsidR="007451F0">
        <w:t>:</w:t>
      </w:r>
    </w:p>
    <w:p w14:paraId="08B088DA" w14:textId="77777777" w:rsidR="004764C0" w:rsidRDefault="004764C0" w:rsidP="002F2F6F">
      <w:r>
        <w:t>In the 1990s, O</w:t>
      </w:r>
      <w:r w:rsidR="00B82761" w:rsidRPr="004764C0">
        <w:t>regon had a heating oil cleanup an</w:t>
      </w:r>
      <w:r>
        <w:t xml:space="preserve">d decommissioning grant program, which was </w:t>
      </w:r>
      <w:r w:rsidR="00B82761" w:rsidRPr="004764C0">
        <w:t xml:space="preserve">funded by a tax on heating oil. </w:t>
      </w:r>
      <w:r>
        <w:t>This program became</w:t>
      </w:r>
      <w:r w:rsidR="00B82761" w:rsidRPr="004764C0">
        <w:t xml:space="preserve"> insolv</w:t>
      </w:r>
      <w:r>
        <w:t>ent due to increasing tank leak discoveries</w:t>
      </w:r>
      <w:r w:rsidR="00B82761" w:rsidRPr="004764C0">
        <w:t xml:space="preserve"> and declining oil use</w:t>
      </w:r>
      <w:r>
        <w:t xml:space="preserve">. Consequently, the Oregon Legislature terminated the program in 1999. </w:t>
      </w:r>
    </w:p>
    <w:p w14:paraId="246BFE6D" w14:textId="77777777" w:rsidR="004764C0" w:rsidRDefault="004764C0" w:rsidP="002F2F6F"/>
    <w:p w14:paraId="3FB39745" w14:textId="71BE26B7" w:rsidR="002F2F6F" w:rsidRPr="001404B0" w:rsidRDefault="004764C0" w:rsidP="002F2F6F">
      <w:r>
        <w:t xml:space="preserve">Since tank discovery </w:t>
      </w:r>
      <w:r w:rsidR="00B82761" w:rsidRPr="004764C0">
        <w:t>is most commonly triggered by real estate transactions</w:t>
      </w:r>
      <w:r>
        <w:t>,</w:t>
      </w:r>
      <w:r w:rsidR="00B82761" w:rsidRPr="004764C0">
        <w:t xml:space="preserve"> rural underground tank identification is disproportionally delayed. DEQ anticipate</w:t>
      </w:r>
      <w:r>
        <w:t>s ongoing policy review of high-</w:t>
      </w:r>
      <w:r w:rsidR="00B82761" w:rsidRPr="004764C0">
        <w:t>risk heating oil tank situations and intends to carry this concern into that work.</w:t>
      </w:r>
    </w:p>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2" w:name="_Toc3988358"/>
      <w:bookmarkStart w:id="33" w:name="_Toc20127294"/>
      <w:r>
        <w:lastRenderedPageBreak/>
        <w:t>Implementation</w:t>
      </w:r>
      <w:bookmarkEnd w:id="32"/>
      <w:bookmarkEnd w:id="33"/>
    </w:p>
    <w:p w14:paraId="0FC3C348" w14:textId="688B64FF" w:rsidR="002F2F6F" w:rsidRDefault="002F2F6F" w:rsidP="00A83AA3">
      <w:pPr>
        <w:pStyle w:val="instructions"/>
      </w:pP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33333789" w14:textId="23E1B5D6" w:rsidR="00AD5AB2" w:rsidRDefault="00AD5AB2" w:rsidP="002F2F6F">
      <w:r>
        <w:t>The proposed rule amendments, if approved by the commission, would be filed with the Secretary of State and effective Jan. 1, 2020.</w:t>
      </w:r>
      <w:r w:rsidR="0074326F" w:rsidRPr="0074326F">
        <w:t xml:space="preserve"> </w:t>
      </w:r>
      <w:r w:rsidR="0074326F" w:rsidRPr="004E62C5">
        <w:t>This rule action updates existing rules to match legislatively adopted fees. Technical requirements for heating oil tank decommissioning, cleanup</w:t>
      </w:r>
      <w:r w:rsidR="004E62C5">
        <w:t>,</w:t>
      </w:r>
      <w:r w:rsidR="0074326F" w:rsidRPr="004E62C5">
        <w:t xml:space="preserve"> and licenses are not changing.</w:t>
      </w:r>
    </w:p>
    <w:p w14:paraId="4B61E39C" w14:textId="77777777" w:rsidR="00AD5AB2" w:rsidRDefault="00AD5AB2" w:rsidP="002F2F6F"/>
    <w:p w14:paraId="74256EF7" w14:textId="77454ACA" w:rsidR="002F2F6F" w:rsidRDefault="002F2F6F" w:rsidP="002F2F6F">
      <w:r w:rsidRPr="001404B0">
        <w:t>DEQ w</w:t>
      </w:r>
      <w:r w:rsidR="00F1453E">
        <w:t>ill</w:t>
      </w:r>
      <w:r w:rsidRPr="001404B0">
        <w:t xml:space="preserve"> notify affected parties by:</w:t>
      </w:r>
    </w:p>
    <w:p w14:paraId="5B1EE9E6" w14:textId="107F1F38" w:rsidR="002F2F6F" w:rsidRDefault="002F2F6F" w:rsidP="002F2F6F">
      <w:pPr>
        <w:pStyle w:val="ListParagraph"/>
        <w:numPr>
          <w:ilvl w:val="0"/>
          <w:numId w:val="2"/>
        </w:numPr>
      </w:pPr>
      <w:r>
        <w:t xml:space="preserve"> </w:t>
      </w:r>
      <w:r w:rsidR="00AD5AB2">
        <w:t xml:space="preserve">Posting the announcement on the </w:t>
      </w:r>
      <w:hyperlink r:id="rId33" w:history="1">
        <w:r w:rsidR="00AD5AB2" w:rsidRPr="00AD5AB2">
          <w:rPr>
            <w:rStyle w:val="Hyperlink"/>
          </w:rPr>
          <w:t>Heating Oil Tank Fees 2019 Rulemaking webpage</w:t>
        </w:r>
      </w:hyperlink>
    </w:p>
    <w:p w14:paraId="4BFFF33F" w14:textId="3ACA0513" w:rsidR="002F2F6F" w:rsidRDefault="002F2F6F" w:rsidP="002F2F6F">
      <w:pPr>
        <w:pStyle w:val="ListParagraph"/>
        <w:numPr>
          <w:ilvl w:val="0"/>
          <w:numId w:val="2"/>
        </w:numPr>
      </w:pPr>
      <w:r>
        <w:t xml:space="preserve"> </w:t>
      </w:r>
      <w:r w:rsidR="00AD5AB2">
        <w:t>Emailing interested parties on the following DEQ lists through GovDelivery:</w:t>
      </w:r>
    </w:p>
    <w:p w14:paraId="066855EA" w14:textId="25E4E1B4" w:rsidR="00AD5AB2" w:rsidRDefault="00676111" w:rsidP="00AD5AB2">
      <w:pPr>
        <w:pStyle w:val="ListParagraph"/>
        <w:numPr>
          <w:ilvl w:val="1"/>
          <w:numId w:val="2"/>
        </w:numPr>
      </w:pPr>
      <w:r>
        <w:t>Rulemaking</w:t>
      </w:r>
    </w:p>
    <w:p w14:paraId="58B37182" w14:textId="7A5D8213" w:rsidR="00676111" w:rsidRDefault="00676111" w:rsidP="00AD5AB2">
      <w:pPr>
        <w:pStyle w:val="ListParagraph"/>
        <w:numPr>
          <w:ilvl w:val="1"/>
          <w:numId w:val="2"/>
        </w:numPr>
      </w:pPr>
      <w:r>
        <w:t>Heating oil tanks</w:t>
      </w:r>
    </w:p>
    <w:p w14:paraId="70540E62" w14:textId="361A9310" w:rsidR="00676111" w:rsidRDefault="00676111" w:rsidP="00AD5AB2">
      <w:pPr>
        <w:pStyle w:val="ListParagraph"/>
        <w:numPr>
          <w:ilvl w:val="1"/>
          <w:numId w:val="2"/>
        </w:numPr>
      </w:pPr>
      <w:r>
        <w:t>Environmental cleanup</w:t>
      </w:r>
    </w:p>
    <w:p w14:paraId="34888EFA" w14:textId="41C4E92B" w:rsidR="00676111" w:rsidRDefault="00676111" w:rsidP="00676111">
      <w:pPr>
        <w:pStyle w:val="ListParagraph"/>
        <w:numPr>
          <w:ilvl w:val="0"/>
          <w:numId w:val="2"/>
        </w:numPr>
      </w:pPr>
      <w:r>
        <w:t>Emailing Advisory Committee members</w:t>
      </w:r>
    </w:p>
    <w:p w14:paraId="3A31FDCC" w14:textId="506DF4B8" w:rsidR="00676111" w:rsidRDefault="00676111" w:rsidP="00676111">
      <w:pPr>
        <w:pStyle w:val="ListParagraph"/>
        <w:numPr>
          <w:ilvl w:val="0"/>
          <w:numId w:val="2"/>
        </w:numPr>
      </w:pPr>
      <w:r>
        <w:t xml:space="preserve">Adding the announcement to the </w:t>
      </w:r>
      <w:hyperlink r:id="rId34" w:history="1">
        <w:r w:rsidRPr="00676111">
          <w:rPr>
            <w:rStyle w:val="Hyperlink"/>
          </w:rPr>
          <w:t>DEQ public calendar</w:t>
        </w:r>
      </w:hyperlink>
    </w:p>
    <w:p w14:paraId="063A6580" w14:textId="71379653" w:rsidR="00676111" w:rsidRDefault="00676111" w:rsidP="00676111">
      <w:pPr>
        <w:pStyle w:val="ListParagraph"/>
        <w:numPr>
          <w:ilvl w:val="0"/>
          <w:numId w:val="2"/>
        </w:numPr>
      </w:pPr>
      <w:r>
        <w:t>Providing notice and links to information through postings on Twitter and Facebook</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3813F64F" w14:textId="77777777" w:rsidR="000138DE" w:rsidRDefault="00865460" w:rsidP="000138DE">
      <w:pPr>
        <w:spacing w:line="360" w:lineRule="auto"/>
      </w:pPr>
      <w:r w:rsidRPr="000138DE">
        <w:rPr>
          <w:rStyle w:val="Heading4Char"/>
        </w:rPr>
        <w:t>Affected parties</w:t>
      </w:r>
      <w:r w:rsidR="000138DE">
        <w:t xml:space="preserve">: </w:t>
      </w:r>
    </w:p>
    <w:p w14:paraId="64214810" w14:textId="067FBB7B" w:rsidR="00D37F10" w:rsidRDefault="00415CB9" w:rsidP="00D37F10">
      <w:r>
        <w:t>D</w:t>
      </w:r>
      <w:r w:rsidR="00C04C98">
        <w:t xml:space="preserve">EQ will directly </w:t>
      </w:r>
      <w:r w:rsidR="00D37F10">
        <w:t>communicate the rule change to</w:t>
      </w:r>
      <w:r w:rsidR="00C04C98">
        <w:t xml:space="preserve"> HOT service providers and supervisors</w:t>
      </w:r>
      <w:r w:rsidR="00D37F10">
        <w:t xml:space="preserve"> currently subscribed or listed with the agency. </w:t>
      </w:r>
      <w:r>
        <w:t>As of Jan. 1, 2020, service providers and supervisors attaining a license will pay the new licensure fee amounts set by this rule change. Filing fees for reports submitted to DEQ starting on Jan. 1, 2020 will also be subject to the new fee categories set by this rule change.</w:t>
      </w:r>
    </w:p>
    <w:p w14:paraId="6F24426F" w14:textId="53B2485B" w:rsidR="002F2F6F" w:rsidRPr="000138DE" w:rsidRDefault="00865460" w:rsidP="002F2F6F">
      <w:r w:rsidRPr="000138DE">
        <w:t xml:space="preserve"> </w:t>
      </w:r>
      <w:r w:rsidR="009A7D20" w:rsidRPr="000138DE">
        <w:t xml:space="preserve"> </w:t>
      </w:r>
    </w:p>
    <w:p w14:paraId="689D5175" w14:textId="77777777" w:rsidR="00415CB9" w:rsidRDefault="002F2F6F" w:rsidP="00415CB9">
      <w:pPr>
        <w:spacing w:line="360" w:lineRule="auto"/>
      </w:pPr>
      <w:r w:rsidRPr="00415CB9">
        <w:rPr>
          <w:rStyle w:val="Heading4Char"/>
        </w:rPr>
        <w:t>DEQ staff</w:t>
      </w:r>
      <w:r w:rsidR="00415CB9">
        <w:t>:</w:t>
      </w:r>
    </w:p>
    <w:p w14:paraId="5D15A19F" w14:textId="6011F495" w:rsidR="002F2F6F" w:rsidRPr="001404B0" w:rsidRDefault="00415CB9" w:rsidP="002F2F6F">
      <w:r>
        <w:t>Limi</w:t>
      </w:r>
      <w:r w:rsidR="006D1433">
        <w:t>ted procedural changes involve evaluating</w:t>
      </w:r>
      <w:r>
        <w:t xml:space="preserve"> </w:t>
      </w:r>
      <w:r w:rsidR="006D1433">
        <w:t xml:space="preserve">the complexity of cleanup work to identify the appropriate report filing fee category. </w:t>
      </w:r>
      <w:r w:rsidR="00E141FC">
        <w:t>Work performed in accordance with Soil Matrix, Generic Remedy, or Risk-Based cleanup will be subject to the new fees defined under Simple, Intermediate, or Complex categories, respectively.</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7B814E71" w14:textId="77777777" w:rsidR="00E141FC" w:rsidRDefault="009A7D20" w:rsidP="00E141FC">
      <w:pPr>
        <w:spacing w:line="360" w:lineRule="auto"/>
      </w:pPr>
      <w:r w:rsidRPr="00E141FC">
        <w:rPr>
          <w:rStyle w:val="Heading4Char"/>
        </w:rPr>
        <w:t>Affected parties</w:t>
      </w:r>
      <w:r w:rsidR="00E141FC">
        <w:rPr>
          <w:rStyle w:val="Heading4Char"/>
        </w:rPr>
        <w:t>:</w:t>
      </w:r>
      <w:r w:rsidRPr="00E141FC">
        <w:t xml:space="preserve"> </w:t>
      </w:r>
    </w:p>
    <w:p w14:paraId="1358EF36" w14:textId="51B760DF" w:rsidR="002F2F6F" w:rsidRDefault="0087250B" w:rsidP="002F2F6F">
      <w:r>
        <w:t>The rule amendments do not present technical changes. Measuring, sampling, monitoring, and reporting requirements will not change.</w:t>
      </w:r>
    </w:p>
    <w:p w14:paraId="500195B2" w14:textId="77777777" w:rsidR="00E141FC" w:rsidRPr="00E141FC" w:rsidRDefault="00E141FC" w:rsidP="002F2F6F"/>
    <w:p w14:paraId="7E3AF47B" w14:textId="77777777" w:rsidR="00E141FC" w:rsidRDefault="009A7D20" w:rsidP="00E141FC">
      <w:pPr>
        <w:spacing w:line="360" w:lineRule="auto"/>
      </w:pPr>
      <w:r w:rsidRPr="00E141FC">
        <w:rPr>
          <w:rStyle w:val="Heading4Char"/>
        </w:rPr>
        <w:t>DEQ staff</w:t>
      </w:r>
      <w:r w:rsidR="00E141FC">
        <w:t>:</w:t>
      </w:r>
    </w:p>
    <w:p w14:paraId="55DD9EFE" w14:textId="1DCDE0EF" w:rsidR="002F2F6F" w:rsidRPr="001404B0" w:rsidRDefault="00865460" w:rsidP="002F2F6F">
      <w:r w:rsidRPr="00E141FC">
        <w:lastRenderedPageBreak/>
        <w:t>This is a fiscal change. Existing budget processes will monitor revenue and sufficiency of the fee change</w:t>
      </w:r>
      <w:r w:rsidR="009A7D20" w:rsidRPr="00E141FC">
        <w: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0A3C94DE" w14:textId="77777777" w:rsidR="005A5F28" w:rsidRDefault="009A7D20" w:rsidP="005A5F28">
      <w:pPr>
        <w:spacing w:line="360" w:lineRule="auto"/>
      </w:pPr>
      <w:r w:rsidRPr="005A5F28">
        <w:rPr>
          <w:rStyle w:val="Heading4Char"/>
        </w:rPr>
        <w:t>Website</w:t>
      </w:r>
      <w:r w:rsidR="005A5F28">
        <w:t>:</w:t>
      </w:r>
    </w:p>
    <w:p w14:paraId="59C1ABFC" w14:textId="2DDE358F" w:rsidR="005A5F28" w:rsidRDefault="005A5F28" w:rsidP="002F2F6F">
      <w:r>
        <w:t>By Nov. 22, 2019 (one week following the EQC meeting), t</w:t>
      </w:r>
      <w:r w:rsidR="009A7D20" w:rsidRPr="005A5F28">
        <w:t xml:space="preserve">he </w:t>
      </w:r>
      <w:r>
        <w:t>external DEQ Heating Oil Tank webpage will</w:t>
      </w:r>
      <w:r w:rsidR="009A7D20" w:rsidRPr="005A5F28">
        <w:t xml:space="preserve"> </w:t>
      </w:r>
      <w:r>
        <w:t>be updated to feature</w:t>
      </w:r>
      <w:r w:rsidR="009A7D20" w:rsidRPr="005A5F28">
        <w:t xml:space="preserve"> the </w:t>
      </w:r>
      <w:r>
        <w:t>im</w:t>
      </w:r>
      <w:r w:rsidR="009A7D20" w:rsidRPr="005A5F28">
        <w:t xml:space="preserve">pending fee changes alongside current fees. </w:t>
      </w:r>
      <w:r w:rsidRPr="005A5F28">
        <w:t>Project registration instructions and lice</w:t>
      </w:r>
      <w:r>
        <w:t>nse applications for use on Jan. 1, 2020 and later</w:t>
      </w:r>
      <w:r w:rsidRPr="005A5F28">
        <w:t xml:space="preserve"> will be posted by Dec</w:t>
      </w:r>
      <w:r>
        <w:t>. 1</w:t>
      </w:r>
      <w:r w:rsidRPr="005A5F28">
        <w:t xml:space="preserve">, 2019. Old instructions and application forms will be removed </w:t>
      </w:r>
      <w:r>
        <w:t>by Dec. 31</w:t>
      </w:r>
      <w:r w:rsidRPr="005A5F28">
        <w:t>, 2019.</w:t>
      </w:r>
      <w:r>
        <w:t xml:space="preserve"> </w:t>
      </w:r>
      <w:r w:rsidR="009A7D20" w:rsidRPr="005A5F28">
        <w:t xml:space="preserve">On </w:t>
      </w:r>
      <w:r>
        <w:t>Jan. 2, 2020,</w:t>
      </w:r>
      <w:r w:rsidR="009A7D20" w:rsidRPr="005A5F28">
        <w:t xml:space="preserve"> </w:t>
      </w:r>
      <w:r>
        <w:t>the previous fee information will be removed from the webpage leaving the new fee amounts</w:t>
      </w:r>
      <w:r w:rsidR="00865460" w:rsidRPr="005A5F28">
        <w:t xml:space="preserve">. </w:t>
      </w:r>
    </w:p>
    <w:p w14:paraId="436820B8" w14:textId="3B7384FD" w:rsidR="002F2F6F" w:rsidRPr="005A5F28" w:rsidRDefault="009A7D20" w:rsidP="002F2F6F">
      <w:r w:rsidRPr="005A5F28">
        <w:t xml:space="preserve">  </w:t>
      </w:r>
    </w:p>
    <w:p w14:paraId="5739FB54" w14:textId="77777777" w:rsidR="005A5F28" w:rsidRDefault="009A7D20" w:rsidP="005A5F28">
      <w:pPr>
        <w:spacing w:line="360" w:lineRule="auto"/>
      </w:pPr>
      <w:r w:rsidRPr="005A5F28">
        <w:rPr>
          <w:rStyle w:val="Heading4Char"/>
        </w:rPr>
        <w:t>Database</w:t>
      </w:r>
      <w:r w:rsidR="005A5F28">
        <w:t>:</w:t>
      </w:r>
    </w:p>
    <w:p w14:paraId="0CBC141B" w14:textId="3A07B66B" w:rsidR="002F2F6F" w:rsidRDefault="009A7D20" w:rsidP="002F2F6F">
      <w:r w:rsidRPr="005A5F28">
        <w:t>No database changes are necessary. Actual amounts paid are recorded regardless of fee amount.</w:t>
      </w:r>
    </w:p>
    <w:p w14:paraId="62DFF1A9" w14:textId="77777777" w:rsidR="005A5F28" w:rsidRPr="005A5F28" w:rsidRDefault="005A5F28" w:rsidP="002F2F6F"/>
    <w:p w14:paraId="72D68995" w14:textId="77777777" w:rsidR="005A5F28" w:rsidRDefault="002F2F6F" w:rsidP="005A5F28">
      <w:pPr>
        <w:spacing w:line="360" w:lineRule="auto"/>
      </w:pPr>
      <w:r w:rsidRPr="005A5F28">
        <w:rPr>
          <w:rStyle w:val="Heading4Char"/>
        </w:rPr>
        <w:t>Invoicing</w:t>
      </w:r>
      <w:r w:rsidR="005A5F28">
        <w:t>:</w:t>
      </w:r>
    </w:p>
    <w:p w14:paraId="265BFA72" w14:textId="3A6AB2D0" w:rsidR="002F2F6F" w:rsidRPr="001404B0" w:rsidRDefault="009A7D20" w:rsidP="002F2F6F">
      <w:r w:rsidRPr="005A5F28">
        <w:t xml:space="preserve">No invoicing occurs. Fee payers submit payment with </w:t>
      </w:r>
      <w:r w:rsidR="002F6C67">
        <w:t xml:space="preserve">project </w:t>
      </w:r>
      <w:r w:rsidRPr="005A5F28">
        <w:t>r</w:t>
      </w:r>
      <w:r w:rsidR="002F6C67">
        <w:t>eports</w:t>
      </w:r>
      <w:r w:rsidRPr="005A5F28">
        <w:t xml:space="preserve"> or </w:t>
      </w:r>
      <w:r w:rsidR="002F6C67">
        <w:t xml:space="preserve">license </w:t>
      </w:r>
      <w:r w:rsidRPr="005A5F28">
        <w:t>application forms.</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24D10B81" w14:textId="77777777" w:rsidR="002F6C67" w:rsidRDefault="009A7D20" w:rsidP="0074326F">
      <w:pPr>
        <w:spacing w:after="160" w:line="259" w:lineRule="auto"/>
        <w:outlineLvl w:val="9"/>
      </w:pPr>
      <w:r w:rsidRPr="002F6C67">
        <w:rPr>
          <w:rStyle w:val="Heading4Char"/>
        </w:rPr>
        <w:t>Affected parties</w:t>
      </w:r>
      <w:r w:rsidR="002F6C67">
        <w:t>:</w:t>
      </w:r>
    </w:p>
    <w:p w14:paraId="4E4216E7" w14:textId="5D3042B4" w:rsidR="002F2F6F" w:rsidRPr="0074326F" w:rsidRDefault="002F6C67" w:rsidP="0074326F">
      <w:pPr>
        <w:spacing w:after="160" w:line="259" w:lineRule="auto"/>
        <w:outlineLvl w:val="9"/>
      </w:pPr>
      <w:r>
        <w:t>DEQ will disseminate a Service Provider b</w:t>
      </w:r>
      <w:r w:rsidR="009A7D20" w:rsidRPr="002F6C67">
        <w:t>ulletin con</w:t>
      </w:r>
      <w:r>
        <w:t>firming the new fees by Dec. 1, 2019</w:t>
      </w:r>
      <w:r w:rsidR="0074326F" w:rsidRPr="002F6C67">
        <w:t xml:space="preserve">. </w:t>
      </w:r>
      <w:r>
        <w:t>The agency previously sent a</w:t>
      </w:r>
      <w:r w:rsidR="001B7258" w:rsidRPr="002F6C67">
        <w:t xml:space="preserve"> </w:t>
      </w:r>
      <w:r>
        <w:t xml:space="preserve">related </w:t>
      </w:r>
      <w:r w:rsidR="001B7258" w:rsidRPr="002F6C67">
        <w:t xml:space="preserve">bulletin </w:t>
      </w:r>
      <w:r>
        <w:t>on Jan.</w:t>
      </w:r>
      <w:r w:rsidR="001B7258" w:rsidRPr="002F6C67">
        <w:t xml:space="preserve"> 28, 2019</w:t>
      </w:r>
      <w:r>
        <w:t xml:space="preserve">, which was soon followed by </w:t>
      </w:r>
      <w:r w:rsidR="00063F44" w:rsidRPr="002F6C67">
        <w:t xml:space="preserve">legislative proceedings </w:t>
      </w:r>
      <w:r>
        <w:t xml:space="preserve">that </w:t>
      </w:r>
      <w:r w:rsidR="00063F44" w:rsidRPr="002F6C67">
        <w:t>included notices and hearings</w:t>
      </w:r>
      <w:r w:rsidR="00473D97">
        <w:t xml:space="preserve"> concerning the proposed rule change</w:t>
      </w:r>
      <w:r>
        <w:t>.</w:t>
      </w:r>
      <w:r w:rsidR="00473D97">
        <w:t xml:space="preserve"> </w:t>
      </w:r>
    </w:p>
    <w:p w14:paraId="4E6BA004" w14:textId="77777777" w:rsidR="002F6C67" w:rsidRDefault="009A7D20" w:rsidP="002F6C67">
      <w:pPr>
        <w:spacing w:line="360" w:lineRule="auto"/>
      </w:pPr>
      <w:r w:rsidRPr="002F6C67">
        <w:rPr>
          <w:rStyle w:val="Heading4Char"/>
        </w:rPr>
        <w:t>DEQ staff</w:t>
      </w:r>
      <w:r w:rsidR="002F6C67">
        <w:t>:</w:t>
      </w:r>
    </w:p>
    <w:p w14:paraId="5875845E" w14:textId="1AC578D1" w:rsidR="002F2F6F" w:rsidRPr="001404B0" w:rsidRDefault="002F6C67" w:rsidP="002F2F6F">
      <w:r>
        <w:t>Additional staff training is not required.</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34" w:name="_Toc3988359"/>
      <w:bookmarkStart w:id="35" w:name="_Toc20127295"/>
      <w:r>
        <w:lastRenderedPageBreak/>
        <w:t>Five Year Review</w:t>
      </w:r>
      <w:bookmarkEnd w:id="34"/>
      <w:bookmarkEnd w:id="35"/>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183.405(5)(a).</w:t>
      </w:r>
    </w:p>
    <w:p w14:paraId="146E2F41" w14:textId="77777777" w:rsidR="002F2F6F" w:rsidRPr="001404B0" w:rsidRDefault="002F2F6F" w:rsidP="002F2F6F">
      <w:r w:rsidRPr="001404B0">
        <w:t xml:space="preserve"> Adopt a federal law or rule by reference. ORS 183.405((5)(b).</w:t>
      </w:r>
    </w:p>
    <w:p w14:paraId="6217825D" w14:textId="77777777" w:rsidR="002F2F6F" w:rsidRPr="001404B0" w:rsidRDefault="002F2F6F" w:rsidP="002F2F6F">
      <w:r w:rsidRPr="001404B0">
        <w:t xml:space="preserve"> Implement legislatively approved fee changes. ORS 183.405(5)(c).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48AA4D74" w14:textId="6D01C786" w:rsidR="002F2F6F" w:rsidRDefault="002F2F6F" w:rsidP="002F2F6F">
      <w:pPr>
        <w:sectPr w:rsidR="002F2F6F" w:rsidSect="00A112DA">
          <w:footerReference w:type="default" r:id="rId35"/>
          <w:pgSz w:w="12240" w:h="15840"/>
          <w:pgMar w:top="1440" w:right="1440" w:bottom="1440" w:left="1440" w:header="720" w:footer="720" w:gutter="360"/>
          <w:cols w:space="720"/>
          <w:docGrid w:linePitch="360"/>
        </w:sectPr>
      </w:pPr>
      <w:r w:rsidRPr="001404B0">
        <w:t>DEQ will provide the five-year rule review report to the advisory committee to comply with ORS 183.405 (3)</w:t>
      </w:r>
      <w:r>
        <w:t>.</w:t>
      </w:r>
    </w:p>
    <w:p w14:paraId="486A3E45" w14:textId="77777777" w:rsidR="002F2F6F" w:rsidRPr="003C26EE" w:rsidRDefault="002F2F6F" w:rsidP="002F2F6F">
      <w:pPr>
        <w:pStyle w:val="Heading1"/>
      </w:pPr>
      <w:bookmarkStart w:id="36" w:name="_Toc3988360"/>
      <w:bookmarkStart w:id="37" w:name="_Toc20127296"/>
      <w:r w:rsidRPr="003C26EE">
        <w:lastRenderedPageBreak/>
        <w:t>Accessibility Information</w:t>
      </w:r>
      <w:bookmarkEnd w:id="36"/>
      <w:bookmarkEnd w:id="37"/>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r w:rsidR="00467542">
        <w:t>Phone No. (800-452-4011, ext. 6258</w:t>
      </w:r>
      <w:r w:rsidRPr="003C26EE">
        <w:t xml:space="preserve"> toll-free in Oregon).</w:t>
      </w:r>
    </w:p>
    <w:p w14:paraId="32CC2D36" w14:textId="77777777" w:rsidR="002F2F6F" w:rsidRPr="003C26EE" w:rsidRDefault="002F2F6F" w:rsidP="002F2F6F"/>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6"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0138DE" w:rsidRDefault="000138DE" w:rsidP="002D6C99">
      <w:r>
        <w:separator/>
      </w:r>
    </w:p>
  </w:endnote>
  <w:endnote w:type="continuationSeparator" w:id="0">
    <w:p w14:paraId="47DA94DE" w14:textId="77777777" w:rsidR="000138DE" w:rsidRDefault="000138D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0138DE" w:rsidRDefault="000138DE">
    <w:pPr>
      <w:pStyle w:val="Footer"/>
      <w:jc w:val="right"/>
    </w:pPr>
  </w:p>
  <w:p w14:paraId="7EEEA86C" w14:textId="77777777" w:rsidR="000138DE" w:rsidRDefault="00013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0138DE" w:rsidRDefault="000138DE">
    <w:pPr>
      <w:pStyle w:val="Footer"/>
      <w:jc w:val="right"/>
    </w:pPr>
  </w:p>
  <w:p w14:paraId="2A0357D7" w14:textId="77777777" w:rsidR="000138DE" w:rsidRDefault="00013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744BB23A" w:rsidR="000138DE" w:rsidRDefault="000138DE">
        <w:pPr>
          <w:pStyle w:val="Footer"/>
          <w:jc w:val="right"/>
        </w:pPr>
        <w:r>
          <w:fldChar w:fldCharType="begin"/>
        </w:r>
        <w:r>
          <w:instrText xml:space="preserve"> PAGE   \* MERGEFORMAT </w:instrText>
        </w:r>
        <w:r>
          <w:fldChar w:fldCharType="separate"/>
        </w:r>
        <w:r w:rsidR="00180307">
          <w:rPr>
            <w:noProof/>
          </w:rPr>
          <w:t>17</w:t>
        </w:r>
        <w:r>
          <w:rPr>
            <w:noProof/>
          </w:rPr>
          <w:fldChar w:fldCharType="end"/>
        </w:r>
      </w:p>
    </w:sdtContent>
  </w:sdt>
  <w:p w14:paraId="6F2543F2" w14:textId="77777777" w:rsidR="000138DE" w:rsidRDefault="000138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0138DE" w:rsidRDefault="000138D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0138DE" w:rsidRDefault="000138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74B8CB2E" w:rsidR="000138DE" w:rsidRDefault="000138DE">
        <w:pPr>
          <w:pStyle w:val="Footer"/>
          <w:jc w:val="right"/>
        </w:pPr>
        <w:r>
          <w:fldChar w:fldCharType="begin"/>
        </w:r>
        <w:r>
          <w:instrText xml:space="preserve"> PAGE   \* MERGEFORMAT </w:instrText>
        </w:r>
        <w:r>
          <w:fldChar w:fldCharType="separate"/>
        </w:r>
        <w:r w:rsidR="00180307">
          <w:rPr>
            <w:noProof/>
          </w:rPr>
          <w:t>1</w:t>
        </w:r>
        <w:r>
          <w:rPr>
            <w:noProof/>
          </w:rPr>
          <w:fldChar w:fldCharType="end"/>
        </w:r>
      </w:p>
    </w:sdtContent>
  </w:sdt>
  <w:p w14:paraId="536ED34F" w14:textId="77777777" w:rsidR="000138DE" w:rsidRDefault="000138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EndPr/>
    <w:sdtContent>
      <w:p w14:paraId="0417A1D1" w14:textId="6DC96DD9" w:rsidR="000138DE" w:rsidRPr="000F6EE6" w:rsidRDefault="000138DE" w:rsidP="00A112DA">
        <w:pPr>
          <w:pStyle w:val="Footer"/>
        </w:pPr>
        <w:r w:rsidRPr="000F6EE6">
          <w:fldChar w:fldCharType="begin"/>
        </w:r>
        <w:r w:rsidRPr="000F6EE6">
          <w:instrText xml:space="preserve"> PAGE   \* MERGEFORMAT </w:instrText>
        </w:r>
        <w:r w:rsidRPr="000F6EE6">
          <w:fldChar w:fldCharType="separate"/>
        </w:r>
        <w:r w:rsidR="00180307">
          <w:rPr>
            <w:noProof/>
          </w:rPr>
          <w:t>18</w:t>
        </w:r>
        <w:r w:rsidRPr="000F6EE6">
          <w:fldChar w:fldCharType="end"/>
        </w:r>
      </w:p>
    </w:sdtContent>
  </w:sdt>
  <w:p w14:paraId="19A777C4" w14:textId="77777777" w:rsidR="000138DE" w:rsidRDefault="00013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0138DE" w:rsidRDefault="000138DE" w:rsidP="002D6C99">
      <w:r>
        <w:separator/>
      </w:r>
    </w:p>
  </w:footnote>
  <w:footnote w:type="continuationSeparator" w:id="0">
    <w:p w14:paraId="1EF53730" w14:textId="77777777" w:rsidR="000138DE" w:rsidRDefault="000138D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0138DE" w:rsidRDefault="000138DE"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0138DE" w:rsidRPr="00F72D05" w:rsidRDefault="000138DE"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0138DE" w:rsidRDefault="000138DE"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F75EB"/>
    <w:multiLevelType w:val="hybridMultilevel"/>
    <w:tmpl w:val="64905C1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052E1"/>
    <w:multiLevelType w:val="multilevel"/>
    <w:tmpl w:val="1CC876B8"/>
    <w:numStyleLink w:val="StyleBulletedLatinCourierNewLeft075Hanging025"/>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649D9"/>
    <w:multiLevelType w:val="hybridMultilevel"/>
    <w:tmpl w:val="9EB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D0AB5"/>
    <w:multiLevelType w:val="multilevel"/>
    <w:tmpl w:val="1CC876B8"/>
    <w:numStyleLink w:val="StyleBulletedLatinCourierNewLeft075Hanging025"/>
  </w:abstractNum>
  <w:abstractNum w:abstractNumId="17" w15:restartNumberingAfterBreak="0">
    <w:nsid w:val="455E793F"/>
    <w:multiLevelType w:val="multilevel"/>
    <w:tmpl w:val="1CC876B8"/>
    <w:numStyleLink w:val="StyleBulletedLatinCourierNewLeft075Hanging025"/>
  </w:abstractNum>
  <w:abstractNum w:abstractNumId="18"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10C06"/>
    <w:multiLevelType w:val="multilevel"/>
    <w:tmpl w:val="1CC876B8"/>
    <w:numStyleLink w:val="StyleBulletedLatinCourierNewLeft075Hanging025"/>
  </w:abstractNum>
  <w:abstractNum w:abstractNumId="25"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0589A"/>
    <w:multiLevelType w:val="multilevel"/>
    <w:tmpl w:val="1CC876B8"/>
    <w:numStyleLink w:val="StyleBulletedLatinCourierNewLeft075Hanging025"/>
  </w:abstractNum>
  <w:abstractNum w:abstractNumId="27"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2B92"/>
    <w:multiLevelType w:val="multilevel"/>
    <w:tmpl w:val="1CC876B8"/>
    <w:numStyleLink w:val="StyleBulletedLatinCourierNewLeft075Hanging025"/>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3"/>
  </w:num>
  <w:num w:numId="4">
    <w:abstractNumId w:val="10"/>
  </w:num>
  <w:num w:numId="5">
    <w:abstractNumId w:val="7"/>
  </w:num>
  <w:num w:numId="6">
    <w:abstractNumId w:val="0"/>
  </w:num>
  <w:num w:numId="7">
    <w:abstractNumId w:val="9"/>
  </w:num>
  <w:num w:numId="8">
    <w:abstractNumId w:val="14"/>
  </w:num>
  <w:num w:numId="9">
    <w:abstractNumId w:val="25"/>
  </w:num>
  <w:num w:numId="10">
    <w:abstractNumId w:val="19"/>
  </w:num>
  <w:num w:numId="11">
    <w:abstractNumId w:val="21"/>
  </w:num>
  <w:num w:numId="12">
    <w:abstractNumId w:val="30"/>
  </w:num>
  <w:num w:numId="13">
    <w:abstractNumId w:val="2"/>
  </w:num>
  <w:num w:numId="14">
    <w:abstractNumId w:val="4"/>
  </w:num>
  <w:num w:numId="15">
    <w:abstractNumId w:val="24"/>
  </w:num>
  <w:num w:numId="16">
    <w:abstractNumId w:val="28"/>
  </w:num>
  <w:num w:numId="17">
    <w:abstractNumId w:val="16"/>
  </w:num>
  <w:num w:numId="18">
    <w:abstractNumId w:val="29"/>
  </w:num>
  <w:num w:numId="19">
    <w:abstractNumId w:val="12"/>
  </w:num>
  <w:num w:numId="20">
    <w:abstractNumId w:val="26"/>
  </w:num>
  <w:num w:numId="21">
    <w:abstractNumId w:val="17"/>
  </w:num>
  <w:num w:numId="22">
    <w:abstractNumId w:val="3"/>
  </w:num>
  <w:num w:numId="23">
    <w:abstractNumId w:val="15"/>
  </w:num>
  <w:num w:numId="24">
    <w:abstractNumId w:val="18"/>
  </w:num>
  <w:num w:numId="25">
    <w:abstractNumId w:val="32"/>
  </w:num>
  <w:num w:numId="26">
    <w:abstractNumId w:val="8"/>
  </w:num>
  <w:num w:numId="27">
    <w:abstractNumId w:val="20"/>
  </w:num>
  <w:num w:numId="28">
    <w:abstractNumId w:val="6"/>
  </w:num>
  <w:num w:numId="29">
    <w:abstractNumId w:val="23"/>
  </w:num>
  <w:num w:numId="30">
    <w:abstractNumId w:val="27"/>
  </w:num>
  <w:num w:numId="31">
    <w:abstractNumId w:val="31"/>
  </w:num>
  <w:num w:numId="32">
    <w:abstractNumId w:val="22"/>
  </w:num>
  <w:num w:numId="33">
    <w:abstractNumId w:val="1"/>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4131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38DE"/>
    <w:rsid w:val="00016C59"/>
    <w:rsid w:val="00016F5E"/>
    <w:rsid w:val="0001741C"/>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3F44"/>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0307"/>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B7258"/>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5722"/>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A95"/>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3AEE"/>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2F6C67"/>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672"/>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5CB9"/>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3D97"/>
    <w:rsid w:val="0047545F"/>
    <w:rsid w:val="004764C0"/>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62C5"/>
    <w:rsid w:val="004F22E4"/>
    <w:rsid w:val="004F2D22"/>
    <w:rsid w:val="004F4493"/>
    <w:rsid w:val="004F4B6D"/>
    <w:rsid w:val="004F673A"/>
    <w:rsid w:val="005000A3"/>
    <w:rsid w:val="00501ABB"/>
    <w:rsid w:val="00504F15"/>
    <w:rsid w:val="00507D2D"/>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969"/>
    <w:rsid w:val="00527E38"/>
    <w:rsid w:val="005311A9"/>
    <w:rsid w:val="0053227B"/>
    <w:rsid w:val="005365B3"/>
    <w:rsid w:val="00536F84"/>
    <w:rsid w:val="005409B2"/>
    <w:rsid w:val="00540AFE"/>
    <w:rsid w:val="00540B67"/>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F28"/>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6111"/>
    <w:rsid w:val="006775F3"/>
    <w:rsid w:val="00677B8A"/>
    <w:rsid w:val="006807BF"/>
    <w:rsid w:val="00680EF2"/>
    <w:rsid w:val="0068173F"/>
    <w:rsid w:val="00682518"/>
    <w:rsid w:val="0068788A"/>
    <w:rsid w:val="00690D04"/>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1433"/>
    <w:rsid w:val="006D2CD4"/>
    <w:rsid w:val="006D34D0"/>
    <w:rsid w:val="006D5B6E"/>
    <w:rsid w:val="006D5F12"/>
    <w:rsid w:val="006D6F9D"/>
    <w:rsid w:val="006D7243"/>
    <w:rsid w:val="006D7F78"/>
    <w:rsid w:val="006E0764"/>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07CB9"/>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326F"/>
    <w:rsid w:val="007450D6"/>
    <w:rsid w:val="007451F0"/>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225"/>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D25"/>
    <w:rsid w:val="007E4F4E"/>
    <w:rsid w:val="007E5070"/>
    <w:rsid w:val="007E7028"/>
    <w:rsid w:val="007E7651"/>
    <w:rsid w:val="007F0170"/>
    <w:rsid w:val="007F0CC6"/>
    <w:rsid w:val="007F0ED4"/>
    <w:rsid w:val="007F4318"/>
    <w:rsid w:val="007F4633"/>
    <w:rsid w:val="007F47C6"/>
    <w:rsid w:val="007F6FB0"/>
    <w:rsid w:val="008013F0"/>
    <w:rsid w:val="008014C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44838"/>
    <w:rsid w:val="008510E6"/>
    <w:rsid w:val="0085122C"/>
    <w:rsid w:val="008520FC"/>
    <w:rsid w:val="00854517"/>
    <w:rsid w:val="00860558"/>
    <w:rsid w:val="008651DF"/>
    <w:rsid w:val="00865460"/>
    <w:rsid w:val="00866F57"/>
    <w:rsid w:val="00867C8C"/>
    <w:rsid w:val="00871DF7"/>
    <w:rsid w:val="0087213F"/>
    <w:rsid w:val="008721D5"/>
    <w:rsid w:val="0087250B"/>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16CE"/>
    <w:rsid w:val="008C2AEB"/>
    <w:rsid w:val="008C744F"/>
    <w:rsid w:val="008C7798"/>
    <w:rsid w:val="008D0959"/>
    <w:rsid w:val="008D4AFC"/>
    <w:rsid w:val="008D52B1"/>
    <w:rsid w:val="008E7003"/>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A7D20"/>
    <w:rsid w:val="009B0585"/>
    <w:rsid w:val="009B3ABC"/>
    <w:rsid w:val="009B4ACA"/>
    <w:rsid w:val="009B73C7"/>
    <w:rsid w:val="009B7CAB"/>
    <w:rsid w:val="009C0A9E"/>
    <w:rsid w:val="009C111C"/>
    <w:rsid w:val="009C16C1"/>
    <w:rsid w:val="009C1B9E"/>
    <w:rsid w:val="009C2F8C"/>
    <w:rsid w:val="009C6788"/>
    <w:rsid w:val="009C6844"/>
    <w:rsid w:val="009D1579"/>
    <w:rsid w:val="009D1B86"/>
    <w:rsid w:val="009D1EA3"/>
    <w:rsid w:val="009D3EBB"/>
    <w:rsid w:val="009D4F89"/>
    <w:rsid w:val="009D5EB5"/>
    <w:rsid w:val="009D6003"/>
    <w:rsid w:val="009E0E6A"/>
    <w:rsid w:val="009E148C"/>
    <w:rsid w:val="009E1691"/>
    <w:rsid w:val="009E5F55"/>
    <w:rsid w:val="009E60AB"/>
    <w:rsid w:val="009F03FE"/>
    <w:rsid w:val="009F37B6"/>
    <w:rsid w:val="009F669D"/>
    <w:rsid w:val="00A00219"/>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3FE4"/>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51B2"/>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5AB2"/>
    <w:rsid w:val="00AD7DB9"/>
    <w:rsid w:val="00AE3390"/>
    <w:rsid w:val="00AE4AA2"/>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478"/>
    <w:rsid w:val="00B65968"/>
    <w:rsid w:val="00B659B6"/>
    <w:rsid w:val="00B70E85"/>
    <w:rsid w:val="00B74A41"/>
    <w:rsid w:val="00B8276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0CAC"/>
    <w:rsid w:val="00C02811"/>
    <w:rsid w:val="00C02F0F"/>
    <w:rsid w:val="00C046A4"/>
    <w:rsid w:val="00C04C98"/>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76F33"/>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37F10"/>
    <w:rsid w:val="00D40C09"/>
    <w:rsid w:val="00D40C0F"/>
    <w:rsid w:val="00D42752"/>
    <w:rsid w:val="00D473F0"/>
    <w:rsid w:val="00D47FDF"/>
    <w:rsid w:val="00D52E97"/>
    <w:rsid w:val="00D537F4"/>
    <w:rsid w:val="00D574D7"/>
    <w:rsid w:val="00D57B1A"/>
    <w:rsid w:val="00D57C32"/>
    <w:rsid w:val="00D60BF9"/>
    <w:rsid w:val="00D61DA4"/>
    <w:rsid w:val="00D65F6D"/>
    <w:rsid w:val="00D66A5C"/>
    <w:rsid w:val="00D709A9"/>
    <w:rsid w:val="00D74378"/>
    <w:rsid w:val="00D80570"/>
    <w:rsid w:val="00D84819"/>
    <w:rsid w:val="00D87563"/>
    <w:rsid w:val="00D90062"/>
    <w:rsid w:val="00D9108B"/>
    <w:rsid w:val="00D936A0"/>
    <w:rsid w:val="00D96929"/>
    <w:rsid w:val="00DA07DB"/>
    <w:rsid w:val="00DA0955"/>
    <w:rsid w:val="00DA6B61"/>
    <w:rsid w:val="00DA761D"/>
    <w:rsid w:val="00DB0862"/>
    <w:rsid w:val="00DB3044"/>
    <w:rsid w:val="00DB4041"/>
    <w:rsid w:val="00DB67D2"/>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41FC"/>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53E"/>
    <w:rsid w:val="00F146F0"/>
    <w:rsid w:val="00F16229"/>
    <w:rsid w:val="00F166C2"/>
    <w:rsid w:val="00F200A0"/>
    <w:rsid w:val="00F268E2"/>
    <w:rsid w:val="00F2725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1A80"/>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semiHidden/>
    <w:unhideWhenUsed/>
    <w:rsid w:val="00D709A9"/>
    <w:rPr>
      <w:rFonts w:ascii="Consolas" w:hAnsi="Consolas"/>
      <w:sz w:val="21"/>
      <w:szCs w:val="21"/>
    </w:rPr>
  </w:style>
  <w:style w:type="character" w:customStyle="1" w:styleId="PlainTextChar">
    <w:name w:val="Plain Text Char"/>
    <w:basedOn w:val="DefaultParagraphFont"/>
    <w:link w:val="PlainText"/>
    <w:uiPriority w:val="99"/>
    <w:semiHidden/>
    <w:rsid w:val="00D709A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62571574">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177889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78165801">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olis.leg.state.or.us/liz/2019R1/Downloads/CommitteeMeetingDocument/201740" TargetMode="External"/><Relationship Id="rId3" Type="http://schemas.openxmlformats.org/officeDocument/2006/relationships/customXml" Target="../customXml/item3.xml"/><Relationship Id="rId21" Type="http://schemas.openxmlformats.org/officeDocument/2006/relationships/hyperlink" Target="https://olis.leg.state.or.us/liz/2019R1/Measures/Overview/SB40" TargetMode="External"/><Relationship Id="rId34" Type="http://schemas.openxmlformats.org/officeDocument/2006/relationships/hyperlink" Target="https://www.oregon.gov/deq/Get-Involved/Pages/Calendar.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olis.leg.state.or.us/liz/2019R1/Downloads/MeasureAnalysisDocument/51322" TargetMode="External"/><Relationship Id="rId33" Type="http://schemas.openxmlformats.org/officeDocument/2006/relationships/hyperlink" Target="https://www.oregon.gov/deq/Regulations/rulemaking/Pages/rhot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Regulations/rulemaking/Pages/rhot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918" TargetMode="External"/><Relationship Id="rId32" Type="http://schemas.openxmlformats.org/officeDocument/2006/relationships/hyperlink" Target="http://www.oregon.gov/deq/Get-Involved/Pages/Calendar.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olis.leg.state.or.us/liz/2019R1/Downloads/MeasureAnalysisDocument/44526" TargetMode="External"/><Relationship Id="rId28" Type="http://schemas.openxmlformats.org/officeDocument/2006/relationships/hyperlink" Target="http://www.oregon.gov/deq/Get-Involved/Pages/Calendar.aspx" TargetMode="External"/><Relationship Id="rId36"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oregonlaws.org/ors/183.3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olis.leg.state.or.us/liz/2019R1/Downloads/MeasureAnalysisDocument/44412" TargetMode="External"/><Relationship Id="rId27" Type="http://schemas.openxmlformats.org/officeDocument/2006/relationships/hyperlink" Target="https://www.oregon.gov/deq/Regulations/rulemaking/Pages/rhot2019.aspx"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84102-479F-4CD0-9366-13BEE480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32</Pages>
  <Words>6899</Words>
  <Characters>39327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EMER Lydia</cp:lastModifiedBy>
  <cp:revision>39</cp:revision>
  <cp:lastPrinted>2013-02-28T21:12:00Z</cp:lastPrinted>
  <dcterms:created xsi:type="dcterms:W3CDTF">2019-03-21T16:05:00Z</dcterms:created>
  <dcterms:modified xsi:type="dcterms:W3CDTF">2019-09-25T18:53:00Z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