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1">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bookmarkStart w:id="0" w:name="_GoBack"/>
    <w:bookmarkEnd w:id="0"/>
    <w:p w14:paraId="0EBBB23B" w14:textId="5AC8F1F4" w:rsidR="00F77552"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21339175" w:history="1">
        <w:r w:rsidR="00F77552" w:rsidRPr="000223F1">
          <w:rPr>
            <w:rStyle w:val="Hyperlink"/>
            <w:noProof/>
          </w:rPr>
          <w:t>DEQ Recommendation to the EQC</w:t>
        </w:r>
        <w:r w:rsidR="00F77552">
          <w:rPr>
            <w:noProof/>
            <w:webHidden/>
          </w:rPr>
          <w:tab/>
        </w:r>
        <w:r w:rsidR="00F77552">
          <w:rPr>
            <w:noProof/>
            <w:webHidden/>
          </w:rPr>
          <w:fldChar w:fldCharType="begin"/>
        </w:r>
        <w:r w:rsidR="00F77552">
          <w:rPr>
            <w:noProof/>
            <w:webHidden/>
          </w:rPr>
          <w:instrText xml:space="preserve"> PAGEREF _Toc21339175 \h </w:instrText>
        </w:r>
        <w:r w:rsidR="00F77552">
          <w:rPr>
            <w:noProof/>
            <w:webHidden/>
          </w:rPr>
        </w:r>
        <w:r w:rsidR="00F77552">
          <w:rPr>
            <w:noProof/>
            <w:webHidden/>
          </w:rPr>
          <w:fldChar w:fldCharType="separate"/>
        </w:r>
        <w:r w:rsidR="00F77552">
          <w:rPr>
            <w:noProof/>
            <w:webHidden/>
          </w:rPr>
          <w:t>1</w:t>
        </w:r>
        <w:r w:rsidR="00F77552">
          <w:rPr>
            <w:noProof/>
            <w:webHidden/>
          </w:rPr>
          <w:fldChar w:fldCharType="end"/>
        </w:r>
      </w:hyperlink>
    </w:p>
    <w:p w14:paraId="51B13F66" w14:textId="4D1C8ED2"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76" w:history="1">
        <w:r w:rsidRPr="000223F1">
          <w:rPr>
            <w:rStyle w:val="Hyperlink"/>
            <w:noProof/>
          </w:rPr>
          <w:t>Introduction</w:t>
        </w:r>
        <w:r>
          <w:rPr>
            <w:noProof/>
            <w:webHidden/>
          </w:rPr>
          <w:tab/>
        </w:r>
        <w:r>
          <w:rPr>
            <w:noProof/>
            <w:webHidden/>
          </w:rPr>
          <w:fldChar w:fldCharType="begin"/>
        </w:r>
        <w:r>
          <w:rPr>
            <w:noProof/>
            <w:webHidden/>
          </w:rPr>
          <w:instrText xml:space="preserve"> PAGEREF _Toc21339176 \h </w:instrText>
        </w:r>
        <w:r>
          <w:rPr>
            <w:noProof/>
            <w:webHidden/>
          </w:rPr>
        </w:r>
        <w:r>
          <w:rPr>
            <w:noProof/>
            <w:webHidden/>
          </w:rPr>
          <w:fldChar w:fldCharType="separate"/>
        </w:r>
        <w:r>
          <w:rPr>
            <w:noProof/>
            <w:webHidden/>
          </w:rPr>
          <w:t>2</w:t>
        </w:r>
        <w:r>
          <w:rPr>
            <w:noProof/>
            <w:webHidden/>
          </w:rPr>
          <w:fldChar w:fldCharType="end"/>
        </w:r>
      </w:hyperlink>
    </w:p>
    <w:p w14:paraId="17DA0E37" w14:textId="71A3BA6C"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77" w:history="1">
        <w:r w:rsidRPr="000223F1">
          <w:rPr>
            <w:rStyle w:val="Hyperlink"/>
            <w:noProof/>
          </w:rPr>
          <w:t>Statement of need</w:t>
        </w:r>
        <w:r>
          <w:rPr>
            <w:noProof/>
            <w:webHidden/>
          </w:rPr>
          <w:tab/>
        </w:r>
        <w:r>
          <w:rPr>
            <w:noProof/>
            <w:webHidden/>
          </w:rPr>
          <w:fldChar w:fldCharType="begin"/>
        </w:r>
        <w:r>
          <w:rPr>
            <w:noProof/>
            <w:webHidden/>
          </w:rPr>
          <w:instrText xml:space="preserve"> PAGEREF _Toc21339177 \h </w:instrText>
        </w:r>
        <w:r>
          <w:rPr>
            <w:noProof/>
            <w:webHidden/>
          </w:rPr>
        </w:r>
        <w:r>
          <w:rPr>
            <w:noProof/>
            <w:webHidden/>
          </w:rPr>
          <w:fldChar w:fldCharType="separate"/>
        </w:r>
        <w:r>
          <w:rPr>
            <w:noProof/>
            <w:webHidden/>
          </w:rPr>
          <w:t>3</w:t>
        </w:r>
        <w:r>
          <w:rPr>
            <w:noProof/>
            <w:webHidden/>
          </w:rPr>
          <w:fldChar w:fldCharType="end"/>
        </w:r>
      </w:hyperlink>
    </w:p>
    <w:p w14:paraId="23600583" w14:textId="500A1BFA"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78" w:history="1">
        <w:r w:rsidRPr="000223F1">
          <w:rPr>
            <w:rStyle w:val="Hyperlink"/>
            <w:noProof/>
          </w:rPr>
          <w:t>Rules affected, authorities, supporting documents</w:t>
        </w:r>
        <w:r>
          <w:rPr>
            <w:noProof/>
            <w:webHidden/>
          </w:rPr>
          <w:tab/>
        </w:r>
        <w:r>
          <w:rPr>
            <w:noProof/>
            <w:webHidden/>
          </w:rPr>
          <w:fldChar w:fldCharType="begin"/>
        </w:r>
        <w:r>
          <w:rPr>
            <w:noProof/>
            <w:webHidden/>
          </w:rPr>
          <w:instrText xml:space="preserve"> PAGEREF _Toc21339178 \h </w:instrText>
        </w:r>
        <w:r>
          <w:rPr>
            <w:noProof/>
            <w:webHidden/>
          </w:rPr>
        </w:r>
        <w:r>
          <w:rPr>
            <w:noProof/>
            <w:webHidden/>
          </w:rPr>
          <w:fldChar w:fldCharType="separate"/>
        </w:r>
        <w:r>
          <w:rPr>
            <w:noProof/>
            <w:webHidden/>
          </w:rPr>
          <w:t>4</w:t>
        </w:r>
        <w:r>
          <w:rPr>
            <w:noProof/>
            <w:webHidden/>
          </w:rPr>
          <w:fldChar w:fldCharType="end"/>
        </w:r>
      </w:hyperlink>
    </w:p>
    <w:p w14:paraId="35C0288A" w14:textId="7DC2D4E9"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79" w:history="1">
        <w:r w:rsidRPr="000223F1">
          <w:rPr>
            <w:rStyle w:val="Hyperlink"/>
            <w:rFonts w:cstheme="majorBidi"/>
            <w:noProof/>
          </w:rPr>
          <w:t>Documents relied on for rulemaking</w:t>
        </w:r>
        <w:r>
          <w:rPr>
            <w:noProof/>
            <w:webHidden/>
          </w:rPr>
          <w:tab/>
        </w:r>
        <w:r>
          <w:rPr>
            <w:noProof/>
            <w:webHidden/>
          </w:rPr>
          <w:fldChar w:fldCharType="begin"/>
        </w:r>
        <w:r>
          <w:rPr>
            <w:noProof/>
            <w:webHidden/>
          </w:rPr>
          <w:instrText xml:space="preserve"> PAGEREF _Toc21339179 \h </w:instrText>
        </w:r>
        <w:r>
          <w:rPr>
            <w:noProof/>
            <w:webHidden/>
          </w:rPr>
        </w:r>
        <w:r>
          <w:rPr>
            <w:noProof/>
            <w:webHidden/>
          </w:rPr>
          <w:fldChar w:fldCharType="separate"/>
        </w:r>
        <w:r>
          <w:rPr>
            <w:noProof/>
            <w:webHidden/>
          </w:rPr>
          <w:t>4</w:t>
        </w:r>
        <w:r>
          <w:rPr>
            <w:noProof/>
            <w:webHidden/>
          </w:rPr>
          <w:fldChar w:fldCharType="end"/>
        </w:r>
      </w:hyperlink>
    </w:p>
    <w:p w14:paraId="27E00795" w14:textId="087EB7A7"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0" w:history="1">
        <w:r w:rsidRPr="000223F1">
          <w:rPr>
            <w:rStyle w:val="Hyperlink"/>
            <w:noProof/>
          </w:rPr>
          <w:t>Fee Analysis</w:t>
        </w:r>
        <w:r>
          <w:rPr>
            <w:noProof/>
            <w:webHidden/>
          </w:rPr>
          <w:tab/>
        </w:r>
        <w:r>
          <w:rPr>
            <w:noProof/>
            <w:webHidden/>
          </w:rPr>
          <w:fldChar w:fldCharType="begin"/>
        </w:r>
        <w:r>
          <w:rPr>
            <w:noProof/>
            <w:webHidden/>
          </w:rPr>
          <w:instrText xml:space="preserve"> PAGEREF _Toc21339180 \h </w:instrText>
        </w:r>
        <w:r>
          <w:rPr>
            <w:noProof/>
            <w:webHidden/>
          </w:rPr>
        </w:r>
        <w:r>
          <w:rPr>
            <w:noProof/>
            <w:webHidden/>
          </w:rPr>
          <w:fldChar w:fldCharType="separate"/>
        </w:r>
        <w:r>
          <w:rPr>
            <w:noProof/>
            <w:webHidden/>
          </w:rPr>
          <w:t>6</w:t>
        </w:r>
        <w:r>
          <w:rPr>
            <w:noProof/>
            <w:webHidden/>
          </w:rPr>
          <w:fldChar w:fldCharType="end"/>
        </w:r>
      </w:hyperlink>
    </w:p>
    <w:p w14:paraId="588FA39D" w14:textId="44A9BDE0"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1" w:history="1">
        <w:r w:rsidRPr="000223F1">
          <w:rPr>
            <w:rStyle w:val="Hyperlink"/>
            <w:noProof/>
          </w:rPr>
          <w:t>Statement of Fiscal and Economic Impact</w:t>
        </w:r>
        <w:r>
          <w:rPr>
            <w:noProof/>
            <w:webHidden/>
          </w:rPr>
          <w:tab/>
        </w:r>
        <w:r>
          <w:rPr>
            <w:noProof/>
            <w:webHidden/>
          </w:rPr>
          <w:fldChar w:fldCharType="begin"/>
        </w:r>
        <w:r>
          <w:rPr>
            <w:noProof/>
            <w:webHidden/>
          </w:rPr>
          <w:instrText xml:space="preserve"> PAGEREF _Toc21339181 \h </w:instrText>
        </w:r>
        <w:r>
          <w:rPr>
            <w:noProof/>
            <w:webHidden/>
          </w:rPr>
        </w:r>
        <w:r>
          <w:rPr>
            <w:noProof/>
            <w:webHidden/>
          </w:rPr>
          <w:fldChar w:fldCharType="separate"/>
        </w:r>
        <w:r>
          <w:rPr>
            <w:noProof/>
            <w:webHidden/>
          </w:rPr>
          <w:t>13</w:t>
        </w:r>
        <w:r>
          <w:rPr>
            <w:noProof/>
            <w:webHidden/>
          </w:rPr>
          <w:fldChar w:fldCharType="end"/>
        </w:r>
      </w:hyperlink>
    </w:p>
    <w:p w14:paraId="198498A0" w14:textId="6D5D1C7A"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2" w:history="1">
        <w:r w:rsidRPr="000223F1">
          <w:rPr>
            <w:rStyle w:val="Hyperlink"/>
            <w:noProof/>
          </w:rPr>
          <w:t>Federal relationship</w:t>
        </w:r>
        <w:r>
          <w:rPr>
            <w:noProof/>
            <w:webHidden/>
          </w:rPr>
          <w:tab/>
        </w:r>
        <w:r>
          <w:rPr>
            <w:noProof/>
            <w:webHidden/>
          </w:rPr>
          <w:fldChar w:fldCharType="begin"/>
        </w:r>
        <w:r>
          <w:rPr>
            <w:noProof/>
            <w:webHidden/>
          </w:rPr>
          <w:instrText xml:space="preserve"> PAGEREF _Toc21339182 \h </w:instrText>
        </w:r>
        <w:r>
          <w:rPr>
            <w:noProof/>
            <w:webHidden/>
          </w:rPr>
        </w:r>
        <w:r>
          <w:rPr>
            <w:noProof/>
            <w:webHidden/>
          </w:rPr>
          <w:fldChar w:fldCharType="separate"/>
        </w:r>
        <w:r>
          <w:rPr>
            <w:noProof/>
            <w:webHidden/>
          </w:rPr>
          <w:t>17</w:t>
        </w:r>
        <w:r>
          <w:rPr>
            <w:noProof/>
            <w:webHidden/>
          </w:rPr>
          <w:fldChar w:fldCharType="end"/>
        </w:r>
      </w:hyperlink>
    </w:p>
    <w:p w14:paraId="0EDFFCC2" w14:textId="03EE3C61"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3" w:history="1">
        <w:r w:rsidRPr="000223F1">
          <w:rPr>
            <w:rStyle w:val="Hyperlink"/>
            <w:noProof/>
          </w:rPr>
          <w:t>Land use</w:t>
        </w:r>
        <w:r>
          <w:rPr>
            <w:noProof/>
            <w:webHidden/>
          </w:rPr>
          <w:tab/>
        </w:r>
        <w:r>
          <w:rPr>
            <w:noProof/>
            <w:webHidden/>
          </w:rPr>
          <w:fldChar w:fldCharType="begin"/>
        </w:r>
        <w:r>
          <w:rPr>
            <w:noProof/>
            <w:webHidden/>
          </w:rPr>
          <w:instrText xml:space="preserve"> PAGEREF _Toc21339183 \h </w:instrText>
        </w:r>
        <w:r>
          <w:rPr>
            <w:noProof/>
            <w:webHidden/>
          </w:rPr>
        </w:r>
        <w:r>
          <w:rPr>
            <w:noProof/>
            <w:webHidden/>
          </w:rPr>
          <w:fldChar w:fldCharType="separate"/>
        </w:r>
        <w:r>
          <w:rPr>
            <w:noProof/>
            <w:webHidden/>
          </w:rPr>
          <w:t>18</w:t>
        </w:r>
        <w:r>
          <w:rPr>
            <w:noProof/>
            <w:webHidden/>
          </w:rPr>
          <w:fldChar w:fldCharType="end"/>
        </w:r>
      </w:hyperlink>
    </w:p>
    <w:p w14:paraId="41F04EA8" w14:textId="3C7A8E3B"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4" w:history="1">
        <w:r w:rsidRPr="000223F1">
          <w:rPr>
            <w:rStyle w:val="Hyperlink"/>
            <w:noProof/>
          </w:rPr>
          <w:t>EQC Prior Involvement</w:t>
        </w:r>
        <w:r>
          <w:rPr>
            <w:noProof/>
            <w:webHidden/>
          </w:rPr>
          <w:tab/>
        </w:r>
        <w:r>
          <w:rPr>
            <w:noProof/>
            <w:webHidden/>
          </w:rPr>
          <w:fldChar w:fldCharType="begin"/>
        </w:r>
        <w:r>
          <w:rPr>
            <w:noProof/>
            <w:webHidden/>
          </w:rPr>
          <w:instrText xml:space="preserve"> PAGEREF _Toc21339184 \h </w:instrText>
        </w:r>
        <w:r>
          <w:rPr>
            <w:noProof/>
            <w:webHidden/>
          </w:rPr>
        </w:r>
        <w:r>
          <w:rPr>
            <w:noProof/>
            <w:webHidden/>
          </w:rPr>
          <w:fldChar w:fldCharType="separate"/>
        </w:r>
        <w:r>
          <w:rPr>
            <w:noProof/>
            <w:webHidden/>
          </w:rPr>
          <w:t>19</w:t>
        </w:r>
        <w:r>
          <w:rPr>
            <w:noProof/>
            <w:webHidden/>
          </w:rPr>
          <w:fldChar w:fldCharType="end"/>
        </w:r>
      </w:hyperlink>
    </w:p>
    <w:p w14:paraId="3B065501" w14:textId="22C588B0"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5" w:history="1">
        <w:r w:rsidRPr="000223F1">
          <w:rPr>
            <w:rStyle w:val="Hyperlink"/>
            <w:noProof/>
          </w:rPr>
          <w:t>Advisory Committee</w:t>
        </w:r>
        <w:r>
          <w:rPr>
            <w:noProof/>
            <w:webHidden/>
          </w:rPr>
          <w:tab/>
        </w:r>
        <w:r>
          <w:rPr>
            <w:noProof/>
            <w:webHidden/>
          </w:rPr>
          <w:fldChar w:fldCharType="begin"/>
        </w:r>
        <w:r>
          <w:rPr>
            <w:noProof/>
            <w:webHidden/>
          </w:rPr>
          <w:instrText xml:space="preserve"> PAGEREF _Toc21339185 \h </w:instrText>
        </w:r>
        <w:r>
          <w:rPr>
            <w:noProof/>
            <w:webHidden/>
          </w:rPr>
        </w:r>
        <w:r>
          <w:rPr>
            <w:noProof/>
            <w:webHidden/>
          </w:rPr>
          <w:fldChar w:fldCharType="separate"/>
        </w:r>
        <w:r>
          <w:rPr>
            <w:noProof/>
            <w:webHidden/>
          </w:rPr>
          <w:t>20</w:t>
        </w:r>
        <w:r>
          <w:rPr>
            <w:noProof/>
            <w:webHidden/>
          </w:rPr>
          <w:fldChar w:fldCharType="end"/>
        </w:r>
      </w:hyperlink>
    </w:p>
    <w:p w14:paraId="7CF7D642" w14:textId="5BF1C82A"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6" w:history="1">
        <w:r w:rsidRPr="000223F1">
          <w:rPr>
            <w:rStyle w:val="Hyperlink"/>
            <w:noProof/>
          </w:rPr>
          <w:t>Public Engagement</w:t>
        </w:r>
        <w:r>
          <w:rPr>
            <w:noProof/>
            <w:webHidden/>
          </w:rPr>
          <w:tab/>
        </w:r>
        <w:r>
          <w:rPr>
            <w:noProof/>
            <w:webHidden/>
          </w:rPr>
          <w:fldChar w:fldCharType="begin"/>
        </w:r>
        <w:r>
          <w:rPr>
            <w:noProof/>
            <w:webHidden/>
          </w:rPr>
          <w:instrText xml:space="preserve"> PAGEREF _Toc21339186 \h </w:instrText>
        </w:r>
        <w:r>
          <w:rPr>
            <w:noProof/>
            <w:webHidden/>
          </w:rPr>
        </w:r>
        <w:r>
          <w:rPr>
            <w:noProof/>
            <w:webHidden/>
          </w:rPr>
          <w:fldChar w:fldCharType="separate"/>
        </w:r>
        <w:r>
          <w:rPr>
            <w:noProof/>
            <w:webHidden/>
          </w:rPr>
          <w:t>22</w:t>
        </w:r>
        <w:r>
          <w:rPr>
            <w:noProof/>
            <w:webHidden/>
          </w:rPr>
          <w:fldChar w:fldCharType="end"/>
        </w:r>
      </w:hyperlink>
    </w:p>
    <w:p w14:paraId="4AE3AC72" w14:textId="195E62E9"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7" w:history="1">
        <w:r w:rsidRPr="000223F1">
          <w:rPr>
            <w:rStyle w:val="Hyperlink"/>
            <w:noProof/>
          </w:rPr>
          <w:t>Implementation</w:t>
        </w:r>
        <w:r>
          <w:rPr>
            <w:noProof/>
            <w:webHidden/>
          </w:rPr>
          <w:tab/>
        </w:r>
        <w:r>
          <w:rPr>
            <w:noProof/>
            <w:webHidden/>
          </w:rPr>
          <w:fldChar w:fldCharType="begin"/>
        </w:r>
        <w:r>
          <w:rPr>
            <w:noProof/>
            <w:webHidden/>
          </w:rPr>
          <w:instrText xml:space="preserve"> PAGEREF _Toc21339187 \h </w:instrText>
        </w:r>
        <w:r>
          <w:rPr>
            <w:noProof/>
            <w:webHidden/>
          </w:rPr>
        </w:r>
        <w:r>
          <w:rPr>
            <w:noProof/>
            <w:webHidden/>
          </w:rPr>
          <w:fldChar w:fldCharType="separate"/>
        </w:r>
        <w:r>
          <w:rPr>
            <w:noProof/>
            <w:webHidden/>
          </w:rPr>
          <w:t>25</w:t>
        </w:r>
        <w:r>
          <w:rPr>
            <w:noProof/>
            <w:webHidden/>
          </w:rPr>
          <w:fldChar w:fldCharType="end"/>
        </w:r>
      </w:hyperlink>
    </w:p>
    <w:p w14:paraId="1B5B5EAB" w14:textId="6C9A6DDD"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8" w:history="1">
        <w:r w:rsidRPr="000223F1">
          <w:rPr>
            <w:rStyle w:val="Hyperlink"/>
            <w:noProof/>
          </w:rPr>
          <w:t>Five Year Review</w:t>
        </w:r>
        <w:r>
          <w:rPr>
            <w:noProof/>
            <w:webHidden/>
          </w:rPr>
          <w:tab/>
        </w:r>
        <w:r>
          <w:rPr>
            <w:noProof/>
            <w:webHidden/>
          </w:rPr>
          <w:fldChar w:fldCharType="begin"/>
        </w:r>
        <w:r>
          <w:rPr>
            <w:noProof/>
            <w:webHidden/>
          </w:rPr>
          <w:instrText xml:space="preserve"> PAGEREF _Toc21339188 \h </w:instrText>
        </w:r>
        <w:r>
          <w:rPr>
            <w:noProof/>
            <w:webHidden/>
          </w:rPr>
        </w:r>
        <w:r>
          <w:rPr>
            <w:noProof/>
            <w:webHidden/>
          </w:rPr>
          <w:fldChar w:fldCharType="separate"/>
        </w:r>
        <w:r>
          <w:rPr>
            <w:noProof/>
            <w:webHidden/>
          </w:rPr>
          <w:t>27</w:t>
        </w:r>
        <w:r>
          <w:rPr>
            <w:noProof/>
            <w:webHidden/>
          </w:rPr>
          <w:fldChar w:fldCharType="end"/>
        </w:r>
      </w:hyperlink>
    </w:p>
    <w:p w14:paraId="1B4B8404" w14:textId="609352C9" w:rsidR="00F77552" w:rsidRDefault="00F77552">
      <w:pPr>
        <w:pStyle w:val="TOC1"/>
        <w:tabs>
          <w:tab w:val="right" w:leader="dot" w:pos="9350"/>
        </w:tabs>
        <w:rPr>
          <w:rFonts w:asciiTheme="minorHAnsi" w:eastAsiaTheme="minorEastAsia" w:hAnsiTheme="minorHAnsi" w:cstheme="minorBidi"/>
          <w:bCs w:val="0"/>
          <w:noProof/>
          <w:color w:val="auto"/>
          <w:sz w:val="22"/>
          <w:szCs w:val="22"/>
        </w:rPr>
      </w:pPr>
      <w:hyperlink w:anchor="_Toc21339189" w:history="1">
        <w:r w:rsidRPr="000223F1">
          <w:rPr>
            <w:rStyle w:val="Hyperlink"/>
            <w:noProof/>
          </w:rPr>
          <w:t>Accessibility Information</w:t>
        </w:r>
        <w:r>
          <w:rPr>
            <w:noProof/>
            <w:webHidden/>
          </w:rPr>
          <w:tab/>
        </w:r>
        <w:r>
          <w:rPr>
            <w:noProof/>
            <w:webHidden/>
          </w:rPr>
          <w:fldChar w:fldCharType="begin"/>
        </w:r>
        <w:r>
          <w:rPr>
            <w:noProof/>
            <w:webHidden/>
          </w:rPr>
          <w:instrText xml:space="preserve"> PAGEREF _Toc21339189 \h </w:instrText>
        </w:r>
        <w:r>
          <w:rPr>
            <w:noProof/>
            <w:webHidden/>
          </w:rPr>
        </w:r>
        <w:r>
          <w:rPr>
            <w:noProof/>
            <w:webHidden/>
          </w:rPr>
          <w:fldChar w:fldCharType="separate"/>
        </w:r>
        <w:r>
          <w:rPr>
            <w:noProof/>
            <w:webHidden/>
          </w:rPr>
          <w:t>27</w:t>
        </w:r>
        <w:r>
          <w:rPr>
            <w:noProof/>
            <w:webHidden/>
          </w:rPr>
          <w:fldChar w:fldCharType="end"/>
        </w:r>
      </w:hyperlink>
    </w:p>
    <w:p w14:paraId="3C567DC1" w14:textId="7FC6F541" w:rsidR="00B65968" w:rsidRDefault="00B845D8" w:rsidP="00762E9F">
      <w:pPr>
        <w:pStyle w:val="Heading1"/>
        <w:sectPr w:rsidR="00B65968" w:rsidSect="00B65968">
          <w:headerReference w:type="default" r:id="rId12"/>
          <w:footerReference w:type="default" r:id="rId13"/>
          <w:headerReference w:type="first" r:id="rId14"/>
          <w:footerReference w:type="first" r:id="rId15"/>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5D232FDA" w14:textId="77777777" w:rsidR="002F2F6F" w:rsidRDefault="002F2F6F" w:rsidP="002F2F6F">
      <w:pPr>
        <w:pStyle w:val="Heading1"/>
      </w:pPr>
      <w:bookmarkStart w:id="2" w:name="_Toc3988344"/>
      <w:bookmarkStart w:id="3" w:name="_Toc21339175"/>
      <w:bookmarkEnd w:id="1"/>
      <w:r>
        <w:lastRenderedPageBreak/>
        <w:t>DEQ Recommendation to the EQC</w:t>
      </w:r>
      <w:bookmarkEnd w:id="2"/>
      <w:bookmarkEnd w:id="3"/>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4" w:name="_Toc3988345"/>
      <w:bookmarkStart w:id="5" w:name="_Toc21339176"/>
      <w:r>
        <w:lastRenderedPageBreak/>
        <w:t>Introduction</w:t>
      </w:r>
      <w:bookmarkEnd w:id="4"/>
      <w:bookmarkEnd w:id="5"/>
    </w:p>
    <w:p w14:paraId="67AA3307" w14:textId="77777777" w:rsidR="002F2F6F" w:rsidRPr="003C26EE" w:rsidRDefault="002F2F6F" w:rsidP="002F2F6F"/>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16"/>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6" w:name="_Toc3988347"/>
      <w:bookmarkStart w:id="7" w:name="_Toc21339177"/>
      <w:r w:rsidRPr="003C26EE">
        <w:lastRenderedPageBreak/>
        <w:t>Statement of need</w:t>
      </w:r>
      <w:bookmarkEnd w:id="6"/>
      <w:bookmarkEnd w:id="7"/>
    </w:p>
    <w:p w14:paraId="3ADF7B28" w14:textId="77777777" w:rsidR="002F2F6F" w:rsidRDefault="002F2F6F" w:rsidP="00A83AA3">
      <w:pPr>
        <w:pStyle w:val="instructions"/>
      </w:pPr>
    </w:p>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476136A8" w:rsidR="00164DC2" w:rsidRDefault="00164DC2" w:rsidP="00164DC2">
      <w:pPr>
        <w:pStyle w:val="ListParagraph"/>
        <w:numPr>
          <w:ilvl w:val="0"/>
          <w:numId w:val="24"/>
        </w:numPr>
      </w:pPr>
      <w:r>
        <w:t xml:space="preserve">Reviewing corrective action plans </w:t>
      </w:r>
      <w:r w:rsidR="00143D5C">
        <w:t>before</w:t>
      </w:r>
      <w:r>
        <w:t xml:space="preserve">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516A240E" w:rsidR="00164DC2" w:rsidRDefault="00164DC2" w:rsidP="00164DC2">
      <w:pPr>
        <w:pStyle w:val="ListParagraph"/>
        <w:numPr>
          <w:ilvl w:val="1"/>
          <w:numId w:val="24"/>
        </w:numPr>
      </w:pPr>
      <w:r>
        <w:t>Real-time access for project managers, service providers</w:t>
      </w:r>
      <w:r w:rsidR="00143D5C">
        <w:t>,</w:t>
      </w:r>
      <w:r>
        <w:t xml:space="preserve">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8" w:name="_Toc3988348"/>
      <w:bookmarkStart w:id="9" w:name="_Toc21339178"/>
      <w:r w:rsidRPr="003C26EE">
        <w:lastRenderedPageBreak/>
        <w:t>Rules affected, authorities, supporting documents</w:t>
      </w:r>
      <w:bookmarkEnd w:id="8"/>
      <w:bookmarkEnd w:id="9"/>
    </w:p>
    <w:p w14:paraId="7313D006" w14:textId="77777777" w:rsidR="002F2F6F" w:rsidRDefault="002F2F6F" w:rsidP="00A83AA3">
      <w:pPr>
        <w:pStyle w:val="instructions"/>
      </w:pPr>
    </w:p>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0" w:name="_Toc15883578"/>
      <w:bookmarkStart w:id="11" w:name="SupportingDocuments"/>
      <w:bookmarkStart w:id="12" w:name="_Toc21339179"/>
      <w:r w:rsidRPr="00F43D69">
        <w:rPr>
          <w:rStyle w:val="Heading1Char"/>
          <w:rFonts w:cstheme="majorBidi"/>
          <w:b/>
          <w:bCs/>
          <w:sz w:val="32"/>
          <w:szCs w:val="26"/>
        </w:rPr>
        <w:t>Documents relied on for rulemaking</w:t>
      </w:r>
      <w:bookmarkEnd w:id="10"/>
      <w:bookmarkEnd w:id="11"/>
      <w:bookmarkEnd w:id="12"/>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lastRenderedPageBreak/>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3" w:name="_Toc3988349"/>
      <w:bookmarkStart w:id="14" w:name="_Toc21339180"/>
      <w:r w:rsidRPr="003C26EE">
        <w:lastRenderedPageBreak/>
        <w:t>Fee Analysis</w:t>
      </w:r>
      <w:bookmarkEnd w:id="13"/>
      <w:bookmarkEnd w:id="14"/>
    </w:p>
    <w:p w14:paraId="035A3C5F" w14:textId="77777777" w:rsidR="002F2F6F" w:rsidRDefault="002F2F6F" w:rsidP="00A83AA3">
      <w:pPr>
        <w:pStyle w:val="instructions"/>
      </w:pPr>
    </w:p>
    <w:p w14:paraId="4F65F699" w14:textId="77777777" w:rsidR="00164DC2" w:rsidRPr="00164DC2" w:rsidRDefault="00164DC2" w:rsidP="00164DC2">
      <w:pPr>
        <w:rPr>
          <w:bCs/>
        </w:rPr>
      </w:pPr>
      <w:bookmarkStart w:id="15" w:name="RANGE!A226:B243"/>
      <w:bookmarkEnd w:id="15"/>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3956005F"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w:t>
      </w:r>
      <w:r w:rsidR="00143D5C">
        <w:rPr>
          <w:bCs/>
          <w:color w:val="auto"/>
          <w:szCs w:val="32"/>
        </w:rPr>
        <w:t>:</w:t>
      </w:r>
      <w:r w:rsidRPr="00164DC2">
        <w:rPr>
          <w:bCs/>
          <w:color w:val="auto"/>
          <w:szCs w:val="32"/>
        </w:rPr>
        <w:t xml:space="preserve"> Soil Matrix, Generic Remedy</w:t>
      </w:r>
      <w:r w:rsidR="00143D5C">
        <w:rPr>
          <w:bCs/>
          <w:color w:val="auto"/>
          <w:szCs w:val="32"/>
        </w:rPr>
        <w:t>,</w:t>
      </w:r>
      <w:r w:rsidRPr="00164DC2">
        <w:rPr>
          <w:bCs/>
          <w:color w:val="auto"/>
          <w:szCs w:val="32"/>
        </w:rPr>
        <w:t xml:space="preserve">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lastRenderedPageBreak/>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6BAFC0EE"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3B4BF418" w:rsidR="00164DC2" w:rsidRPr="00164DC2" w:rsidRDefault="00164DC2" w:rsidP="00164DC2">
      <w:r w:rsidRPr="00164DC2">
        <w:t xml:space="preserve">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w:t>
      </w:r>
      <w:r w:rsidRPr="00164DC2">
        <w:lastRenderedPageBreak/>
        <w:t>2</w:t>
      </w:r>
      <w:r w:rsidR="00AB050B">
        <w:t>’</w:t>
      </w:r>
      <w:r w:rsidRPr="00164DC2">
        <w:t>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DEQ contacted homeowners who had a heating oil tank cleaned up or decommissioned within the last 12 months. The homeowners received a survey to evaluate their experiences with service providers and DEQ’s program. In September 2018, DEQ began to include 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lastRenderedPageBreak/>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043C74CE" w:rsid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1E59C659" w14:textId="77777777" w:rsidR="00AA51B2" w:rsidRPr="00164DC2" w:rsidRDefault="00AA51B2" w:rsidP="00164DC2"/>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143D5C" w:rsidP="00164DC2">
      <w:hyperlink r:id="rId17"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18"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19"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143D5C" w:rsidP="00164DC2">
      <w:hyperlink r:id="rId20"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t xml:space="preserve">Staff Measure Summary – Joint Committee on Ways and Means: </w:t>
      </w:r>
      <w:hyperlink r:id="rId21"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2"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r w:rsidRPr="00164DC2">
              <w:t>Fee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lastRenderedPageBreak/>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6" w:name="_Toc3988350"/>
      <w:bookmarkStart w:id="17" w:name="_Toc21339181"/>
      <w:r>
        <w:lastRenderedPageBreak/>
        <w:t>Statement of F</w:t>
      </w:r>
      <w:r w:rsidR="002F2F6F" w:rsidRPr="003C26EE">
        <w:t xml:space="preserve">iscal and </w:t>
      </w:r>
      <w:r>
        <w:t>Economic I</w:t>
      </w:r>
      <w:r w:rsidR="002F2F6F" w:rsidRPr="003C26EE">
        <w:t>mpact</w:t>
      </w:r>
      <w:bookmarkEnd w:id="16"/>
      <w:bookmarkEnd w:id="17"/>
    </w:p>
    <w:p w14:paraId="1B746274" w14:textId="77777777" w:rsidR="002F2F6F" w:rsidRDefault="002F2F6F" w:rsidP="002F2F6F">
      <w:pPr>
        <w:rPr>
          <w:rStyle w:val="instructionsChar"/>
        </w:rPr>
      </w:pPr>
    </w:p>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lastRenderedPageBreak/>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lastRenderedPageBreak/>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2C37806" w:rsidR="00164DC2" w:rsidRDefault="00164DC2" w:rsidP="00164DC2">
      <w:r w:rsidRPr="00B65827">
        <w:t xml:space="preserve">The committee </w:t>
      </w:r>
      <w:r>
        <w:t>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3AD383A6" w:rsidR="00164DC2" w:rsidRPr="00B65827" w:rsidRDefault="00164DC2" w:rsidP="00164DC2">
      <w:r>
        <w:t>The committee determined that the proposed rule amendments would have a fiscal impact</w:t>
      </w:r>
      <w:r w:rsidR="00AB050B">
        <w:t>. H</w:t>
      </w:r>
      <w:r>
        <w:t xml:space="preserve">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w:t>
      </w:r>
      <w:r>
        <w:lastRenderedPageBreak/>
        <w:t>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8" w:name="_Toc3985804"/>
      <w:r w:rsidRPr="00B65827">
        <w:rPr>
          <w:rFonts w:ascii="Arial" w:hAnsi="Arial" w:cstheme="minorHAnsi"/>
          <w:b/>
          <w:bCs/>
          <w:sz w:val="44"/>
          <w:szCs w:val="20"/>
        </w:rPr>
        <w:t>Housing cost</w:t>
      </w:r>
      <w:bookmarkEnd w:id="18"/>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9" w:name="_Toc3988351"/>
      <w:bookmarkStart w:id="20" w:name="_Toc21339182"/>
      <w:r w:rsidRPr="003C26EE">
        <w:lastRenderedPageBreak/>
        <w:t>Federal relationship</w:t>
      </w:r>
      <w:bookmarkEnd w:id="19"/>
      <w:bookmarkEnd w:id="20"/>
    </w:p>
    <w:p w14:paraId="68E8B9F7" w14:textId="77777777" w:rsidR="002F2F6F" w:rsidRDefault="002F2F6F" w:rsidP="00A83AA3">
      <w:pPr>
        <w:pStyle w:val="instructions"/>
      </w:pPr>
    </w:p>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1" w:name="_Toc3988352"/>
      <w:bookmarkStart w:id="22" w:name="_Toc21339183"/>
      <w:r w:rsidRPr="003C26EE">
        <w:lastRenderedPageBreak/>
        <w:t>Land use</w:t>
      </w:r>
      <w:bookmarkEnd w:id="21"/>
      <w:bookmarkEnd w:id="22"/>
    </w:p>
    <w:p w14:paraId="45A4CF3C" w14:textId="77777777" w:rsidR="002F2F6F" w:rsidRDefault="002F2F6F" w:rsidP="00A83AA3">
      <w:pPr>
        <w:pStyle w:val="instructions"/>
      </w:pPr>
    </w:p>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3" w:name="_Toc3988353"/>
      <w:bookmarkStart w:id="24" w:name="_Toc21339184"/>
      <w:r w:rsidRPr="003C26EE">
        <w:lastRenderedPageBreak/>
        <w:t>EQC Prior Involvement</w:t>
      </w:r>
      <w:bookmarkEnd w:id="23"/>
      <w:bookmarkEnd w:id="24"/>
    </w:p>
    <w:p w14:paraId="4A1CCCB1" w14:textId="77777777" w:rsidR="002F2F6F" w:rsidRDefault="002F2F6F" w:rsidP="00A83AA3">
      <w:pPr>
        <w:pStyle w:val="instructions"/>
      </w:pPr>
    </w:p>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324912E4" w14:textId="648E70DF" w:rsidR="002F2F6F" w:rsidRDefault="002F2F6F" w:rsidP="00AA51B2">
      <w:pPr>
        <w:pStyle w:val="Heading1"/>
      </w:pPr>
      <w:bookmarkStart w:id="25" w:name="_Toc3988354"/>
      <w:bookmarkStart w:id="26" w:name="_Toc21339185"/>
      <w:r w:rsidRPr="003C26EE">
        <w:lastRenderedPageBreak/>
        <w:t>Advisory Committee</w:t>
      </w:r>
      <w:bookmarkEnd w:id="25"/>
      <w:bookmarkEnd w:id="26"/>
    </w:p>
    <w:p w14:paraId="386682FB" w14:textId="77777777" w:rsidR="002F2F6F" w:rsidRDefault="002F2F6F" w:rsidP="00A83AA3">
      <w:pPr>
        <w:pStyle w:val="instructions"/>
      </w:pPr>
    </w:p>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3"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Phil Backman</w:t>
            </w:r>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4"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w:t>
      </w:r>
      <w:r w:rsidRPr="007B7C59">
        <w:rPr>
          <w:bCs/>
          <w:color w:val="auto"/>
          <w:szCs w:val="32"/>
        </w:rPr>
        <w:lastRenderedPageBreak/>
        <w:t xml:space="preserve">future HOT program improvements. The meeting agenda, summary and handouts are available on the committee’s webpage at: </w:t>
      </w:r>
      <w:hyperlink r:id="rId25"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7" w:name="_Toc3988355"/>
      <w:bookmarkStart w:id="28" w:name="_Toc21339186"/>
      <w:r w:rsidRPr="003C26EE">
        <w:lastRenderedPageBreak/>
        <w:t>Public Engagement</w:t>
      </w:r>
      <w:bookmarkEnd w:id="27"/>
      <w:bookmarkEnd w:id="28"/>
    </w:p>
    <w:p w14:paraId="17DAE5A6" w14:textId="77777777" w:rsidR="002F2F6F" w:rsidRDefault="002F2F6F" w:rsidP="002F2F6F">
      <w:pPr>
        <w:rPr>
          <w:rStyle w:val="instructionsChar"/>
        </w:rPr>
      </w:pPr>
    </w:p>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26"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27"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Michael Dembrow,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E. Werner Reschke,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28"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9" w:name="_Toc3988356"/>
      <w:r>
        <w:lastRenderedPageBreak/>
        <w:t>Public Hearing</w:t>
      </w:r>
      <w:bookmarkEnd w:id="29"/>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1115309C" w14:textId="77777777" w:rsidR="001C2E14"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p>
    <w:p w14:paraId="03D942B8" w14:textId="4F87AEA2" w:rsidR="002F2F6F" w:rsidRDefault="002F2F6F" w:rsidP="00844838">
      <w:pPr>
        <w:tabs>
          <w:tab w:val="left" w:pos="-1440"/>
          <w:tab w:val="left" w:pos="-720"/>
        </w:tabs>
        <w:suppressAutoHyphens/>
      </w:pPr>
    </w:p>
    <w:p w14:paraId="40E14A49" w14:textId="77777777"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56FCA70E"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00AA51B2">
        <w:t xml:space="preserve"> 4 p.m., </w:t>
      </w:r>
      <w:r w:rsidR="008E7003">
        <w:t>Friday, Sept. 20, 2019</w:t>
      </w:r>
      <w:r w:rsidRPr="008E7003">
        <w:t>.</w:t>
      </w:r>
    </w:p>
    <w:p w14:paraId="00005B5A" w14:textId="09371465" w:rsidR="002F2F6F" w:rsidRDefault="002F2F6F" w:rsidP="002F2F6F"/>
    <w:p w14:paraId="33257C32" w14:textId="00407EC8"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8C16CE" w:rsidRPr="008C16CE">
        <w:t xml:space="preserve">Original comments are on file with DEQ. </w:t>
      </w:r>
      <w:r w:rsidR="002F2F6F" w:rsidRPr="001404B0">
        <w:t>DEQ d</w:t>
      </w:r>
      <w:r w:rsidR="008C16CE">
        <w:t>id not change the proposed rule amendments</w:t>
      </w:r>
      <w:r w:rsidR="002F2F6F" w:rsidRPr="001404B0">
        <w:t xml:space="preserve">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788FB1DE" w14:textId="5D4857E6" w:rsidR="002F2F6F" w:rsidRPr="001404B0" w:rsidRDefault="002F2F6F" w:rsidP="002F2F6F"/>
    <w:p w14:paraId="3BA785B7" w14:textId="09C5B640" w:rsidR="002F2F6F" w:rsidRPr="001404B0" w:rsidRDefault="002F2F6F" w:rsidP="001F7800">
      <w:pPr>
        <w:pStyle w:val="Heading4"/>
      </w:pPr>
      <w:r w:rsidRPr="001F7800">
        <w:t>Commenter 1</w:t>
      </w:r>
      <w:r w:rsidR="00D709A9">
        <w:t>: Del Riesenhuber</w:t>
      </w:r>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77A00503" w14:textId="07075D03" w:rsidR="002B3AEE" w:rsidRDefault="00D709A9" w:rsidP="00473D97">
      <w:pPr>
        <w:spacing w:line="360" w:lineRule="auto"/>
        <w:rPr>
          <w:rFonts w:ascii="Arial" w:hAnsi="Arial" w:cs="Arial"/>
        </w:rPr>
      </w:pPr>
      <w:r w:rsidRPr="00D709A9">
        <w:rPr>
          <w:rFonts w:ascii="Arial" w:hAnsi="Arial" w:cs="Arial"/>
          <w:b/>
        </w:rPr>
        <w:t>Comment:</w:t>
      </w:r>
      <w:r>
        <w:rPr>
          <w:rFonts w:ascii="Arial" w:hAnsi="Arial" w:cs="Arial"/>
        </w:rPr>
        <w:t xml:space="preserve"> </w:t>
      </w:r>
    </w:p>
    <w:p w14:paraId="310F0DE7" w14:textId="72DE09B6" w:rsidR="002F2F6F" w:rsidRPr="00D709A9" w:rsidRDefault="00D709A9" w:rsidP="002F2F6F">
      <w:pPr>
        <w:rPr>
          <w:rFonts w:ascii="Arial" w:hAnsi="Arial" w:cs="Arial"/>
        </w:rPr>
      </w:pPr>
      <w:r w:rsidRPr="00D709A9">
        <w:rPr>
          <w:i/>
        </w:rPr>
        <w:t>I am opposed to this rule change</w:t>
      </w:r>
      <w:r w:rsidR="001C2E14">
        <w:rPr>
          <w:i/>
        </w:rPr>
        <w:t>.</w:t>
      </w:r>
      <w:r w:rsidRPr="00D709A9">
        <w:rPr>
          <w:i/>
        </w:rPr>
        <w:t xml:space="preserve"> It does not appear to have any purpose relative to environmental protection and only increase unnecessary fees.</w:t>
      </w:r>
    </w:p>
    <w:p w14:paraId="04ECC90C" w14:textId="71CD12FC" w:rsidR="00B82761" w:rsidRDefault="00B82761" w:rsidP="002F2F6F"/>
    <w:p w14:paraId="1AA6E1E2" w14:textId="7700DE6B" w:rsidR="00B82761" w:rsidRDefault="00B82761" w:rsidP="00473D97">
      <w:pPr>
        <w:pStyle w:val="Heading4"/>
        <w:spacing w:line="360" w:lineRule="auto"/>
      </w:pPr>
      <w:r w:rsidRPr="001404B0">
        <w:t>Response</w:t>
      </w:r>
      <w:r w:rsidR="00240A95">
        <w:t>:</w:t>
      </w:r>
    </w:p>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p>
    <w:p w14:paraId="2B94092E" w14:textId="19D2957B" w:rsidR="008C16CE" w:rsidRPr="001404B0" w:rsidRDefault="008C16CE" w:rsidP="002F2F6F"/>
    <w:p w14:paraId="58B09459" w14:textId="27F90E0B" w:rsidR="002F2F6F" w:rsidRPr="001404B0" w:rsidRDefault="002F2F6F" w:rsidP="002F2F6F">
      <w:r w:rsidRPr="001F7800">
        <w:rPr>
          <w:rStyle w:val="Heading4Char"/>
        </w:rPr>
        <w:t xml:space="preserve">Commenter </w:t>
      </w:r>
      <w:r w:rsidR="007451F0">
        <w:rPr>
          <w:rStyle w:val="Heading4Char"/>
        </w:rPr>
        <w:t>2: Zaph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508DB033" w14:textId="68BFA204" w:rsidR="002F2F6F" w:rsidRPr="00473D97" w:rsidRDefault="007451F0" w:rsidP="00473D97">
      <w:pPr>
        <w:spacing w:line="360" w:lineRule="auto"/>
        <w:rPr>
          <w:rFonts w:ascii="Arial" w:hAnsi="Arial" w:cs="Arial"/>
        </w:rPr>
      </w:pPr>
      <w:r w:rsidRPr="007451F0">
        <w:rPr>
          <w:rFonts w:ascii="Arial" w:hAnsi="Arial" w:cs="Arial"/>
          <w:b/>
        </w:rPr>
        <w:t>Comment:</w:t>
      </w:r>
      <w:r w:rsidRPr="007451F0">
        <w:rPr>
          <w:rFonts w:ascii="Arial" w:hAnsi="Arial" w:cs="Arial"/>
        </w:rPr>
        <w:t xml:space="preserve"> </w:t>
      </w:r>
    </w:p>
    <w:p w14:paraId="46B2B33A" w14:textId="36CCE0A3" w:rsidR="007451F0" w:rsidRPr="007451F0" w:rsidRDefault="007451F0" w:rsidP="007451F0">
      <w:pPr>
        <w:rPr>
          <w:i/>
        </w:rPr>
      </w:pPr>
      <w:r w:rsidRPr="007451F0">
        <w:rPr>
          <w:i/>
        </w:rPr>
        <w:t>I note with interest the proposal to increase fees related to companies/contractors decommissioning Heating Oil Tanks. I did not see any attention (here) given to programs to 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0E657FBD" w14:textId="79749341" w:rsidR="007451F0" w:rsidRPr="007451F0" w:rsidRDefault="00B82761" w:rsidP="00473D97">
      <w:pPr>
        <w:pStyle w:val="Heading4"/>
        <w:spacing w:line="360" w:lineRule="auto"/>
      </w:pPr>
      <w:r w:rsidRPr="001404B0">
        <w:t>Response</w:t>
      </w:r>
      <w:r w:rsidR="007451F0">
        <w:t>:</w:t>
      </w:r>
    </w:p>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 xml:space="preserve">s ongoing policy </w:t>
      </w:r>
      <w:r>
        <w:lastRenderedPageBreak/>
        <w:t>review of high-</w:t>
      </w:r>
      <w:r w:rsidR="00B82761" w:rsidRPr="004764C0">
        <w:t>risk heating oil tank situations and intends to carry this concern into that work.</w:t>
      </w:r>
    </w:p>
    <w:p w14:paraId="67BF0A7B" w14:textId="77777777" w:rsidR="002F2F6F" w:rsidRPr="001404B0" w:rsidRDefault="002F2F6F" w:rsidP="002F2F6F"/>
    <w:p w14:paraId="117D521C" w14:textId="77777777" w:rsidR="002F2F6F" w:rsidRDefault="002F2F6F" w:rsidP="002F2F6F">
      <w:pPr>
        <w:pStyle w:val="Heading1"/>
      </w:pPr>
      <w:bookmarkStart w:id="32" w:name="_Toc3988358"/>
      <w:bookmarkStart w:id="33" w:name="_Toc21339187"/>
      <w:r>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29"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0"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3813F64F" w14:textId="77777777" w:rsidR="000138DE" w:rsidRDefault="00865460" w:rsidP="000138DE">
      <w:pPr>
        <w:spacing w:line="360" w:lineRule="auto"/>
      </w:pPr>
      <w:r w:rsidRPr="000138DE">
        <w:rPr>
          <w:rStyle w:val="Heading4Char"/>
        </w:rPr>
        <w:t>Affected parties</w:t>
      </w:r>
      <w:r w:rsidR="000138DE">
        <w:t xml:space="preserve">: </w:t>
      </w:r>
    </w:p>
    <w:p w14:paraId="64214810" w14:textId="20A0FC7F" w:rsidR="00D37F10" w:rsidRDefault="00415CB9" w:rsidP="00D37F10">
      <w:r>
        <w:t>D</w:t>
      </w:r>
      <w:r w:rsidR="00C04C98">
        <w:t xml:space="preserve">EQ will directly </w:t>
      </w:r>
      <w:r w:rsidR="00D37F10">
        <w:t>communicate the rule change to</w:t>
      </w:r>
      <w:r w:rsidR="00C04C98">
        <w:t xml:space="preserve"> HOT service providers and supervisors</w:t>
      </w:r>
      <w:r w:rsidR="00D37F10">
        <w:t xml:space="preserve"> currently subscribed or listed with the agency. </w:t>
      </w:r>
      <w:r>
        <w:t xml:space="preserve">As of Jan. 1, 2020, service providers and supervisors attaining a license will pay the new licensure fee amounts </w:t>
      </w:r>
      <w:r w:rsidR="001C2E14">
        <w:t xml:space="preserve">this rule change sets. </w:t>
      </w:r>
      <w:r>
        <w:t xml:space="preserve"> Filing fees for reports submitted to DEQ starting on Jan. 1, 2020 will also be subject to the new fee categories set by this rule change.</w:t>
      </w:r>
    </w:p>
    <w:p w14:paraId="6F24426F" w14:textId="53B2485B" w:rsidR="002F2F6F" w:rsidRPr="000138DE" w:rsidRDefault="00865460" w:rsidP="002F2F6F">
      <w:r w:rsidRPr="000138DE">
        <w:t xml:space="preserve"> </w:t>
      </w:r>
      <w:r w:rsidR="009A7D20" w:rsidRPr="000138DE">
        <w:t xml:space="preserve"> </w:t>
      </w:r>
    </w:p>
    <w:p w14:paraId="689D5175" w14:textId="77777777" w:rsidR="00415CB9" w:rsidRDefault="002F2F6F" w:rsidP="00415CB9">
      <w:pPr>
        <w:spacing w:line="360" w:lineRule="auto"/>
      </w:pPr>
      <w:r w:rsidRPr="00415CB9">
        <w:rPr>
          <w:rStyle w:val="Heading4Char"/>
        </w:rPr>
        <w:t>DEQ staff</w:t>
      </w:r>
      <w:r w:rsidR="00415CB9">
        <w:t>:</w:t>
      </w:r>
    </w:p>
    <w:p w14:paraId="5D15A19F" w14:textId="6011F495" w:rsidR="002F2F6F" w:rsidRPr="001404B0" w:rsidRDefault="00415CB9" w:rsidP="002F2F6F">
      <w:r>
        <w:t>Limi</w:t>
      </w:r>
      <w:r w:rsidR="006D1433">
        <w:t>ted procedural changes involve evaluating</w:t>
      </w:r>
      <w:r>
        <w:t xml:space="preserve"> </w:t>
      </w:r>
      <w:r w:rsidR="006D1433">
        <w:t xml:space="preserve">the complexity of cleanup work to identify the appropriate report filing fee category. </w:t>
      </w:r>
      <w:r w:rsidR="00E141FC">
        <w:t>Work performed in accordance with Soil Matrix, Generic Remedy, or Risk-Based cleanup will be subject to the new fees defined under Simple, Intermediate, or Complex categories, respectively.</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7B814E71" w14:textId="77777777" w:rsidR="00E141FC" w:rsidRDefault="009A7D20" w:rsidP="00E141FC">
      <w:pPr>
        <w:spacing w:line="360" w:lineRule="auto"/>
      </w:pPr>
      <w:r w:rsidRPr="00E141FC">
        <w:rPr>
          <w:rStyle w:val="Heading4Char"/>
        </w:rPr>
        <w:t>Affected parties</w:t>
      </w:r>
      <w:r w:rsidR="00E141FC">
        <w:rPr>
          <w:rStyle w:val="Heading4Char"/>
        </w:rPr>
        <w:t>:</w:t>
      </w:r>
      <w:r w:rsidRPr="00E141FC">
        <w:t xml:space="preserve"> </w:t>
      </w:r>
    </w:p>
    <w:p w14:paraId="1358EF36" w14:textId="51B760DF" w:rsidR="002F2F6F" w:rsidRDefault="0087250B" w:rsidP="002F2F6F">
      <w:r>
        <w:t>The rule amendments do not present technical changes. Measuring, sampling, monitoring, and reporting requirements will not change.</w:t>
      </w:r>
    </w:p>
    <w:p w14:paraId="500195B2" w14:textId="77777777" w:rsidR="00E141FC" w:rsidRPr="00E141FC" w:rsidRDefault="00E141FC" w:rsidP="002F2F6F"/>
    <w:p w14:paraId="7E3AF47B" w14:textId="77777777" w:rsidR="00E141FC" w:rsidRDefault="009A7D20" w:rsidP="00E141FC">
      <w:pPr>
        <w:spacing w:line="360" w:lineRule="auto"/>
      </w:pPr>
      <w:r w:rsidRPr="00E141FC">
        <w:rPr>
          <w:rStyle w:val="Heading4Char"/>
        </w:rPr>
        <w:lastRenderedPageBreak/>
        <w:t>DEQ staff</w:t>
      </w:r>
      <w:r w:rsidR="00E141FC">
        <w:t>:</w:t>
      </w:r>
    </w:p>
    <w:p w14:paraId="55DD9EFE" w14:textId="1DCDE0EF" w:rsidR="002F2F6F" w:rsidRPr="001404B0" w:rsidRDefault="00865460" w:rsidP="002F2F6F">
      <w:r w:rsidRPr="00E141FC">
        <w:t>This is a fiscal change. Existing budget processes will monitor revenue and sufficiency of the fee change</w:t>
      </w:r>
      <w:r w:rsidR="009A7D20" w:rsidRPr="00E141FC">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0A3C94DE" w14:textId="77777777" w:rsidR="005A5F28" w:rsidRDefault="009A7D20" w:rsidP="005A5F28">
      <w:pPr>
        <w:spacing w:line="360" w:lineRule="auto"/>
      </w:pPr>
      <w:r w:rsidRPr="005A5F28">
        <w:rPr>
          <w:rStyle w:val="Heading4Char"/>
        </w:rPr>
        <w:t>Website</w:t>
      </w:r>
      <w:r w:rsidR="005A5F28">
        <w:t>:</w:t>
      </w:r>
    </w:p>
    <w:p w14:paraId="59C1ABFC" w14:textId="6D12556A" w:rsidR="005A5F28" w:rsidRDefault="005A5F28" w:rsidP="002F2F6F">
      <w:r>
        <w:t>By Nov. 22, 2019</w:t>
      </w:r>
      <w:r w:rsidR="001C2E14">
        <w:t>,</w:t>
      </w:r>
      <w:r>
        <w:t xml:space="preserve"> (one week following the EQC meeting), </w:t>
      </w:r>
      <w:r w:rsidR="001C2E14">
        <w:t xml:space="preserve">DEQ will update its </w:t>
      </w:r>
      <w:r>
        <w:t xml:space="preserve">external DEQ Heating Oil Tank webpage </w:t>
      </w:r>
      <w:r w:rsidR="001C2E14">
        <w:t>t</w:t>
      </w:r>
      <w:r>
        <w:t>o feature</w:t>
      </w:r>
      <w:r w:rsidR="009A7D20" w:rsidRPr="005A5F28">
        <w:t xml:space="preserve"> the </w:t>
      </w:r>
      <w:r>
        <w:t>im</w:t>
      </w:r>
      <w:r w:rsidR="009A7D20" w:rsidRPr="005A5F28">
        <w:t xml:space="preserve">pending fee changes alongside current fees. </w:t>
      </w:r>
      <w:r w:rsidR="001C2E14">
        <w:t>DEQ will post p</w:t>
      </w:r>
      <w:r w:rsidRPr="005A5F28">
        <w:t>roject registration instructions and lice</w:t>
      </w:r>
      <w:r>
        <w:t>nse applications for use on Jan. 1, 2020</w:t>
      </w:r>
      <w:r w:rsidR="001C2E14">
        <w:t>,</w:t>
      </w:r>
      <w:r>
        <w:t xml:space="preserve"> and later</w:t>
      </w:r>
      <w:r w:rsidRPr="005A5F28">
        <w:t xml:space="preserve"> Dec</w:t>
      </w:r>
      <w:r w:rsidR="001C2E14">
        <w:t>ember</w:t>
      </w:r>
      <w:r>
        <w:t xml:space="preserve"> 1</w:t>
      </w:r>
      <w:r w:rsidRPr="005A5F28">
        <w:t xml:space="preserve">, 2019. </w:t>
      </w:r>
      <w:r w:rsidR="001C2E14">
        <w:t>DEQ will remove o</w:t>
      </w:r>
      <w:r w:rsidRPr="005A5F28">
        <w:t xml:space="preserve">ld instructions and application forms </w:t>
      </w:r>
      <w:r>
        <w:t>by Dec</w:t>
      </w:r>
      <w:r w:rsidR="001C2E14">
        <w:t>ember</w:t>
      </w:r>
      <w:r>
        <w:t xml:space="preserve"> 31</w:t>
      </w:r>
      <w:r w:rsidRPr="005A5F28">
        <w:t>, 2019.</w:t>
      </w:r>
      <w:r>
        <w:t xml:space="preserve"> </w:t>
      </w:r>
      <w:r w:rsidR="009A7D20" w:rsidRPr="005A5F28">
        <w:t xml:space="preserve">On </w:t>
      </w:r>
      <w:r>
        <w:t>Jan</w:t>
      </w:r>
      <w:r w:rsidR="001C2E14">
        <w:t>uary</w:t>
      </w:r>
      <w:r>
        <w:t xml:space="preserve"> 2, 2020,</w:t>
      </w:r>
      <w:r w:rsidR="009A7D20" w:rsidRPr="005A5F28">
        <w:t xml:space="preserve"> </w:t>
      </w:r>
      <w:r w:rsidR="001C2E14">
        <w:t xml:space="preserve">DEQ will remove </w:t>
      </w:r>
      <w:r w:rsidR="001C2E14">
        <w:t>the previous fee information</w:t>
      </w:r>
      <w:r w:rsidR="001C2E14">
        <w:t xml:space="preserve"> f</w:t>
      </w:r>
      <w:r>
        <w:t>rom the webpage</w:t>
      </w:r>
      <w:r w:rsidR="001C2E14">
        <w:t>,</w:t>
      </w:r>
      <w:r>
        <w:t xml:space="preserve"> leaving the new fee amounts</w:t>
      </w:r>
      <w:r w:rsidR="00865460" w:rsidRPr="005A5F28">
        <w:t xml:space="preserve">. </w:t>
      </w:r>
    </w:p>
    <w:p w14:paraId="436820B8" w14:textId="3B7384FD" w:rsidR="002F2F6F" w:rsidRPr="005A5F28" w:rsidRDefault="009A7D20" w:rsidP="002F2F6F">
      <w:r w:rsidRPr="005A5F28">
        <w:t xml:space="preserve">  </w:t>
      </w:r>
    </w:p>
    <w:p w14:paraId="5739FB54" w14:textId="77777777" w:rsidR="005A5F28" w:rsidRDefault="009A7D20" w:rsidP="005A5F28">
      <w:pPr>
        <w:spacing w:line="360" w:lineRule="auto"/>
      </w:pPr>
      <w:r w:rsidRPr="005A5F28">
        <w:rPr>
          <w:rStyle w:val="Heading4Char"/>
        </w:rPr>
        <w:t>Database</w:t>
      </w:r>
      <w:r w:rsidR="005A5F28">
        <w:t>:</w:t>
      </w:r>
    </w:p>
    <w:p w14:paraId="0CBC141B" w14:textId="3A07B66B" w:rsidR="002F2F6F" w:rsidRDefault="009A7D20" w:rsidP="002F2F6F">
      <w:r w:rsidRPr="005A5F28">
        <w:t>No database changes are necessary. Actual amounts paid are recorded regardless of fee amount.</w:t>
      </w:r>
    </w:p>
    <w:p w14:paraId="62DFF1A9" w14:textId="77777777" w:rsidR="005A5F28" w:rsidRPr="005A5F28" w:rsidRDefault="005A5F28" w:rsidP="002F2F6F"/>
    <w:p w14:paraId="72D68995" w14:textId="77777777" w:rsidR="005A5F28" w:rsidRDefault="002F2F6F" w:rsidP="005A5F28">
      <w:pPr>
        <w:spacing w:line="360" w:lineRule="auto"/>
      </w:pPr>
      <w:r w:rsidRPr="005A5F28">
        <w:rPr>
          <w:rStyle w:val="Heading4Char"/>
        </w:rPr>
        <w:t>Invoicing</w:t>
      </w:r>
      <w:r w:rsidR="005A5F28">
        <w:t>:</w:t>
      </w:r>
    </w:p>
    <w:p w14:paraId="265BFA72" w14:textId="3A6AB2D0" w:rsidR="002F2F6F" w:rsidRPr="001404B0" w:rsidRDefault="009A7D20" w:rsidP="002F2F6F">
      <w:r w:rsidRPr="005A5F28">
        <w:t xml:space="preserve">No invoicing occurs. Fee payers submit payment with </w:t>
      </w:r>
      <w:r w:rsidR="002F6C67">
        <w:t xml:space="preserve">project </w:t>
      </w:r>
      <w:r w:rsidRPr="005A5F28">
        <w:t>r</w:t>
      </w:r>
      <w:r w:rsidR="002F6C67">
        <w:t>eports</w:t>
      </w:r>
      <w:r w:rsidRPr="005A5F28">
        <w:t xml:space="preserve"> or </w:t>
      </w:r>
      <w:r w:rsidR="002F6C67">
        <w:t xml:space="preserve">license </w:t>
      </w:r>
      <w:r w:rsidRPr="005A5F28">
        <w:t>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24D10B81" w14:textId="77777777" w:rsidR="002F6C67" w:rsidRDefault="009A7D20" w:rsidP="0074326F">
      <w:pPr>
        <w:spacing w:after="160" w:line="259" w:lineRule="auto"/>
        <w:outlineLvl w:val="9"/>
      </w:pPr>
      <w:r w:rsidRPr="002F6C67">
        <w:rPr>
          <w:rStyle w:val="Heading4Char"/>
        </w:rPr>
        <w:t>Affected parties</w:t>
      </w:r>
      <w:r w:rsidR="002F6C67">
        <w:t>:</w:t>
      </w:r>
    </w:p>
    <w:p w14:paraId="4E4216E7" w14:textId="238DC00C" w:rsidR="002F2F6F" w:rsidRPr="0074326F" w:rsidRDefault="002F6C67" w:rsidP="0074326F">
      <w:pPr>
        <w:spacing w:after="160" w:line="259" w:lineRule="auto"/>
        <w:outlineLvl w:val="9"/>
      </w:pPr>
      <w:r>
        <w:t>DEQ will disseminate a Service Provider b</w:t>
      </w:r>
      <w:r w:rsidR="009A7D20" w:rsidRPr="002F6C67">
        <w:t>ulletin con</w:t>
      </w:r>
      <w:r>
        <w:t>firming the new fees by Dec</w:t>
      </w:r>
      <w:r w:rsidR="001C2E14">
        <w:t>ember</w:t>
      </w:r>
      <w:r>
        <w:t xml:space="preserve"> 1, 2019</w:t>
      </w:r>
      <w:r w:rsidR="0074326F" w:rsidRPr="002F6C67">
        <w:t xml:space="preserve">. </w:t>
      </w:r>
      <w:r>
        <w:t>The agency previously sent a</w:t>
      </w:r>
      <w:r w:rsidR="001B7258" w:rsidRPr="002F6C67">
        <w:t xml:space="preserve"> </w:t>
      </w:r>
      <w:r>
        <w:t xml:space="preserve">related </w:t>
      </w:r>
      <w:r w:rsidR="001B7258" w:rsidRPr="002F6C67">
        <w:t xml:space="preserve">bulletin </w:t>
      </w:r>
      <w:r>
        <w:t>on Jan</w:t>
      </w:r>
      <w:r w:rsidR="001C2E14">
        <w:t>uary</w:t>
      </w:r>
      <w:r w:rsidR="001B7258" w:rsidRPr="002F6C67">
        <w:t xml:space="preserve"> 28, 2019</w:t>
      </w:r>
      <w:r>
        <w:t xml:space="preserve">, which was soon followed by </w:t>
      </w:r>
      <w:r w:rsidR="00063F44" w:rsidRPr="002F6C67">
        <w:t xml:space="preserve">legislative proceedings </w:t>
      </w:r>
      <w:r>
        <w:t xml:space="preserve">that </w:t>
      </w:r>
      <w:r w:rsidR="00063F44" w:rsidRPr="002F6C67">
        <w:t>included notices and hearings</w:t>
      </w:r>
      <w:r w:rsidR="00473D97">
        <w:t xml:space="preserve"> concerning the proposed rule change</w:t>
      </w:r>
      <w:r>
        <w:t>.</w:t>
      </w:r>
      <w:r w:rsidR="00473D97">
        <w:t xml:space="preserve"> </w:t>
      </w:r>
    </w:p>
    <w:p w14:paraId="4E6BA004" w14:textId="77777777" w:rsidR="002F6C67" w:rsidRDefault="009A7D20" w:rsidP="002F6C67">
      <w:pPr>
        <w:spacing w:line="360" w:lineRule="auto"/>
      </w:pPr>
      <w:r w:rsidRPr="002F6C67">
        <w:rPr>
          <w:rStyle w:val="Heading4Char"/>
        </w:rPr>
        <w:t>DEQ staff</w:t>
      </w:r>
      <w:r w:rsidR="002F6C67">
        <w:t>:</w:t>
      </w:r>
    </w:p>
    <w:p w14:paraId="5875845E" w14:textId="1AC578D1" w:rsidR="002F2F6F" w:rsidRPr="001404B0" w:rsidRDefault="002F6C67" w:rsidP="002F2F6F">
      <w:r>
        <w:t>Additional staff training is not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4" w:name="_Toc3988359"/>
      <w:bookmarkStart w:id="35" w:name="_Toc21339188"/>
      <w:r>
        <w:lastRenderedPageBreak/>
        <w:t>Five Year Review</w:t>
      </w:r>
      <w:bookmarkEnd w:id="34"/>
      <w:bookmarkEnd w:id="35"/>
    </w:p>
    <w:p w14:paraId="61D5DD74" w14:textId="77777777" w:rsidR="001C2E14" w:rsidRDefault="001C2E14" w:rsidP="002F2F6F">
      <w:pPr>
        <w:pStyle w:val="Heading2"/>
      </w:pPr>
    </w:p>
    <w:p w14:paraId="576A200D" w14:textId="27AE3938"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69633056" w14:textId="63CDF8C1" w:rsidR="002F2F6F" w:rsidRPr="001404B0" w:rsidRDefault="002F2F6F" w:rsidP="002F2F6F">
      <w:r w:rsidRPr="001404B0">
        <w:t>The Administrative Procedures Act exempts</w:t>
      </w:r>
      <w:r w:rsidR="001C2E14">
        <w:t xml:space="preserve"> all </w:t>
      </w:r>
      <w:r w:rsidRPr="001404B0">
        <w:t>of the proposed rules from the five-year review because the proposed rules would</w:t>
      </w:r>
      <w:r w:rsidR="001C2E14">
        <w:t xml:space="preserve"> a</w:t>
      </w:r>
      <w:r w:rsidRPr="001404B0">
        <w:t>mend or repeal an existing rule. ORS 183.405(4).</w:t>
      </w:r>
    </w:p>
    <w:p w14:paraId="4EA5BA72" w14:textId="77777777" w:rsidR="002F2F6F" w:rsidRPr="001404B0" w:rsidRDefault="002F2F6F" w:rsidP="002F2F6F">
      <w:r w:rsidRPr="001404B0">
        <w:tab/>
      </w:r>
    </w:p>
    <w:p w14:paraId="486A3E45" w14:textId="77777777" w:rsidR="002F2F6F" w:rsidRPr="003C26EE" w:rsidRDefault="002F2F6F" w:rsidP="002F2F6F">
      <w:pPr>
        <w:pStyle w:val="Heading1"/>
      </w:pPr>
      <w:bookmarkStart w:id="36" w:name="_Toc3988360"/>
      <w:bookmarkStart w:id="37" w:name="_Toc21339189"/>
      <w:r w:rsidRPr="003C26EE">
        <w:t>Accessibility Information</w:t>
      </w:r>
      <w:bookmarkEnd w:id="36"/>
      <w:bookmarkEnd w:id="37"/>
    </w:p>
    <w:p w14:paraId="2EE3C2D2"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1"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footerReference w:type="default" r:id="rId32"/>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143D5C" w:rsidRDefault="00143D5C" w:rsidP="002D6C99">
      <w:r>
        <w:separator/>
      </w:r>
    </w:p>
  </w:endnote>
  <w:endnote w:type="continuationSeparator" w:id="0">
    <w:p w14:paraId="47DA94DE" w14:textId="77777777" w:rsidR="00143D5C" w:rsidRDefault="00143D5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7C38C805" w:rsidR="00143D5C" w:rsidRDefault="00143D5C">
        <w:pPr>
          <w:pStyle w:val="Footer"/>
          <w:jc w:val="right"/>
        </w:pPr>
        <w:r>
          <w:fldChar w:fldCharType="begin"/>
        </w:r>
        <w:r>
          <w:instrText xml:space="preserve"> PAGE   \* MERGEFORMAT </w:instrText>
        </w:r>
        <w:r>
          <w:fldChar w:fldCharType="separate"/>
        </w:r>
        <w:r w:rsidR="00F77552">
          <w:rPr>
            <w:noProof/>
          </w:rPr>
          <w:t>17</w:t>
        </w:r>
        <w:r>
          <w:rPr>
            <w:noProof/>
          </w:rPr>
          <w:fldChar w:fldCharType="end"/>
        </w:r>
      </w:p>
    </w:sdtContent>
  </w:sdt>
  <w:p w14:paraId="6F2543F2" w14:textId="77777777" w:rsidR="00143D5C" w:rsidRDefault="00143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22DD206B" w:rsidR="00143D5C" w:rsidRDefault="00143D5C">
        <w:pPr>
          <w:pStyle w:val="Footer"/>
          <w:jc w:val="right"/>
        </w:pPr>
        <w:r>
          <w:fldChar w:fldCharType="begin"/>
        </w:r>
        <w:r>
          <w:instrText xml:space="preserve"> PAGE   \* MERGEFORMAT </w:instrText>
        </w:r>
        <w:r>
          <w:fldChar w:fldCharType="separate"/>
        </w:r>
        <w:r w:rsidR="00F77552">
          <w:rPr>
            <w:noProof/>
          </w:rPr>
          <w:t>1</w:t>
        </w:r>
        <w:r>
          <w:rPr>
            <w:noProof/>
          </w:rPr>
          <w:fldChar w:fldCharType="end"/>
        </w:r>
      </w:p>
    </w:sdtContent>
  </w:sdt>
  <w:p w14:paraId="7B77C1E6" w14:textId="77777777" w:rsidR="00143D5C" w:rsidRDefault="00143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3D1D210D" w:rsidR="00143D5C" w:rsidRDefault="00143D5C">
        <w:pPr>
          <w:pStyle w:val="Footer"/>
          <w:jc w:val="right"/>
        </w:pPr>
        <w:r>
          <w:fldChar w:fldCharType="begin"/>
        </w:r>
        <w:r>
          <w:instrText xml:space="preserve"> PAGE   \* MERGEFORMAT </w:instrText>
        </w:r>
        <w:r>
          <w:fldChar w:fldCharType="separate"/>
        </w:r>
        <w:r w:rsidR="00F77552">
          <w:rPr>
            <w:noProof/>
          </w:rPr>
          <w:t>1</w:t>
        </w:r>
        <w:r>
          <w:rPr>
            <w:noProof/>
          </w:rPr>
          <w:fldChar w:fldCharType="end"/>
        </w:r>
      </w:p>
    </w:sdtContent>
  </w:sdt>
  <w:p w14:paraId="536ED34F" w14:textId="77777777" w:rsidR="00143D5C" w:rsidRDefault="00143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114222F7" w:rsidR="00143D5C" w:rsidRPr="000F6EE6" w:rsidRDefault="00143D5C" w:rsidP="00A112DA">
        <w:pPr>
          <w:pStyle w:val="Footer"/>
        </w:pPr>
        <w:r w:rsidRPr="000F6EE6">
          <w:fldChar w:fldCharType="begin"/>
        </w:r>
        <w:r w:rsidRPr="000F6EE6">
          <w:instrText xml:space="preserve"> PAGE   \* MERGEFORMAT </w:instrText>
        </w:r>
        <w:r w:rsidRPr="000F6EE6">
          <w:fldChar w:fldCharType="separate"/>
        </w:r>
        <w:r w:rsidR="00F77552">
          <w:rPr>
            <w:noProof/>
          </w:rPr>
          <w:t>21</w:t>
        </w:r>
        <w:r w:rsidRPr="000F6EE6">
          <w:fldChar w:fldCharType="end"/>
        </w:r>
      </w:p>
    </w:sdtContent>
  </w:sdt>
  <w:p w14:paraId="19A777C4" w14:textId="77777777" w:rsidR="00143D5C" w:rsidRDefault="00143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143D5C" w:rsidRDefault="00143D5C" w:rsidP="002D6C99">
      <w:r>
        <w:separator/>
      </w:r>
    </w:p>
  </w:footnote>
  <w:footnote w:type="continuationSeparator" w:id="0">
    <w:p w14:paraId="1EF53730" w14:textId="77777777" w:rsidR="00143D5C" w:rsidRDefault="00143D5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143D5C" w:rsidRPr="00F72D05" w:rsidRDefault="00143D5C"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143D5C" w:rsidRDefault="00143D5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49D9"/>
    <w:multiLevelType w:val="hybridMultilevel"/>
    <w:tmpl w:val="9EB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0AB5"/>
    <w:multiLevelType w:val="multilevel"/>
    <w:tmpl w:val="1CC876B8"/>
    <w:numStyleLink w:val="StyleBulletedLatinCourierNewLeft075Hanging025"/>
  </w:abstractNum>
  <w:abstractNum w:abstractNumId="17" w15:restartNumberingAfterBreak="0">
    <w:nsid w:val="455E793F"/>
    <w:multiLevelType w:val="multilevel"/>
    <w:tmpl w:val="1CC876B8"/>
    <w:numStyleLink w:val="StyleBulletedLatinCourierNewLeft075Hanging025"/>
  </w:abstractNum>
  <w:abstractNum w:abstractNumId="18"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0C06"/>
    <w:multiLevelType w:val="multilevel"/>
    <w:tmpl w:val="1CC876B8"/>
    <w:numStyleLink w:val="StyleBulletedLatinCourierNewLeft075Hanging025"/>
  </w:abstractNum>
  <w:abstractNum w:abstractNumId="2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89A"/>
    <w:multiLevelType w:val="multilevel"/>
    <w:tmpl w:val="1CC876B8"/>
    <w:numStyleLink w:val="StyleBulletedLatinCourierNewLeft075Hanging025"/>
  </w:abstractNum>
  <w:abstractNum w:abstractNumId="27"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B92"/>
    <w:multiLevelType w:val="multilevel"/>
    <w:tmpl w:val="1CC876B8"/>
    <w:numStyleLink w:val="StyleBulletedLatinCourierNewLeft075Hanging025"/>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10"/>
  </w:num>
  <w:num w:numId="5">
    <w:abstractNumId w:val="7"/>
  </w:num>
  <w:num w:numId="6">
    <w:abstractNumId w:val="0"/>
  </w:num>
  <w:num w:numId="7">
    <w:abstractNumId w:val="9"/>
  </w:num>
  <w:num w:numId="8">
    <w:abstractNumId w:val="14"/>
  </w:num>
  <w:num w:numId="9">
    <w:abstractNumId w:val="25"/>
  </w:num>
  <w:num w:numId="10">
    <w:abstractNumId w:val="19"/>
  </w:num>
  <w:num w:numId="11">
    <w:abstractNumId w:val="21"/>
  </w:num>
  <w:num w:numId="12">
    <w:abstractNumId w:val="30"/>
  </w:num>
  <w:num w:numId="13">
    <w:abstractNumId w:val="2"/>
  </w:num>
  <w:num w:numId="14">
    <w:abstractNumId w:val="4"/>
  </w:num>
  <w:num w:numId="15">
    <w:abstractNumId w:val="24"/>
  </w:num>
  <w:num w:numId="16">
    <w:abstractNumId w:val="28"/>
  </w:num>
  <w:num w:numId="17">
    <w:abstractNumId w:val="16"/>
  </w:num>
  <w:num w:numId="18">
    <w:abstractNumId w:val="29"/>
  </w:num>
  <w:num w:numId="19">
    <w:abstractNumId w:val="12"/>
  </w:num>
  <w:num w:numId="20">
    <w:abstractNumId w:val="26"/>
  </w:num>
  <w:num w:numId="21">
    <w:abstractNumId w:val="17"/>
  </w:num>
  <w:num w:numId="22">
    <w:abstractNumId w:val="3"/>
  </w:num>
  <w:num w:numId="23">
    <w:abstractNumId w:val="15"/>
  </w:num>
  <w:num w:numId="24">
    <w:abstractNumId w:val="18"/>
  </w:num>
  <w:num w:numId="25">
    <w:abstractNumId w:val="32"/>
  </w:num>
  <w:num w:numId="26">
    <w:abstractNumId w:val="8"/>
  </w:num>
  <w:num w:numId="27">
    <w:abstractNumId w:val="20"/>
  </w:num>
  <w:num w:numId="28">
    <w:abstractNumId w:val="6"/>
  </w:num>
  <w:num w:numId="29">
    <w:abstractNumId w:val="23"/>
  </w:num>
  <w:num w:numId="30">
    <w:abstractNumId w:val="27"/>
  </w:num>
  <w:num w:numId="31">
    <w:abstractNumId w:val="31"/>
  </w:num>
  <w:num w:numId="32">
    <w:abstractNumId w:val="22"/>
  </w:num>
  <w:num w:numId="33">
    <w:abstractNumId w:val="1"/>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336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38DE"/>
    <w:rsid w:val="00016C59"/>
    <w:rsid w:val="00016F5E"/>
    <w:rsid w:val="0001741C"/>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3D5C"/>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0307"/>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2E14"/>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5722"/>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2F6C67"/>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5CB9"/>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3D97"/>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0B67"/>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F28"/>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1433"/>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250B"/>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16CE"/>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51B2"/>
    <w:rsid w:val="00AA62F7"/>
    <w:rsid w:val="00AB050B"/>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4C98"/>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F10"/>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41FC"/>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12A6"/>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77552"/>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lis.leg.state.or.us/liz/2019R1/Downloads/MeasureAnalysisDocument/44412" TargetMode="External"/><Relationship Id="rId26" Type="http://schemas.openxmlformats.org/officeDocument/2006/relationships/hyperlink" Target="https://www.oregon.gov/deq/Regulations/rulemaking/Pages/rhot2019.aspx" TargetMode="External"/><Relationship Id="rId3" Type="http://schemas.openxmlformats.org/officeDocument/2006/relationships/customXml" Target="../customXml/item3.xml"/><Relationship Id="rId21" Type="http://schemas.openxmlformats.org/officeDocument/2006/relationships/hyperlink" Target="https://olis.leg.state.or.us/liz/2019R1/Downloads/MeasureAnalysisDocument/513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lis.leg.state.or.us/liz/2019R1/Measures/Overview/SB40" TargetMode="External"/><Relationship Id="rId25" Type="http://schemas.openxmlformats.org/officeDocument/2006/relationships/hyperlink" Target="https://www.oregon.gov/deq/Regulations/rulemaking/Pages/rhot2019.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olis.leg.state.or.us/liz/2019R1/Downloads/MeasureAnalysisDocument/44918" TargetMode="External"/><Relationship Id="rId29" Type="http://schemas.openxmlformats.org/officeDocument/2006/relationships/hyperlink" Target="https://www.oregon.gov/deq/Regulations/rulemaking/Pages/rhot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Regulations/rulemaking/Pages/rhot2019.aspx"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olis.leg.state.or.us/liz/2019R1/Downloads/MeasureAnalysisDocument/44526" TargetMode="External"/><Relationship Id="rId31"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olis.leg.state.or.us/liz/2019R1/Downloads/CommitteeMeetingDocument/201740" TargetMode="External"/><Relationship Id="rId27" Type="http://schemas.openxmlformats.org/officeDocument/2006/relationships/hyperlink" Target="https://www.oregonlaws.org/ors/183.335" TargetMode="External"/><Relationship Id="rId30"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2443AD0-1AA4-4198-97C3-320C88D3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28</Pages>
  <Words>6520</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41</cp:revision>
  <cp:lastPrinted>2013-02-28T21:12:00Z</cp:lastPrinted>
  <dcterms:created xsi:type="dcterms:W3CDTF">2019-03-21T16:05:00Z</dcterms:created>
  <dcterms:modified xsi:type="dcterms:W3CDTF">2019-10-07T18:12:00Z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