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9B75D422B247803531BA173F2169" ma:contentTypeVersion="" ma:contentTypeDescription="Create a new document." ma:contentTypeScope="" ma:versionID="6ec22e37c3690e88f8e731a29e187aa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Public Notice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5366C2F4-B2D5-4AE8-89E6-D72D393FE4CD}"/>
</file>

<file path=customXml/itemProps2.xml><?xml version="1.0" encoding="utf-8"?>
<ds:datastoreItem xmlns:ds="http://schemas.openxmlformats.org/officeDocument/2006/customXml" ds:itemID="{C545BAF3-32DE-4C6E-8002-8E63F45B4641}"/>
</file>

<file path=customXml/itemProps3.xml><?xml version="1.0" encoding="utf-8"?>
<ds:datastoreItem xmlns:ds="http://schemas.openxmlformats.org/officeDocument/2006/customXml" ds:itemID="{D19FCAD0-4278-4F04-A8AE-0E420750C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email</dc:title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0x010100F0039B75D422B247803531BA173F2169</vt:lpwstr>
  </property>
</Properties>
</file>